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GCR Sensitivity Analysis: Methodology &amp; Scenarios</w:t>
      </w:r>
    </w:p>
    <w:p>
      <w:pPr>
        <w:jc w:val="center"/>
      </w:pPr>
      <w:r>
        <w:rPr>
          <w:color w:val="555555"/>
        </w:rPr>
        <w:t>Rethink Priorities  ·  Generated April 14, 2026</w:t>
      </w:r>
    </w:p>
    <w:p/>
    <w:p>
      <w:pPr>
        <w:pStyle w:val="Heading1"/>
      </w:pPr>
      <w:r>
        <w:t>Part I — Output Metrics</w:t>
      </w:r>
    </w:p>
    <w:p>
      <w:r>
        <w:t>Three metrics are computed for every sensitivity scenario. They operate at different levels of granularity: the sensitivity index summarises the whole portfolio in a single number; the log-ratio of scores explains the mechanism per fund; and rank change flags qualitative threshold crossings. Together they answer: how much did the recommendation change, why did it change, and did anything cross an important boundary?</w:t>
      </w:r>
    </w:p>
    <w:p/>
    <w:p>
      <w:r>
        <w:rPr>
          <w:b/>
          <w:sz w:val="22"/>
        </w:rPr>
        <w:t>1.  Sensitivity Index  (headline metric — one number per scenario)</w:t>
      </w:r>
    </w:p>
    <w:p>
      <w:r>
        <w:rPr>
          <w:i/>
          <w:color w:val="444444"/>
          <w:sz w:val="20"/>
        </w:rPr>
        <w:t>Formula:  sensitivity_index  =  Σ |Δ alloc%| / 2</w:t>
      </w:r>
    </w:p>
    <w:p>
      <w:r>
        <w:t>The sum of absolute allocation changes across all funds, divided by two. Reported in percentage points (pp). A value of 15 pp means that 15% of the total portfolio was reallocated between funds when the parameter changed.</w:t>
      </w:r>
    </w:p>
    <w:p>
      <w:pPr>
        <w:ind w:left="360"/>
      </w:pPr>
      <w:r>
        <w:rPr>
          <w:b/>
        </w:rPr>
        <w:t xml:space="preserve">Why this metric: </w:t>
      </w:r>
      <w:r>
        <w:t>Because portfolio allocations must sum to 100%, every pp gained by one fund is lost by others — so the sum of all absolute changes always equals twice the mass transferred. Dividing by two gives a single, interpretable number: 'X pp of the portfolio shifted.' This is preferable to max(|Δ alloc|), which is dominated by whichever single fund sits closest to a scoring threshold, ignoring system-wide reallocation. It is also preferable to mean(|Δ alloc|), which depends on the arbitrary number of funds in the model.</w:t>
        <w:br/>
        <w:br/>
        <w:t>Why the raw sensitivity index is the primary metric: The perturbation sizes for each scenario are not arbitrary — they are calibrated to represent plausible real-world uncertainty ranges (e.g. a 100× uncertainty on r_inf reflects genuine expert disagreement, not a hypothetical). The raw SI therefore directly answers the decision-relevant question: 'If the world actually looks like scenario X, how much would my portfolio shift?' That is what a donor needs to know.</w:t>
        <w:br/>
        <w:br/>
        <w:t>Why normalized_SI is also reported: When comparing parameter importance across scenarios, scenarios with larger perturbations mechanically tend to produce larger SI values. The normalized sensitivity index — SI divided by log₁₀(perturbation_ratio) — controls for this, expressing sensitivity as pp of reallocation per order-of-magnitude of parameter change. It answers a different question: 'Which parameter, if I were equally uncertain about it on a log scale, has the most leverage over the portfolio?' Both metrics are reported; neither should be used alone. normalized_SI is left blank for categorical scenarios (no_cubic_growth, near_pessimistic_outcomes) that do not have a natural scalar perturbation ratio.</w:t>
      </w:r>
    </w:p>
    <w:p/>
    <w:p>
      <w:r>
        <w:rPr>
          <w:b/>
          <w:sz w:val="22"/>
        </w:rPr>
        <w:t>1b.  Normalized Sensitivity Index  (secondary — controls for perturbation scale)</w:t>
      </w:r>
    </w:p>
    <w:p>
      <w:r>
        <w:rPr>
          <w:i/>
          <w:color w:val="444444"/>
          <w:sz w:val="20"/>
        </w:rPr>
        <w:t>Formula:  normalized_SI  =  sensitivity_index / log₁₀(perturbation_ratio)</w:t>
      </w:r>
    </w:p>
    <w:p>
      <w:r>
        <w:t>The sensitivity index divided by the base-10 logarithm of the perturbation ratio. Units: pp per order-of-magnitude (pp/OOM). A value of 8 pp/OOM means that each factor-of-10 change in the parameter is associated with 8 pp of portfolio reallocation. Left blank for categorical scenarios.</w:t>
      </w:r>
    </w:p>
    <w:p>
      <w:pPr>
        <w:ind w:left="360"/>
      </w:pPr>
      <w:r>
        <w:rPr>
          <w:b/>
        </w:rPr>
        <w:t xml:space="preserve">Why this metric: </w:t>
      </w:r>
      <w:r>
        <w:t>See the discussion under Metric 1. This metric is reported alongside the raw SI — not instead of it — because the uncertainty ranges themselves carry information about which parameters matter in practice.</w:t>
      </w:r>
    </w:p>
    <w:p/>
    <w:p>
      <w:r>
        <w:rPr>
          <w:b/>
          <w:sz w:val="22"/>
        </w:rPr>
        <w:t>2.  Log-ratio of scores  (per-fund, per-worldview — explains the mechanism)</w:t>
      </w:r>
    </w:p>
    <w:p>
      <w:r>
        <w:rPr>
          <w:i/>
          <w:color w:val="444444"/>
          <w:sz w:val="20"/>
        </w:rPr>
        <w:t>Formula:  log_ratio_{worldview}  =  log₁₀( score_new / score_base )</w:t>
      </w:r>
    </w:p>
    <w:p>
      <w:r>
        <w:t>The base-10 logarithm of the ratio of new to base-case score, computed separately for each fund under each worldview. Columns in the output are named log_ratio_human_focused, log_ratio_animal_welfare, and log_ratio_longtermist. A value of 1 indicates a 10× change; 0.3 ≈ 2×; −1 = a 10-fold decrease. NaN is reported when either score is non-positive.</w:t>
      </w:r>
    </w:p>
    <w:p>
      <w:pPr>
        <w:ind w:left="360"/>
      </w:pPr>
      <w:r>
        <w:rPr>
          <w:b/>
        </w:rPr>
        <w:t xml:space="preserve">Why this metric: </w:t>
      </w:r>
      <w:r>
        <w:t>GCR fund scores span many orders of magnitude depending on world-prior assumptions (e.g., 10¹ to 10⁸ life-years per $1M). A percentage-change metric would produce misleading comparisons across this range. The log-ratio is scale-invariant and symmetric: a doubling and a halving each have magnitude ≈ 0.3. It reveals the mechanism behind allocation shifts — did fund X increase by 2 orders of magnitude, or did fund Y decrease by 1 — which the headline sensitivity index alone cannot show.</w:t>
        <w:br/>
        <w:br/>
        <w:t>Why per-worldview rather than an aggregate: Taking a credence-weighted average of scores across worldviews is itself a substantive aggregation choice that is not assumed here. A parameter change may shift fund scores in one worldview while leaving others unaffected — for example, a change to the stellar settlement speed has large effects under the longtermist worldview but near-zero effects under the human-focused worldview. Averaging would obscure this structure. Reporting per-worldview log-ratios lets analysts see exactly which ethical perspectives are driving any given scenario's allocation shift.</w:t>
      </w:r>
    </w:p>
    <w:p/>
    <w:p>
      <w:r>
        <w:rPr>
          <w:b/>
          <w:sz w:val="22"/>
        </w:rPr>
        <w:t>3.  Rank change  (per-fund — diagnostic for threshold crossings)</w:t>
      </w:r>
    </w:p>
    <w:p>
      <w:r>
        <w:rPr>
          <w:i/>
          <w:color w:val="444444"/>
          <w:sz w:val="20"/>
        </w:rPr>
        <w:t>Formula:  rank_delta  =  rank_new − rank_base   (rank 1 = highest score)</w:t>
      </w:r>
    </w:p>
    <w:p>
      <w:r>
        <w:t>The change in a fund's rank by score under the perturbed vs. base-case worldview. Positive = fund fell in the ranking; negative = fund improved.</w:t>
      </w:r>
    </w:p>
    <w:p>
      <w:pPr>
        <w:ind w:left="360"/>
      </w:pPr>
      <w:r>
        <w:rPr>
          <w:b/>
        </w:rPr>
        <w:t xml:space="preserve">Why this metric: </w:t>
      </w:r>
      <w:r>
        <w:t>The greedy allocation algorithm has winner-take-all tendencies: a fund just below another fund's marginal cost-effectiveness may receive zero allocation, while a fund just above may receive a disproportionate share. A parameter change that looks modest in the sensitivity index can nonetheless flip the rank of two funds and cross a qualitative threshold — for example, moving a fund from 'receives nothing' to 'receives 30% of the portfolio.' Rank change flags this type of structural shift that the headline metric would understate.</w:t>
      </w:r>
    </w:p>
    <w:p/>
    <w:p>
      <w:r>
        <w:br w:type="page"/>
      </w:r>
    </w:p>
    <w:p>
      <w:pPr>
        <w:pStyle w:val="Heading1"/>
      </w:pPr>
      <w:r>
        <w:t>Part II — Parameter Scenarios</w:t>
      </w:r>
    </w:p>
    <w:p>
      <w:r>
        <w:t>The following 11 scenarios are defined in run_sensitivity.py. Each modifies one parameter group while holding all others at their base-case distributions. Perturbation magnitudes were chosen to be large enough to produce unambiguous signal: order-of-magnitude (OOM) shifts for continuous parameters, and large probability-mass transfers for Dirichlet parameters. The 'Ratio' column shows the perturbation_ratio recorded in each scenario JSON, used to compute the normalized sensitivity index.</w:t>
      </w:r>
    </w:p>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728"/>
            <w:shd w:val="clear" w:color="auto" w:fill="1A237E"/>
          </w:tcPr>
          <w:p>
            <w:r>
              <w:rPr>
                <w:b/>
                <w:color w:val="FFFFFF"/>
                <w:sz w:val="18"/>
              </w:rPr>
              <w:t>Scenario ID</w:t>
            </w:r>
          </w:p>
        </w:tc>
        <w:tc>
          <w:tcPr>
            <w:tcW w:type="dxa" w:w="1728"/>
            <w:shd w:val="clear" w:color="auto" w:fill="1A237E"/>
          </w:tcPr>
          <w:p>
            <w:r>
              <w:rPr>
                <w:b/>
                <w:color w:val="FFFFFF"/>
                <w:sz w:val="18"/>
              </w:rPr>
              <w:t>Parameter</w:t>
            </w:r>
          </w:p>
        </w:tc>
        <w:tc>
          <w:tcPr>
            <w:tcW w:type="dxa" w:w="2016"/>
            <w:shd w:val="clear" w:color="auto" w:fill="1A237E"/>
          </w:tcPr>
          <w:p>
            <w:r>
              <w:rPr>
                <w:b/>
                <w:color w:val="FFFFFF"/>
                <w:sz w:val="18"/>
              </w:rPr>
              <w:t>Base distribution</w:t>
            </w:r>
          </w:p>
        </w:tc>
        <w:tc>
          <w:tcPr>
            <w:tcW w:type="dxa" w:w="1872"/>
            <w:shd w:val="clear" w:color="auto" w:fill="1A237E"/>
          </w:tcPr>
          <w:p>
            <w:r>
              <w:rPr>
                <w:b/>
                <w:color w:val="FFFFFF"/>
                <w:sz w:val="18"/>
              </w:rPr>
              <w:t>Perturbation</w:t>
            </w:r>
          </w:p>
        </w:tc>
        <w:tc>
          <w:tcPr>
            <w:tcW w:type="dxa" w:w="936"/>
            <w:shd w:val="clear" w:color="auto" w:fill="1A237E"/>
          </w:tcPr>
          <w:p>
            <w:r>
              <w:rPr>
                <w:b/>
                <w:color w:val="FFFFFF"/>
                <w:sz w:val="18"/>
              </w:rPr>
              <w:t>Ratio</w:t>
            </w:r>
          </w:p>
        </w:tc>
        <w:tc>
          <w:tcPr>
            <w:tcW w:type="dxa" w:w="3240"/>
            <w:shd w:val="clear" w:color="auto" w:fill="1A237E"/>
          </w:tcPr>
          <w:p>
            <w:r>
              <w:rPr>
                <w:b/>
                <w:color w:val="FFFFFF"/>
                <w:sz w:val="18"/>
              </w:rPr>
              <w:t>Rationale</w:t>
            </w:r>
          </w:p>
        </w:tc>
      </w:tr>
      <w:tr>
        <w:tc>
          <w:tcPr>
            <w:tcW w:type="dxa" w:w="1728"/>
            <w:shd w:val="clear" w:color="auto" w:fill="F3F4FE"/>
          </w:tcPr>
          <w:p>
            <w:r>
              <w:rPr>
                <w:rFonts w:ascii="Courier New" w:hAnsi="Courier New"/>
                <w:sz w:val="17"/>
              </w:rPr>
              <w:t>r_inf_100x_up</w:t>
            </w:r>
          </w:p>
        </w:tc>
        <w:tc>
          <w:tcPr>
            <w:tcW w:type="dxa" w:w="1728"/>
            <w:shd w:val="clear" w:color="auto" w:fill="F3F4FE"/>
          </w:tcPr>
          <w:p>
            <w:r>
              <w:rPr>
                <w:sz w:val="17"/>
              </w:rPr>
              <w:t>Long-run x-risk floor  (r_inf)</w:t>
            </w:r>
          </w:p>
        </w:tc>
        <w:tc>
          <w:tcPr>
            <w:tcW w:type="dxa" w:w="2016"/>
            <w:shd w:val="clear" w:color="auto" w:fill="F3F4FE"/>
          </w:tcPr>
          <w:p>
            <w:r>
              <w:rPr>
                <w:sz w:val="17"/>
              </w:rPr>
              <w:t>loguniform CI [1×10⁻⁸, 5×10⁻⁵]</w:t>
            </w:r>
          </w:p>
        </w:tc>
        <w:tc>
          <w:tcPr>
            <w:tcW w:type="dxa" w:w="1872"/>
            <w:shd w:val="clear" w:color="auto" w:fill="F3F4FE"/>
          </w:tcPr>
          <w:p>
            <w:r>
              <w:rPr>
                <w:sz w:val="17"/>
              </w:rPr>
              <w:t>100× higher → CI [1×10⁻⁶, 5×10⁻³]</w:t>
            </w:r>
          </w:p>
        </w:tc>
        <w:tc>
          <w:tcPr>
            <w:tcW w:type="dxa" w:w="936"/>
            <w:shd w:val="clear" w:color="auto" w:fill="F3F4FE"/>
          </w:tcPr>
          <w:p>
            <w:r>
              <w:rPr>
                <w:sz w:val="17"/>
              </w:rPr>
              <w:t>100</w:t>
            </w:r>
          </w:p>
        </w:tc>
        <w:tc>
          <w:tcPr>
            <w:tcW w:type="dxa" w:w="3240"/>
            <w:shd w:val="clear" w:color="auto" w:fill="F3F4FE"/>
          </w:tcPr>
          <w:p>
            <w:r>
              <w:rPr>
                <w:sz w:val="17"/>
              </w:rPr>
              <w:t>Tests how results change if the long-run background annual extinction risk is 100× higher than our central estimate. A higher floor risk means extinction remains likely even in the very long run, which reduces the value of pushing risk far into the future and compresses the relative advantage of long-term x-risk funds over near-term ones.</w:t>
            </w:r>
          </w:p>
        </w:tc>
      </w:tr>
      <w:tr>
        <w:tc>
          <w:tcPr>
            <w:tcW w:type="dxa" w:w="1728"/>
            <w:shd w:val="clear" w:color="auto" w:fill="FFFFFF"/>
          </w:tcPr>
          <w:p>
            <w:r>
              <w:rPr>
                <w:rFonts w:ascii="Courier New" w:hAnsi="Courier New"/>
                <w:sz w:val="17"/>
              </w:rPr>
              <w:t>r_inf_100x_down</w:t>
            </w:r>
          </w:p>
        </w:tc>
        <w:tc>
          <w:tcPr>
            <w:tcW w:type="dxa" w:w="1728"/>
            <w:shd w:val="clear" w:color="auto" w:fill="FFFFFF"/>
          </w:tcPr>
          <w:p>
            <w:r>
              <w:rPr>
                <w:sz w:val="17"/>
              </w:rPr>
              <w:t>Long-run x-risk floor  (r_inf)</w:t>
            </w:r>
          </w:p>
        </w:tc>
        <w:tc>
          <w:tcPr>
            <w:tcW w:type="dxa" w:w="2016"/>
            <w:shd w:val="clear" w:color="auto" w:fill="FFFFFF"/>
          </w:tcPr>
          <w:p>
            <w:r>
              <w:rPr>
                <w:sz w:val="17"/>
              </w:rPr>
              <w:t>loguniform CI [1×10⁻⁸, 5×10⁻⁵]</w:t>
            </w:r>
          </w:p>
        </w:tc>
        <w:tc>
          <w:tcPr>
            <w:tcW w:type="dxa" w:w="1872"/>
            <w:shd w:val="clear" w:color="auto" w:fill="FFFFFF"/>
          </w:tcPr>
          <w:p>
            <w:r>
              <w:rPr>
                <w:sz w:val="17"/>
              </w:rPr>
              <w:t>100× lower → CI [1×10⁻¹⁰, 5×10⁻⁷]</w:t>
            </w:r>
          </w:p>
        </w:tc>
        <w:tc>
          <w:tcPr>
            <w:tcW w:type="dxa" w:w="936"/>
            <w:shd w:val="clear" w:color="auto" w:fill="FFFFFF"/>
          </w:tcPr>
          <w:p>
            <w:r>
              <w:rPr>
                <w:sz w:val="17"/>
              </w:rPr>
              <w:t>100</w:t>
            </w:r>
          </w:p>
        </w:tc>
        <w:tc>
          <w:tcPr>
            <w:tcW w:type="dxa" w:w="3240"/>
            <w:shd w:val="clear" w:color="auto" w:fill="FFFFFF"/>
          </w:tcPr>
          <w:p>
            <w:r>
              <w:rPr>
                <w:sz w:val="17"/>
              </w:rPr>
              <w:t>Symmetric downward test. With a near-zero floor, the long-run future is much more recoverable, increasing the leverage of any near-term risk reduction and raising the relative value of x-risk funds compared to the base case.</w:t>
            </w:r>
          </w:p>
        </w:tc>
      </w:tr>
      <w:tr>
        <w:tc>
          <w:tcPr>
            <w:tcW w:type="dxa" w:w="1728"/>
            <w:shd w:val="clear" w:color="auto" w:fill="F3F4FE"/>
          </w:tcPr>
          <w:p>
            <w:r>
              <w:rPr>
                <w:rFonts w:ascii="Courier New" w:hAnsi="Courier New"/>
                <w:sz w:val="17"/>
              </w:rPr>
              <w:t>no_cubic_growth</w:t>
            </w:r>
          </w:p>
        </w:tc>
        <w:tc>
          <w:tcPr>
            <w:tcW w:type="dxa" w:w="1728"/>
            <w:shd w:val="clear" w:color="auto" w:fill="F3F4FE"/>
          </w:tcPr>
          <w:p>
            <w:r>
              <w:rPr>
                <w:sz w:val="17"/>
              </w:rPr>
              <w:t>Probability of stellar expansion  (p_cubic_growth)</w:t>
            </w:r>
          </w:p>
        </w:tc>
        <w:tc>
          <w:tcPr>
            <w:tcW w:type="dxa" w:w="2016"/>
            <w:shd w:val="clear" w:color="auto" w:fill="F3F4FE"/>
          </w:tcPr>
          <w:p>
            <w:r>
              <w:rPr>
                <w:sz w:val="17"/>
              </w:rPr>
              <w:t>beta CI [0.01, 0.15], mean ≈ 0.065</w:t>
            </w:r>
          </w:p>
        </w:tc>
        <w:tc>
          <w:tcPr>
            <w:tcW w:type="dxa" w:w="1872"/>
            <w:shd w:val="clear" w:color="auto" w:fill="F3F4FE"/>
          </w:tcPr>
          <w:p>
            <w:r>
              <w:rPr>
                <w:sz w:val="17"/>
              </w:rPr>
              <w:t>Degenerate: p_cubic_growth = 0 (stellar expansion never occurs)</w:t>
            </w:r>
          </w:p>
        </w:tc>
        <w:tc>
          <w:tcPr>
            <w:tcW w:type="dxa" w:w="936"/>
            <w:shd w:val="clear" w:color="auto" w:fill="F3F4FE"/>
          </w:tcPr>
          <w:p>
            <w:r>
              <w:rPr>
                <w:sz w:val="17"/>
              </w:rPr>
              <w:t>N/A (categorical)</w:t>
            </w:r>
          </w:p>
        </w:tc>
        <w:tc>
          <w:tcPr>
            <w:tcW w:type="dxa" w:w="3240"/>
            <w:shd w:val="clear" w:color="auto" w:fill="F3F4FE"/>
          </w:tcPr>
          <w:p>
            <w:r>
              <w:rPr>
                <w:sz w:val="17"/>
              </w:rPr>
              <w:t>A 'terrestrial only' scenario: humanity never expands beyond Earth. This is the single most important structural assumption in the model — removing cubic growth eliminates the dominant source of long-run value and sharply reduces the expected benefit of x-risk prevention relative to near-term welfare interventions.</w:t>
            </w:r>
          </w:p>
        </w:tc>
      </w:tr>
      <w:tr>
        <w:tc>
          <w:tcPr>
            <w:tcW w:type="dxa" w:w="1728"/>
            <w:shd w:val="clear" w:color="auto" w:fill="FFFFFF"/>
          </w:tcPr>
          <w:p>
            <w:r>
              <w:rPr>
                <w:rFonts w:ascii="Courier New" w:hAnsi="Courier New"/>
                <w:sz w:val="17"/>
              </w:rPr>
              <w:t>s_10x_faster</w:t>
            </w:r>
          </w:p>
        </w:tc>
        <w:tc>
          <w:tcPr>
            <w:tcW w:type="dxa" w:w="1728"/>
            <w:shd w:val="clear" w:color="auto" w:fill="FFFFFF"/>
          </w:tcPr>
          <w:p>
            <w:r>
              <w:rPr>
                <w:sz w:val="17"/>
              </w:rPr>
              <w:t>Stellar settlement speed  (s, ly/yr)</w:t>
            </w:r>
          </w:p>
        </w:tc>
        <w:tc>
          <w:tcPr>
            <w:tcW w:type="dxa" w:w="2016"/>
            <w:shd w:val="clear" w:color="auto" w:fill="FFFFFF"/>
          </w:tcPr>
          <w:p>
            <w:r>
              <w:rPr>
                <w:sz w:val="17"/>
              </w:rPr>
              <w:t>loguniform CI [4×10⁻⁵, 1×10⁻²]</w:t>
            </w:r>
          </w:p>
        </w:tc>
        <w:tc>
          <w:tcPr>
            <w:tcW w:type="dxa" w:w="1872"/>
            <w:shd w:val="clear" w:color="auto" w:fill="FFFFFF"/>
          </w:tcPr>
          <w:p>
            <w:r>
              <w:rPr>
                <w:sz w:val="17"/>
              </w:rPr>
              <w:t>10× faster → CI [4×10⁻⁴, 0.1]</w:t>
            </w:r>
          </w:p>
        </w:tc>
        <w:tc>
          <w:tcPr>
            <w:tcW w:type="dxa" w:w="936"/>
            <w:shd w:val="clear" w:color="auto" w:fill="FFFFFF"/>
          </w:tcPr>
          <w:p>
            <w:r>
              <w:rPr>
                <w:sz w:val="17"/>
              </w:rPr>
              <w:t>10</w:t>
            </w:r>
          </w:p>
        </w:tc>
        <w:tc>
          <w:tcPr>
            <w:tcW w:type="dxa" w:w="3240"/>
            <w:shd w:val="clear" w:color="auto" w:fill="FFFFFF"/>
          </w:tcPr>
          <w:p>
            <w:r>
              <w:rPr>
                <w:sz w:val="17"/>
              </w:rPr>
              <w:t>Faster settlement means the long-run value of the future accumulates sooner, raising the present value of any intervention that preserves access to that future.</w:t>
            </w:r>
          </w:p>
        </w:tc>
      </w:tr>
      <w:tr>
        <w:tc>
          <w:tcPr>
            <w:tcW w:type="dxa" w:w="1728"/>
            <w:shd w:val="clear" w:color="auto" w:fill="F3F4FE"/>
          </w:tcPr>
          <w:p>
            <w:r>
              <w:rPr>
                <w:rFonts w:ascii="Courier New" w:hAnsi="Courier New"/>
                <w:sz w:val="17"/>
              </w:rPr>
              <w:t>s_10x_slower</w:t>
            </w:r>
          </w:p>
        </w:tc>
        <w:tc>
          <w:tcPr>
            <w:tcW w:type="dxa" w:w="1728"/>
            <w:shd w:val="clear" w:color="auto" w:fill="F3F4FE"/>
          </w:tcPr>
          <w:p>
            <w:r>
              <w:rPr>
                <w:sz w:val="17"/>
              </w:rPr>
              <w:t>Stellar settlement speed  (s, ly/yr)</w:t>
            </w:r>
          </w:p>
        </w:tc>
        <w:tc>
          <w:tcPr>
            <w:tcW w:type="dxa" w:w="2016"/>
            <w:shd w:val="clear" w:color="auto" w:fill="F3F4FE"/>
          </w:tcPr>
          <w:p>
            <w:r>
              <w:rPr>
                <w:sz w:val="17"/>
              </w:rPr>
              <w:t>loguniform CI [4×10⁻⁵, 1×10⁻²]</w:t>
            </w:r>
          </w:p>
        </w:tc>
        <w:tc>
          <w:tcPr>
            <w:tcW w:type="dxa" w:w="1872"/>
            <w:shd w:val="clear" w:color="auto" w:fill="F3F4FE"/>
          </w:tcPr>
          <w:p>
            <w:r>
              <w:rPr>
                <w:sz w:val="17"/>
              </w:rPr>
              <w:t>10× slower → CI [4×10⁻⁶, 1×10⁻³]</w:t>
            </w:r>
          </w:p>
        </w:tc>
        <w:tc>
          <w:tcPr>
            <w:tcW w:type="dxa" w:w="936"/>
            <w:shd w:val="clear" w:color="auto" w:fill="F3F4FE"/>
          </w:tcPr>
          <w:p>
            <w:r>
              <w:rPr>
                <w:sz w:val="17"/>
              </w:rPr>
              <w:t>10</w:t>
            </w:r>
          </w:p>
        </w:tc>
        <w:tc>
          <w:tcPr>
            <w:tcW w:type="dxa" w:w="3240"/>
            <w:shd w:val="clear" w:color="auto" w:fill="F3F4FE"/>
          </w:tcPr>
          <w:p>
            <w:r>
              <w:rPr>
                <w:sz w:val="17"/>
              </w:rPr>
              <w:t>The bulk of cosmic value is delayed further into the future, reducing the present value of risk-reduction interventions that act on near-term timescales.</w:t>
            </w:r>
          </w:p>
        </w:tc>
      </w:tr>
      <w:tr>
        <w:tc>
          <w:tcPr>
            <w:tcW w:type="dxa" w:w="1728"/>
            <w:shd w:val="clear" w:color="auto" w:fill="FFFFFF"/>
          </w:tcPr>
          <w:p>
            <w:r>
              <w:rPr>
                <w:rFonts w:ascii="Courier New" w:hAnsi="Courier New"/>
                <w:sz w:val="17"/>
              </w:rPr>
              <w:t>cause_fractions_bio_nuclear_higher</w:t>
            </w:r>
          </w:p>
        </w:tc>
        <w:tc>
          <w:tcPr>
            <w:tcW w:type="dxa" w:w="1728"/>
            <w:shd w:val="clear" w:color="auto" w:fill="FFFFFF"/>
          </w:tcPr>
          <w:p>
            <w:r>
              <w:rPr>
                <w:sz w:val="17"/>
              </w:rPr>
              <w:t>Cause fractions of x-risk</w:t>
            </w:r>
          </w:p>
        </w:tc>
        <w:tc>
          <w:tcPr>
            <w:tcW w:type="dxa" w:w="2016"/>
            <w:shd w:val="clear" w:color="auto" w:fill="FFFFFF"/>
          </w:tcPr>
          <w:p>
            <w:r>
              <w:rPr>
                <w:sz w:val="17"/>
              </w:rPr>
              <w:t>Dirichlet means [bio=0.03, nuclear=0.03, AI=0.90, other=0.04]</w:t>
            </w:r>
          </w:p>
        </w:tc>
        <w:tc>
          <w:tcPr>
            <w:tcW w:type="dxa" w:w="1872"/>
            <w:shd w:val="clear" w:color="auto" w:fill="FFFFFF"/>
          </w:tcPr>
          <w:p>
            <w:r>
              <w:rPr>
                <w:sz w:val="17"/>
              </w:rPr>
              <w:t>bio → 0.30, nuclear → 0.30, AI → 0.36  (~10× shift for bio and nuclear)</w:t>
            </w:r>
          </w:p>
        </w:tc>
        <w:tc>
          <w:tcPr>
            <w:tcW w:type="dxa" w:w="936"/>
            <w:shd w:val="clear" w:color="auto" w:fill="FFFFFF"/>
          </w:tcPr>
          <w:p>
            <w:r>
              <w:rPr>
                <w:sz w:val="17"/>
              </w:rPr>
              <w:t>10</w:t>
            </w:r>
          </w:p>
        </w:tc>
        <w:tc>
          <w:tcPr>
            <w:tcW w:type="dxa" w:w="3240"/>
            <w:shd w:val="clear" w:color="auto" w:fill="FFFFFF"/>
          </w:tcPr>
          <w:p>
            <w:r>
              <w:rPr>
                <w:sz w:val="17"/>
              </w:rPr>
              <w:t>Tests the allocation sensitivity to the assumed share of total x-risk attributable to each cause. Since each fund's expected impact is proportional to its cause fraction, this directly tests whether the AI fund's dominance is driven by the AI cause-fraction assumption rather than its cost-effectiveness.</w:t>
            </w:r>
          </w:p>
        </w:tc>
      </w:tr>
      <w:tr>
        <w:tc>
          <w:tcPr>
            <w:tcW w:type="dxa" w:w="1728"/>
            <w:shd w:val="clear" w:color="auto" w:fill="F3F4FE"/>
          </w:tcPr>
          <w:p>
            <w:r>
              <w:rPr>
                <w:rFonts w:ascii="Courier New" w:hAnsi="Courier New"/>
                <w:sz w:val="17"/>
              </w:rPr>
              <w:t>rel_risk_10x_up</w:t>
            </w:r>
          </w:p>
        </w:tc>
        <w:tc>
          <w:tcPr>
            <w:tcW w:type="dxa" w:w="1728"/>
            <w:shd w:val="clear" w:color="auto" w:fill="F3F4FE"/>
          </w:tcPr>
          <w:p>
            <w:r>
              <w:rPr>
                <w:sz w:val="17"/>
              </w:rPr>
              <w:t>Relative cost-effectiveness  (rel_risk_reduction, all GCR funds)</w:t>
            </w:r>
          </w:p>
        </w:tc>
        <w:tc>
          <w:tcPr>
            <w:tcW w:type="dxa" w:w="2016"/>
            <w:shd w:val="clear" w:color="auto" w:fill="F3F4FE"/>
          </w:tcPr>
          <w:p>
            <w:r>
              <w:rPr>
                <w:sz w:val="17"/>
              </w:rPr>
              <w:t>loguniform CI scaled by fund budget</w:t>
            </w:r>
          </w:p>
        </w:tc>
        <w:tc>
          <w:tcPr>
            <w:tcW w:type="dxa" w:w="1872"/>
            <w:shd w:val="clear" w:color="auto" w:fill="F3F4FE"/>
          </w:tcPr>
          <w:p>
            <w:r>
              <w:rPr>
                <w:sz w:val="17"/>
              </w:rPr>
              <w:t>10× higher for all three GCR funds</w:t>
            </w:r>
          </w:p>
        </w:tc>
        <w:tc>
          <w:tcPr>
            <w:tcW w:type="dxa" w:w="936"/>
            <w:shd w:val="clear" w:color="auto" w:fill="F3F4FE"/>
          </w:tcPr>
          <w:p>
            <w:r>
              <w:rPr>
                <w:sz w:val="17"/>
              </w:rPr>
              <w:t>10</w:t>
            </w:r>
          </w:p>
        </w:tc>
        <w:tc>
          <w:tcPr>
            <w:tcW w:type="dxa" w:w="3240"/>
            <w:shd w:val="clear" w:color="auto" w:fill="F3F4FE"/>
          </w:tcPr>
          <w:p>
            <w:r>
              <w:rPr>
                <w:sz w:val="17"/>
              </w:rPr>
              <w:t>Tests whether the GCR funds' absolute cost-effectiveness is high enough to dominate the portfolio when assumed to be 10× more effective. If even a 10× improvement does not substantially shift the allocation, GCR funds are near a score ceiling relative to diminishing returns. If it does shift dramatically, cost-effectiveness assumptions are the key bottleneck.</w:t>
            </w:r>
          </w:p>
        </w:tc>
      </w:tr>
      <w:tr>
        <w:tc>
          <w:tcPr>
            <w:tcW w:type="dxa" w:w="1728"/>
            <w:shd w:val="clear" w:color="auto" w:fill="FFFFFF"/>
          </w:tcPr>
          <w:p>
            <w:r>
              <w:rPr>
                <w:rFonts w:ascii="Courier New" w:hAnsi="Courier New"/>
                <w:sz w:val="17"/>
              </w:rPr>
              <w:t>rel_risk_10x_down</w:t>
            </w:r>
          </w:p>
        </w:tc>
        <w:tc>
          <w:tcPr>
            <w:tcW w:type="dxa" w:w="1728"/>
            <w:shd w:val="clear" w:color="auto" w:fill="FFFFFF"/>
          </w:tcPr>
          <w:p>
            <w:r>
              <w:rPr>
                <w:sz w:val="17"/>
              </w:rPr>
              <w:t>Relative cost-effectiveness  (rel_risk_reduction, all GCR funds)</w:t>
            </w:r>
          </w:p>
        </w:tc>
        <w:tc>
          <w:tcPr>
            <w:tcW w:type="dxa" w:w="2016"/>
            <w:shd w:val="clear" w:color="auto" w:fill="FFFFFF"/>
          </w:tcPr>
          <w:p>
            <w:r>
              <w:rPr>
                <w:sz w:val="17"/>
              </w:rPr>
              <w:t>loguniform CI scaled by fund budget</w:t>
            </w:r>
          </w:p>
        </w:tc>
        <w:tc>
          <w:tcPr>
            <w:tcW w:type="dxa" w:w="1872"/>
            <w:shd w:val="clear" w:color="auto" w:fill="FFFFFF"/>
          </w:tcPr>
          <w:p>
            <w:r>
              <w:rPr>
                <w:sz w:val="17"/>
              </w:rPr>
              <w:t>10× lower for all three GCR funds</w:t>
            </w:r>
          </w:p>
        </w:tc>
        <w:tc>
          <w:tcPr>
            <w:tcW w:type="dxa" w:w="936"/>
            <w:shd w:val="clear" w:color="auto" w:fill="FFFFFF"/>
          </w:tcPr>
          <w:p>
            <w:r>
              <w:rPr>
                <w:sz w:val="17"/>
              </w:rPr>
              <w:t>10</w:t>
            </w:r>
          </w:p>
        </w:tc>
        <w:tc>
          <w:tcPr>
            <w:tcW w:type="dxa" w:w="3240"/>
            <w:shd w:val="clear" w:color="auto" w:fill="FFFFFF"/>
          </w:tcPr>
          <w:p>
            <w:r>
              <w:rPr>
                <w:sz w:val="17"/>
              </w:rPr>
              <w:t>Identifies the threshold below which GCR funds lose out to near-term alternatives, and how rapidly the portfolio rebalances toward GiveWell, LEAF, and animal welfare funds.</w:t>
            </w:r>
          </w:p>
        </w:tc>
      </w:tr>
      <w:tr>
        <w:tc>
          <w:tcPr>
            <w:tcW w:type="dxa" w:w="1728"/>
            <w:shd w:val="clear" w:color="auto" w:fill="F3F4FE"/>
          </w:tcPr>
          <w:p>
            <w:r>
              <w:rPr>
                <w:rFonts w:ascii="Courier New" w:hAnsi="Courier New"/>
                <w:sz w:val="17"/>
              </w:rPr>
              <w:t>rel_risk_100x_down</w:t>
            </w:r>
          </w:p>
        </w:tc>
        <w:tc>
          <w:tcPr>
            <w:tcW w:type="dxa" w:w="1728"/>
            <w:shd w:val="clear" w:color="auto" w:fill="F3F4FE"/>
          </w:tcPr>
          <w:p>
            <w:r>
              <w:rPr>
                <w:sz w:val="17"/>
              </w:rPr>
              <w:t>Relative cost-effectiveness  (rel_risk_reduction, all GCR funds)</w:t>
            </w:r>
          </w:p>
        </w:tc>
        <w:tc>
          <w:tcPr>
            <w:tcW w:type="dxa" w:w="2016"/>
            <w:shd w:val="clear" w:color="auto" w:fill="F3F4FE"/>
          </w:tcPr>
          <w:p>
            <w:r>
              <w:rPr>
                <w:sz w:val="17"/>
              </w:rPr>
              <w:t>loguniform CI scaled by fund budget</w:t>
            </w:r>
          </w:p>
        </w:tc>
        <w:tc>
          <w:tcPr>
            <w:tcW w:type="dxa" w:w="1872"/>
            <w:shd w:val="clear" w:color="auto" w:fill="F3F4FE"/>
          </w:tcPr>
          <w:p>
            <w:r>
              <w:rPr>
                <w:sz w:val="17"/>
              </w:rPr>
              <w:t>100× lower for all three GCR funds</w:t>
            </w:r>
          </w:p>
        </w:tc>
        <w:tc>
          <w:tcPr>
            <w:tcW w:type="dxa" w:w="936"/>
            <w:shd w:val="clear" w:color="auto" w:fill="F3F4FE"/>
          </w:tcPr>
          <w:p>
            <w:r>
              <w:rPr>
                <w:sz w:val="17"/>
              </w:rPr>
              <w:t>100</w:t>
            </w:r>
          </w:p>
        </w:tc>
        <w:tc>
          <w:tcPr>
            <w:tcW w:type="dxa" w:w="3240"/>
            <w:shd w:val="clear" w:color="auto" w:fill="F3F4FE"/>
          </w:tcPr>
          <w:p>
            <w:r>
              <w:rPr>
                <w:sz w:val="17"/>
              </w:rPr>
              <w:t>Extends rel_risk_10x_down by a further order of magnitude. If GCR funds still hold appreciable allocation under a 100× cost-effectiveness reduction, it signals that the longtermist component of the worldview mixture is sufficiently dominant to sustain GCR investment even at very low effectiveness.</w:t>
            </w:r>
          </w:p>
        </w:tc>
      </w:tr>
      <w:tr>
        <w:tc>
          <w:tcPr>
            <w:tcW w:type="dxa" w:w="1728"/>
            <w:shd w:val="clear" w:color="auto" w:fill="FFFFFF"/>
          </w:tcPr>
          <w:p>
            <w:r>
              <w:rPr>
                <w:rFonts w:ascii="Courier New" w:hAnsi="Courier New"/>
                <w:sz w:val="17"/>
              </w:rPr>
              <w:t>p_zero_5x_lower</w:t>
            </w:r>
          </w:p>
        </w:tc>
        <w:tc>
          <w:tcPr>
            <w:tcW w:type="dxa" w:w="1728"/>
            <w:shd w:val="clear" w:color="auto" w:fill="FFFFFF"/>
          </w:tcPr>
          <w:p>
            <w:r>
              <w:rPr>
                <w:sz w:val="17"/>
              </w:rPr>
              <w:t>Outcome probabilities  (p_harm / p_zero / p_positive)</w:t>
            </w:r>
          </w:p>
        </w:tc>
        <w:tc>
          <w:tcPr>
            <w:tcW w:type="dxa" w:w="2016"/>
            <w:shd w:val="clear" w:color="auto" w:fill="FFFFFF"/>
          </w:tcPr>
          <w:p>
            <w:r>
              <w:rPr>
                <w:sz w:val="17"/>
              </w:rPr>
              <w:t>Dirichlet means — Sentinel/Nuclear: [harm=0.05, zero=0.50, pos=0.45]; AI: [harm=0.15, zero=0.50, pos=0.35]</w:t>
            </w:r>
          </w:p>
        </w:tc>
        <w:tc>
          <w:tcPr>
            <w:tcW w:type="dxa" w:w="1872"/>
            <w:shd w:val="clear" w:color="auto" w:fill="FFFFFF"/>
          </w:tcPr>
          <w:p>
            <w:r>
              <w:rPr>
                <w:sz w:val="17"/>
              </w:rPr>
              <w:t>p_zero ÷5 (0.50→0.10); surplus redistributed proportionally to p_harm and p_positive</w:t>
            </w:r>
          </w:p>
        </w:tc>
        <w:tc>
          <w:tcPr>
            <w:tcW w:type="dxa" w:w="936"/>
            <w:shd w:val="clear" w:color="auto" w:fill="FFFFFF"/>
          </w:tcPr>
          <w:p>
            <w:r>
              <w:rPr>
                <w:sz w:val="17"/>
              </w:rPr>
              <w:t>5</w:t>
            </w:r>
          </w:p>
        </w:tc>
        <w:tc>
          <w:tcPr>
            <w:tcW w:type="dxa" w:w="3240"/>
            <w:shd w:val="clear" w:color="auto" w:fill="FFFFFF"/>
          </w:tcPr>
          <w:p>
            <w:r>
              <w:rPr>
                <w:sz w:val="17"/>
              </w:rPr>
              <w:t>Tests the scenario in which interventions are much less likely to have zero impact, with released probability mass redistributed proportionally between harm and positive outcomes. This represents greater certainty that the intervention does something — but in proportion to prior beliefs about whether that something is good or bad.</w:t>
            </w:r>
          </w:p>
        </w:tc>
      </w:tr>
      <w:tr>
        <w:tc>
          <w:tcPr>
            <w:tcW w:type="dxa" w:w="1728"/>
            <w:shd w:val="clear" w:color="auto" w:fill="F3F4FE"/>
          </w:tcPr>
          <w:p>
            <w:r>
              <w:rPr>
                <w:rFonts w:ascii="Courier New" w:hAnsi="Courier New"/>
                <w:sz w:val="17"/>
              </w:rPr>
              <w:t>near_pessimistic_outcomes</w:t>
            </w:r>
          </w:p>
        </w:tc>
        <w:tc>
          <w:tcPr>
            <w:tcW w:type="dxa" w:w="1728"/>
            <w:shd w:val="clear" w:color="auto" w:fill="F3F4FE"/>
          </w:tcPr>
          <w:p>
            <w:r>
              <w:rPr>
                <w:sz w:val="17"/>
              </w:rPr>
              <w:t>Outcome probabilities  (p_harm / p_zero / p_positive)</w:t>
            </w:r>
          </w:p>
        </w:tc>
        <w:tc>
          <w:tcPr>
            <w:tcW w:type="dxa" w:w="2016"/>
            <w:shd w:val="clear" w:color="auto" w:fill="F3F4FE"/>
          </w:tcPr>
          <w:p>
            <w:r>
              <w:rPr>
                <w:sz w:val="17"/>
              </w:rPr>
              <w:t>Dirichlet means — Sentinel/Nuclear: [harm=0.05, zero=0.50, pos=0.45]; AI: [harm=0.15, zero=0.50, pos=0.35]</w:t>
            </w:r>
          </w:p>
        </w:tc>
        <w:tc>
          <w:tcPr>
            <w:tcW w:type="dxa" w:w="1872"/>
            <w:shd w:val="clear" w:color="auto" w:fill="F3F4FE"/>
          </w:tcPr>
          <w:p>
            <w:r>
              <w:rPr>
                <w:sz w:val="17"/>
              </w:rPr>
              <w:t>All funds: p_harm=0.225, p_zero=0.50, p_positive=0.275 → gap = 0.05 pp</w:t>
            </w:r>
          </w:p>
        </w:tc>
        <w:tc>
          <w:tcPr>
            <w:tcW w:type="dxa" w:w="936"/>
            <w:shd w:val="clear" w:color="auto" w:fill="F3F4FE"/>
          </w:tcPr>
          <w:p>
            <w:r>
              <w:rPr>
                <w:sz w:val="17"/>
              </w:rPr>
              <w:t>N/A (categorical)</w:t>
            </w:r>
          </w:p>
        </w:tc>
        <w:tc>
          <w:tcPr>
            <w:tcW w:type="dxa" w:w="3240"/>
            <w:shd w:val="clear" w:color="auto" w:fill="F3F4FE"/>
          </w:tcPr>
          <w:p>
            <w:r>
              <w:rPr>
                <w:sz w:val="17"/>
              </w:rPr>
              <w:t>Stress-tests sign uncertainty. In the base case the net positive signal (p_positive − p_harm) is ~0.40 for Sentinel/Nuclear and ~0.20 for AI. This scenario narrows the gap to 0.05 for all funds, making outcomes nearly as likely to be harmful as beneficial, while holding p_zero constant.</w:t>
            </w:r>
          </w:p>
        </w:tc>
      </w:tr>
    </w:tbl>
    <w:p/>
    <w:p>
      <w:pPr>
        <w:pStyle w:val="Heading2"/>
      </w:pPr>
      <w:r>
        <w:t>Worldview Mixture Used in compare_sensitivity.py</w:t>
      </w:r>
    </w:p>
    <w:p>
      <w:r>
        <w:t>Allocation comparisons use a moral parliament of three worldviews loaded from config/worldviewPresets.json. At each $2M allocation step, each worldview independently directs its credence-share of the budget to the fund with the highest marginal cost-effectiveness under that worldview's own parameters. This mirrors the quiz's voteCredenceWeightedCustom method and ensures that the analysis respects ethical pluralism rather than assuming a single aggregated view.</w:t>
      </w:r>
    </w:p>
    <w:p/>
    <w:tbl>
      <w:tblPr>
        <w:tblStyle w:val="TableGrid"/>
        <w:tblW w:type="auto" w:w="0"/>
        <w:tblLook w:firstColumn="1" w:firstRow="1" w:lastColumn="0" w:lastRow="0" w:noHBand="0" w:noVBand="1" w:val="04A0"/>
      </w:tblPr>
      <w:tblGrid>
        <w:gridCol w:w="2340"/>
        <w:gridCol w:w="2340"/>
        <w:gridCol w:w="2340"/>
        <w:gridCol w:w="2340"/>
      </w:tblGrid>
      <w:tr>
        <w:tc>
          <w:tcPr>
            <w:tcW w:type="dxa" w:w="2880"/>
            <w:shd w:val="clear" w:color="auto" w:fill="1A237E"/>
          </w:tcPr>
          <w:p>
            <w:r>
              <w:rPr>
                <w:b/>
                <w:color w:val="FFFFFF"/>
                <w:sz w:val="18"/>
              </w:rPr>
              <w:t>Worldview</w:t>
            </w:r>
          </w:p>
        </w:tc>
        <w:tc>
          <w:tcPr>
            <w:tcW w:type="dxa" w:w="1152"/>
            <w:shd w:val="clear" w:color="auto" w:fill="1A237E"/>
          </w:tcPr>
          <w:p>
            <w:r>
              <w:rPr>
                <w:b/>
                <w:color w:val="FFFFFF"/>
                <w:sz w:val="18"/>
              </w:rPr>
              <w:t>Credence</w:t>
            </w:r>
          </w:p>
        </w:tc>
        <w:tc>
          <w:tcPr>
            <w:tcW w:type="dxa" w:w="3168"/>
            <w:shd w:val="clear" w:color="auto" w:fill="1A237E"/>
          </w:tcPr>
          <w:p>
            <w:r>
              <w:rPr>
                <w:b/>
                <w:color w:val="FFFFFF"/>
                <w:sz w:val="18"/>
              </w:rPr>
              <w:t>Risk profile</w:t>
            </w:r>
          </w:p>
        </w:tc>
        <w:tc>
          <w:tcPr>
            <w:tcW w:type="dxa" w:w="4320"/>
            <w:shd w:val="clear" w:color="auto" w:fill="1A237E"/>
          </w:tcPr>
          <w:p>
            <w:r>
              <w:rPr>
                <w:b/>
                <w:color w:val="FFFFFF"/>
                <w:sz w:val="18"/>
              </w:rPr>
              <w:t>p_extinction</w:t>
            </w:r>
          </w:p>
        </w:tc>
      </w:tr>
      <w:tr>
        <w:tc>
          <w:tcPr>
            <w:tcW w:type="dxa" w:w="2880"/>
          </w:tcPr>
          <w:p/>
        </w:tc>
        <w:tc>
          <w:tcPr>
            <w:tcW w:type="dxa" w:w="1152"/>
          </w:tcPr>
          <w:p/>
        </w:tc>
        <w:tc>
          <w:tcPr>
            <w:tcW w:type="dxa" w:w="3168"/>
          </w:tcPr>
          <w:p/>
        </w:tc>
        <w:tc>
          <w:tcPr>
            <w:tcW w:type="dxa" w:w="4320"/>
          </w:tcPr>
          <w:p/>
        </w:tc>
      </w:tr>
      <w:tr>
        <w:tc>
          <w:tcPr>
            <w:tcW w:type="dxa" w:w="2880"/>
          </w:tcPr>
          <w:p/>
        </w:tc>
        <w:tc>
          <w:tcPr>
            <w:tcW w:type="dxa" w:w="1152"/>
          </w:tcPr>
          <w:p/>
        </w:tc>
        <w:tc>
          <w:tcPr>
            <w:tcW w:type="dxa" w:w="3168"/>
          </w:tcPr>
          <w:p/>
        </w:tc>
        <w:tc>
          <w:tcPr>
            <w:tcW w:type="dxa" w:w="4320"/>
          </w:tcPr>
          <w:p/>
        </w:tc>
      </w:tr>
      <w:tr>
        <w:tc>
          <w:tcPr>
            <w:tcW w:type="dxa" w:w="2880"/>
          </w:tcPr>
          <w:p/>
        </w:tc>
        <w:tc>
          <w:tcPr>
            <w:tcW w:type="dxa" w:w="1152"/>
          </w:tcPr>
          <w:p/>
        </w:tc>
        <w:tc>
          <w:tcPr>
            <w:tcW w:type="dxa" w:w="3168"/>
          </w:tcPr>
          <w:p/>
        </w:tc>
        <w:tc>
          <w:tcPr>
            <w:tcW w:type="dxa" w:w="4320"/>
          </w:tcPr>
          <w:p/>
        </w:tc>
      </w:tr>
      <w:tr>
        <w:tc>
          <w:tcPr>
            <w:tcW w:type="dxa" w:w="2880"/>
            <w:shd w:val="clear" w:color="auto" w:fill="F3F4FE"/>
          </w:tcPr>
          <w:p>
            <w:r>
              <w:rPr>
                <w:sz w:val="18"/>
              </w:rPr>
              <w:t>human_focused</w:t>
              <w:br/>
              <w:t>(near-term, human-centred)</w:t>
            </w:r>
          </w:p>
        </w:tc>
        <w:tc>
          <w:tcPr>
            <w:tcW w:type="dxa" w:w="1152"/>
            <w:shd w:val="clear" w:color="auto" w:fill="F3F4FE"/>
          </w:tcPr>
          <w:p>
            <w:r>
              <w:rPr>
                <w:sz w:val="18"/>
              </w:rPr>
              <w:t>35%</w:t>
            </w:r>
          </w:p>
        </w:tc>
        <w:tc>
          <w:tcPr>
            <w:tcW w:type="dxa" w:w="3168"/>
            <w:shd w:val="clear" w:color="auto" w:fill="F3F4FE"/>
          </w:tcPr>
          <w:p>
            <w:r>
              <w:rPr>
                <w:sz w:val="18"/>
              </w:rPr>
              <w:t>0 — neutral expected value</w:t>
            </w:r>
          </w:p>
        </w:tc>
        <w:tc>
          <w:tcPr>
            <w:tcW w:type="dxa" w:w="4320"/>
            <w:shd w:val="clear" w:color="auto" w:fill="F3F4FE"/>
          </w:tcPr>
          <w:p>
            <w:r>
              <w:rPr>
                <w:sz w:val="18"/>
              </w:rPr>
              <w:t>10% (low concern for near-term extinction)</w:t>
            </w:r>
          </w:p>
        </w:tc>
      </w:tr>
      <w:tr>
        <w:tc>
          <w:tcPr>
            <w:tcW w:type="dxa" w:w="2880"/>
            <w:shd w:val="clear" w:color="auto" w:fill="FFFFFF"/>
          </w:tcPr>
          <w:p>
            <w:r>
              <w:rPr>
                <w:sz w:val="18"/>
              </w:rPr>
              <w:t>animal_welfare</w:t>
              <w:br/>
              <w:t>(near-term, cross-species)</w:t>
            </w:r>
          </w:p>
        </w:tc>
        <w:tc>
          <w:tcPr>
            <w:tcW w:type="dxa" w:w="1152"/>
            <w:shd w:val="clear" w:color="auto" w:fill="FFFFFF"/>
          </w:tcPr>
          <w:p>
            <w:r>
              <w:rPr>
                <w:sz w:val="18"/>
              </w:rPr>
              <w:t>40%</w:t>
            </w:r>
          </w:p>
        </w:tc>
        <w:tc>
          <w:tcPr>
            <w:tcW w:type="dxa" w:w="3168"/>
            <w:shd w:val="clear" w:color="auto" w:fill="FFFFFF"/>
          </w:tcPr>
          <w:p>
            <w:r>
              <w:rPr>
                <w:sz w:val="18"/>
              </w:rPr>
              <w:t>1 — WLU-low (modest loss aversion)</w:t>
            </w:r>
          </w:p>
        </w:tc>
        <w:tc>
          <w:tcPr>
            <w:tcW w:type="dxa" w:w="4320"/>
            <w:shd w:val="clear" w:color="auto" w:fill="FFFFFF"/>
          </w:tcPr>
          <w:p>
            <w:r>
              <w:rPr>
                <w:sz w:val="18"/>
              </w:rPr>
              <w:t>5%</w:t>
            </w:r>
          </w:p>
        </w:tc>
      </w:tr>
      <w:tr>
        <w:tc>
          <w:tcPr>
            <w:tcW w:type="dxa" w:w="2880"/>
            <w:shd w:val="clear" w:color="auto" w:fill="F3F4FE"/>
          </w:tcPr>
          <w:p>
            <w:r>
              <w:rPr>
                <w:sz w:val="18"/>
              </w:rPr>
              <w:t>longtermist</w:t>
              <w:br/>
              <w:t>(high extinction concern)</w:t>
            </w:r>
          </w:p>
        </w:tc>
        <w:tc>
          <w:tcPr>
            <w:tcW w:type="dxa" w:w="1152"/>
            <w:shd w:val="clear" w:color="auto" w:fill="F3F4FE"/>
          </w:tcPr>
          <w:p>
            <w:r>
              <w:rPr>
                <w:sz w:val="18"/>
              </w:rPr>
              <w:t>25%</w:t>
            </w:r>
          </w:p>
        </w:tc>
        <w:tc>
          <w:tcPr>
            <w:tcW w:type="dxa" w:w="3168"/>
            <w:shd w:val="clear" w:color="auto" w:fill="F3F4FE"/>
          </w:tcPr>
          <w:p>
            <w:r>
              <w:rPr>
                <w:sz w:val="18"/>
              </w:rPr>
              <w:t>2 — WLU-moderate</w:t>
            </w:r>
          </w:p>
        </w:tc>
        <w:tc>
          <w:tcPr>
            <w:tcW w:type="dxa" w:w="4320"/>
            <w:shd w:val="clear" w:color="auto" w:fill="F3F4FE"/>
          </w:tcPr>
          <w:p>
            <w:r>
              <w:rPr>
                <w:sz w:val="18"/>
              </w:rPr>
              <w:t>50% (high discount on non-xrisk futures)</w:t>
            </w:r>
          </w:p>
        </w:tc>
      </w:tr>
    </w:tbl>
    <w:p/>
    <w:p>
      <w:r>
        <w:t>Each worldview also has distinct moral weights (e.g. the human-focused worldview assigns near-zero weight to animal welfare; the animal welfare worldview assigns high weight to chickens and mammals) and discount factors (the longtermist worldview is nearly undiscounted out to 500 years; the human-focused worldview discounts sharply beyond 20 years). Full values are in config/worldviewPresets.json.</w:t>
      </w:r>
    </w:p>
    <w:p/>
    <w:p>
      <w:pPr>
        <w:jc w:val="center"/>
      </w:pPr>
      <w:r>
        <w:rPr>
          <w:color w:val="888888"/>
          <w:sz w:val="16"/>
        </w:rPr>
        <w:t>Generated automatically by generate_methodology_doc.py. Part II reflects SCENARIO_METADATA in that file; keep it in sync with SCENARIOS in run_sensitivity.py when adding or removing scenarios.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