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GCR Sensitivity Analysis: Methodology &amp; Scenarios</w:t>
      </w:r>
    </w:p>
    <w:p>
      <w:pPr>
        <w:jc w:val="center"/>
      </w:pPr>
      <w:r>
        <w:rPr>
          <w:color w:val="555555"/>
        </w:rPr>
        <w:t>Rethink Priorities  ·  Generated April 14, 2026</w:t>
      </w:r>
    </w:p>
    <w:p/>
    <w:p>
      <w:pPr>
        <w:pStyle w:val="Heading1"/>
      </w:pPr>
      <w:r>
        <w:t>Part I — Output Metrics</w:t>
      </w:r>
    </w:p>
    <w:p>
      <w:r>
        <w:t>For every scenario we report five metrics. The first two summarise the whole portfolio in one or two numbers; the remaining three break down what happened fund-by-fund and perspective-by-perspective. Together they answer: how much did the recommended donation split change, why did it change, and did anything cross a meaningful threshold?</w:t>
      </w:r>
    </w:p>
    <w:p/>
    <w:p>
      <w:r>
        <w:rPr>
          <w:b/>
          <w:sz w:val="22"/>
        </w:rPr>
        <w:t>1.  Portfolio shift  (headline — one number per scenario)</w:t>
      </w:r>
    </w:p>
    <w:p>
      <w:r>
        <w:rPr>
          <w:i/>
          <w:color w:val="444444"/>
          <w:sz w:val="20"/>
        </w:rPr>
        <w:t>Formula:  portfolio shift  =  ( Σ |new allocation% − old allocation%| )  ÷  2</w:t>
      </w:r>
    </w:p>
    <w:p>
      <w:r>
        <w:t>For each fund, we take the absolute difference between its allocation percentage before and after the parameter change, sum those differences across all funds, then divide by two. The result is in percentage points (pp).</w:t>
        <w:br/>
        <w:br/>
        <w:t>Example: if the scenario moves 15% of the budget from GiveWell to Sentinel Bio and nothing else changes, the portfolio shift = 15 pp.</w:t>
      </w:r>
    </w:p>
    <w:p>
      <w:pPr>
        <w:ind w:left="360"/>
      </w:pPr>
      <w:r>
        <w:rPr>
          <w:b/>
        </w:rPr>
        <w:t xml:space="preserve">Why this metric: </w:t>
      </w:r>
      <w:r>
        <w:t>Because the allocations across all funds must always add up to 100%, every percentage point gained by one fund is lost by others. The raw sum of all changes therefore double-counts every transfer; dividing by two gives the actual amount of money that moved. This produces a single, intuitive number: 'X% of the total donation budget was reallocated.'</w:t>
        <w:br/>
        <w:br/>
        <w:t>Why this is the primary metric: The size of each scenario's parameter change is not arbitrary — it is set to represent a realistic range of expert uncertainty. So the portfolio shift directly answers the decision- relevant question: 'If our assumptions about this parameter are wrong by this much, how different would a donor's recommended split be?' That is what a donor needs to know.</w:t>
        <w:br/>
        <w:br/>
        <w:t>Why the per-order-of-magnitude version (Metric 1b) is also reported: Some scenarios test a 100× change in a parameter; others test only a 10× change. All else equal, larger perturbations produce larger portfolio shifts, making it hard to compare parameter importance across scenarios. Dividing by the size of the perturbation (on a log scale) puts scenarios on a common footing — expressing sensitivity as 'how many percentage points shift per factor-of-10 change in this parameter.' Both versions are reported; neither should be used alone. The per-OOM version is left blank for scenarios that cannot be expressed as a factor change (e.g. 'assume stellar expansion never happens').</w:t>
      </w:r>
    </w:p>
    <w:p/>
    <w:p>
      <w:r>
        <w:rPr>
          <w:b/>
          <w:sz w:val="22"/>
        </w:rPr>
        <w:t>1b.  Portfolio shift per order of magnitude  (secondary)</w:t>
      </w:r>
    </w:p>
    <w:p>
      <w:r>
        <w:rPr>
          <w:i/>
          <w:color w:val="444444"/>
          <w:sz w:val="20"/>
        </w:rPr>
        <w:t>Formula:  shift per OOM  =  portfolio shift  ÷  log₁₀(perturbation factor)</w:t>
        <w:br/>
        <w:t>e.g. for a 100× change:  shift per OOM  =  portfolio shift  ÷  2</w:t>
      </w:r>
    </w:p>
    <w:p>
      <w:r>
        <w:t>The portfolio shift (Metric 1) divided by the base-10 logarithm of the perturbation factor. Units: percentage points per order of magnitude (pp/OOM). A value of 8 pp/OOM means that each factor-of-10 change in the parameter is associated with 8 pp of budget reallocation.</w:t>
        <w:br/>
        <w:br/>
        <w:t>Left blank for scenarios that represent a categorical change rather than a scalar one.</w:t>
      </w:r>
    </w:p>
    <w:p>
      <w:pPr>
        <w:ind w:left="360"/>
      </w:pPr>
      <w:r>
        <w:rPr>
          <w:b/>
        </w:rPr>
        <w:t xml:space="preserve">Why this metric: </w:t>
      </w:r>
      <w:r>
        <w:t>See discussion under Metric 1. Reported alongside the raw portfolio shift — not instead of it — because the actual uncertainty ranges matter for real decisions.</w:t>
      </w:r>
    </w:p>
    <w:p/>
    <w:p>
      <w:r>
        <w:rPr>
          <w:b/>
          <w:sz w:val="22"/>
        </w:rPr>
        <w:t>2.  Score magnitude change, per perspective  (explains the mechanism)</w:t>
      </w:r>
    </w:p>
    <w:p>
      <w:r>
        <w:rPr>
          <w:i/>
          <w:color w:val="444444"/>
          <w:sz w:val="20"/>
        </w:rPr>
        <w:t>Formula:  magnitude change  =  log₁₀(|score after|) − log₁₀(|score before|)</w:t>
        <w:br/>
        <w:t>equivalently:      =  log₁₀( |score after| ÷ |score before| )</w:t>
      </w:r>
    </w:p>
    <w:p>
      <w:r>
        <w:t>For each fund and each ethical perspective, we measure how many orders of magnitude the fund's cost-effectiveness score changed. A value of 1 means the score became 10× larger in magnitude; 0.3 ≈ 2×; −1 means it shrank to one-tenth its original size. The sign of the score (whether the fund looks beneficial or harmful) is reported separately in Metric 2b.</w:t>
        <w:br/>
        <w:br/>
        <w:t>This is computed three times per fund — once under each ethical perspective — so a reader can see whether a scenario affects all perspectives equally or only some.</w:t>
      </w:r>
    </w:p>
    <w:p>
      <w:pPr>
        <w:ind w:left="360"/>
      </w:pPr>
      <w:r>
        <w:rPr>
          <w:b/>
        </w:rPr>
        <w:t xml:space="preserve">Why this metric: </w:t>
      </w:r>
      <w:r>
        <w:t>Fund scores in this model range across many orders of magnitude. Under perspectives that place high weight on the very long-run future, a fund that prevents extinction may score trillions of times higher than one that improves animal welfare. A simple percentage change would be meaningless at these scales. Log-scale differences are the natural unit: a change of 1 always means a factor of 10, regardless of whether the baseline score is 100 or 10¹⁸.</w:t>
        <w:br/>
        <w:br/>
        <w:t>We use the absolute value of scores before taking the logarithm because some ethical perspectives assign negative scores to GCR funds (reflecting risk aversion about outcomes that could also be harmful). Without this, the calculation would be undefined whenever a score is negative or zero, and the sign change would be hidden inside the magnitude metric. Keeping them separate makes both signals unambiguous.</w:t>
        <w:br/>
        <w:br/>
        <w:t>We report one value per ethical perspective rather than a single weighted average, because collapsing across perspectives is itself a value judgment we do not want to embed in the analysis. A parameter change might shift scores dramatically for someone who cares about the long-run future but be completely irrelevant to someone focused on near-term animal welfare — and a weighted average would hide that distinction.</w:t>
      </w:r>
    </w:p>
    <w:p/>
    <w:p>
      <w:r>
        <w:rPr>
          <w:b/>
          <w:sz w:val="22"/>
        </w:rPr>
        <w:t>2b.  Score direction, per perspective  (captures sign flips)</w:t>
      </w:r>
    </w:p>
    <w:p>
      <w:r>
        <w:rPr>
          <w:i/>
          <w:color w:val="444444"/>
          <w:sz w:val="20"/>
        </w:rPr>
        <w:t>Formula:  direction  =  "&lt;before sign&gt; / &lt;after sign&gt;"   where sign is + or −</w:t>
      </w:r>
    </w:p>
    <w:p>
      <w:r>
        <w:t>For each fund and each ethical perspective, we record whether the fund's score was positive or negative before the scenario, and positive or negative after. The four possible values are:</w:t>
        <w:br/>
        <w:t xml:space="preserve">  +/+  score was positive and stayed positive</w:t>
        <w:br/>
        <w:t xml:space="preserve">  +/−  score flipped from positive to negative</w:t>
        <w:br/>
        <w:t xml:space="preserve">  −/+  score flipped from negative to positive</w:t>
        <w:br/>
        <w:t xml:space="preserve">  −/−  score was negative and stayed negative</w:t>
        <w:br/>
        <w:br/>
        <w:t>A score of exactly zero is marked 0 (rare in practice).</w:t>
      </w:r>
    </w:p>
    <w:p>
      <w:pPr>
        <w:ind w:left="360"/>
      </w:pPr>
      <w:r>
        <w:rPr>
          <w:b/>
        </w:rPr>
        <w:t xml:space="preserve">Why this metric: </w:t>
      </w:r>
      <w:r>
        <w:t>A fund whose score changes sign has crossed a fundamental threshold: it has gone from looking beneficial to looking harmful (or vice versa) under that ethical perspective. This is a qualitatively different kind of change from a shift in magnitude — and it cannot be detected from the magnitude metric alone, which works on absolute values. Reporting direction separately ensures that both 'how much did the score change?' and 'did it cross from good to bad?' are always clearly visible.</w:t>
      </w:r>
    </w:p>
    <w:p/>
    <w:p>
      <w:r>
        <w:rPr>
          <w:b/>
          <w:sz w:val="22"/>
        </w:rPr>
        <w:t>3.  Ranking change, per perspective  (detects threshold crossings)</w:t>
      </w:r>
    </w:p>
    <w:p>
      <w:r>
        <w:rPr>
          <w:i/>
          <w:color w:val="444444"/>
          <w:sz w:val="20"/>
        </w:rPr>
        <w:t>Formula:  ranking change  =  rank after scenario − rank before scenario</w:t>
        <w:br/>
        <w:t>(rank 1 = highest-scoring fund;  positive value = fund fell in ranking)</w:t>
      </w:r>
    </w:p>
    <w:p>
      <w:r>
        <w:t>For each ethical perspective, funds are ranked by their cost-effectiveness score from highest (rank 1) to lowest. We report how each fund's rank changed between the base case and the scenario. A positive number means the fund fell; a negative number means it rose.</w:t>
      </w:r>
    </w:p>
    <w:p>
      <w:pPr>
        <w:ind w:left="360"/>
      </w:pPr>
      <w:r>
        <w:rPr>
          <w:b/>
        </w:rPr>
        <w:t xml:space="preserve">Why this metric: </w:t>
      </w:r>
      <w:r>
        <w:t>The allocation model tends to concentrate funding: the highest-ranked fund receives money first, then the next-highest, and so on, with each fund receiving less as more money flows to it. A fund that slips from second place to third — even if its score barely changed — may drop from 'receives 20% of the budget' to 'receives nothing,' because the fund that overtook it now absorbs all the marginal dollars.</w:t>
        <w:br/>
        <w:br/>
        <w:t>Rank change separates two distinct reasons a fund's allocation might shift: (a) its score changed in magnitude, or (b) the scores of other funds changed and it was overtaken. The magnitude metric (Metric 2) captures (a); rank change captures (b). Together they explain whether a portfolio shift was driven by a fund improving in absolute terms, or by the competitive landscape changing around it.</w:t>
        <w:br/>
        <w:br/>
        <w:t>Ranks are based on scores alone — before the allocation process applies diminishing returns — so rank reflects pure cost-effectiveness ordering, not the final funding outcome.</w:t>
      </w:r>
    </w:p>
    <w:p/>
    <w:p>
      <w:r>
        <w:br w:type="page"/>
      </w:r>
    </w:p>
    <w:p>
      <w:pPr>
        <w:pStyle w:val="Heading1"/>
      </w:pPr>
      <w:r>
        <w:t>Part II — Parameter Scenarios</w:t>
      </w:r>
    </w:p>
    <w:p>
      <w:r>
        <w:t>The following 11 scenarios each test what happens when one group of assumptions is changed while everything else is held fixed at its central estimate. The size of each change is chosen to be large enough to produce a clear signal — typically a factor-of-10 or factor-of-100 shift for quantities that vary continuously, or a complete redistribution of probability for quantities that sum to one. The 'Ratio' column records the factor by which the parameter was shifted, used to compute the per-OOM sensitivity metric.</w:t>
      </w:r>
    </w:p>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728"/>
            <w:shd w:val="clear" w:color="auto" w:fill="1A237E"/>
          </w:tcPr>
          <w:p>
            <w:r>
              <w:rPr>
                <w:b/>
                <w:color w:val="FFFFFF"/>
                <w:sz w:val="18"/>
              </w:rPr>
              <w:t>Scenario ID</w:t>
            </w:r>
          </w:p>
        </w:tc>
        <w:tc>
          <w:tcPr>
            <w:tcW w:type="dxa" w:w="1728"/>
            <w:shd w:val="clear" w:color="auto" w:fill="1A237E"/>
          </w:tcPr>
          <w:p>
            <w:r>
              <w:rPr>
                <w:b/>
                <w:color w:val="FFFFFF"/>
                <w:sz w:val="18"/>
              </w:rPr>
              <w:t>Parameter</w:t>
            </w:r>
          </w:p>
        </w:tc>
        <w:tc>
          <w:tcPr>
            <w:tcW w:type="dxa" w:w="2016"/>
            <w:shd w:val="clear" w:color="auto" w:fill="1A237E"/>
          </w:tcPr>
          <w:p>
            <w:r>
              <w:rPr>
                <w:b/>
                <w:color w:val="FFFFFF"/>
                <w:sz w:val="18"/>
              </w:rPr>
              <w:t>Base distribution</w:t>
            </w:r>
          </w:p>
        </w:tc>
        <w:tc>
          <w:tcPr>
            <w:tcW w:type="dxa" w:w="1872"/>
            <w:shd w:val="clear" w:color="auto" w:fill="1A237E"/>
          </w:tcPr>
          <w:p>
            <w:r>
              <w:rPr>
                <w:b/>
                <w:color w:val="FFFFFF"/>
                <w:sz w:val="18"/>
              </w:rPr>
              <w:t>Perturbation</w:t>
            </w:r>
          </w:p>
        </w:tc>
        <w:tc>
          <w:tcPr>
            <w:tcW w:type="dxa" w:w="936"/>
            <w:shd w:val="clear" w:color="auto" w:fill="1A237E"/>
          </w:tcPr>
          <w:p>
            <w:r>
              <w:rPr>
                <w:b/>
                <w:color w:val="FFFFFF"/>
                <w:sz w:val="18"/>
              </w:rPr>
              <w:t>Ratio</w:t>
            </w:r>
          </w:p>
        </w:tc>
        <w:tc>
          <w:tcPr>
            <w:tcW w:type="dxa" w:w="3240"/>
            <w:shd w:val="clear" w:color="auto" w:fill="1A237E"/>
          </w:tcPr>
          <w:p>
            <w:r>
              <w:rPr>
                <w:b/>
                <w:color w:val="FFFFFF"/>
                <w:sz w:val="18"/>
              </w:rPr>
              <w:t>Rationale</w:t>
            </w:r>
          </w:p>
        </w:tc>
      </w:tr>
      <w:tr>
        <w:tc>
          <w:tcPr>
            <w:tcW w:type="dxa" w:w="1728"/>
            <w:shd w:val="clear" w:color="auto" w:fill="F3F4FE"/>
          </w:tcPr>
          <w:p>
            <w:r>
              <w:rPr>
                <w:rFonts w:ascii="Courier New" w:hAnsi="Courier New"/>
                <w:sz w:val="17"/>
              </w:rPr>
              <w:t>r_inf_100x_up</w:t>
            </w:r>
          </w:p>
        </w:tc>
        <w:tc>
          <w:tcPr>
            <w:tcW w:type="dxa" w:w="1728"/>
            <w:shd w:val="clear" w:color="auto" w:fill="F3F4FE"/>
          </w:tcPr>
          <w:p>
            <w:r>
              <w:rPr>
                <w:sz w:val="17"/>
              </w:rPr>
              <w:t>Long-run x-risk floor  (r_inf)</w:t>
            </w:r>
          </w:p>
        </w:tc>
        <w:tc>
          <w:tcPr>
            <w:tcW w:type="dxa" w:w="2016"/>
            <w:shd w:val="clear" w:color="auto" w:fill="F3F4FE"/>
          </w:tcPr>
          <w:p>
            <w:r>
              <w:rPr>
                <w:sz w:val="17"/>
              </w:rPr>
              <w:t>loguniform CI [1×10⁻⁸, 5×10⁻⁵]</w:t>
            </w:r>
          </w:p>
        </w:tc>
        <w:tc>
          <w:tcPr>
            <w:tcW w:type="dxa" w:w="1872"/>
            <w:shd w:val="clear" w:color="auto" w:fill="F3F4FE"/>
          </w:tcPr>
          <w:p>
            <w:r>
              <w:rPr>
                <w:sz w:val="17"/>
              </w:rPr>
              <w:t>100× higher → CI [1×10⁻⁶, 5×10⁻³]</w:t>
            </w:r>
          </w:p>
        </w:tc>
        <w:tc>
          <w:tcPr>
            <w:tcW w:type="dxa" w:w="936"/>
            <w:shd w:val="clear" w:color="auto" w:fill="F3F4FE"/>
          </w:tcPr>
          <w:p>
            <w:r>
              <w:rPr>
                <w:sz w:val="17"/>
              </w:rPr>
              <w:t>100</w:t>
            </w:r>
          </w:p>
        </w:tc>
        <w:tc>
          <w:tcPr>
            <w:tcW w:type="dxa" w:w="3240"/>
            <w:shd w:val="clear" w:color="auto" w:fill="F3F4FE"/>
          </w:tcPr>
          <w:p>
            <w:r>
              <w:rPr>
                <w:sz w:val="17"/>
              </w:rPr>
              <w:t>Tests how results change if the long-run background annual extinction risk is 100× higher than our central estimate. A higher floor risk means extinction remains likely even in the very long run, which reduces the value of pushing risk far into the future and compresses the relative advantage of long-term x-risk funds over near-term ones.</w:t>
            </w:r>
          </w:p>
        </w:tc>
      </w:tr>
      <w:tr>
        <w:tc>
          <w:tcPr>
            <w:tcW w:type="dxa" w:w="1728"/>
            <w:shd w:val="clear" w:color="auto" w:fill="FFFFFF"/>
          </w:tcPr>
          <w:p>
            <w:r>
              <w:rPr>
                <w:rFonts w:ascii="Courier New" w:hAnsi="Courier New"/>
                <w:sz w:val="17"/>
              </w:rPr>
              <w:t>r_inf_100x_down</w:t>
            </w:r>
          </w:p>
        </w:tc>
        <w:tc>
          <w:tcPr>
            <w:tcW w:type="dxa" w:w="1728"/>
            <w:shd w:val="clear" w:color="auto" w:fill="FFFFFF"/>
          </w:tcPr>
          <w:p>
            <w:r>
              <w:rPr>
                <w:sz w:val="17"/>
              </w:rPr>
              <w:t>Long-run x-risk floor  (r_inf)</w:t>
            </w:r>
          </w:p>
        </w:tc>
        <w:tc>
          <w:tcPr>
            <w:tcW w:type="dxa" w:w="2016"/>
            <w:shd w:val="clear" w:color="auto" w:fill="FFFFFF"/>
          </w:tcPr>
          <w:p>
            <w:r>
              <w:rPr>
                <w:sz w:val="17"/>
              </w:rPr>
              <w:t>loguniform CI [1×10⁻⁸, 5×10⁻⁵]</w:t>
            </w:r>
          </w:p>
        </w:tc>
        <w:tc>
          <w:tcPr>
            <w:tcW w:type="dxa" w:w="1872"/>
            <w:shd w:val="clear" w:color="auto" w:fill="FFFFFF"/>
          </w:tcPr>
          <w:p>
            <w:r>
              <w:rPr>
                <w:sz w:val="17"/>
              </w:rPr>
              <w:t>100× lower → CI [1×10⁻¹⁰, 5×10⁻⁷]</w:t>
            </w:r>
          </w:p>
        </w:tc>
        <w:tc>
          <w:tcPr>
            <w:tcW w:type="dxa" w:w="936"/>
            <w:shd w:val="clear" w:color="auto" w:fill="FFFFFF"/>
          </w:tcPr>
          <w:p>
            <w:r>
              <w:rPr>
                <w:sz w:val="17"/>
              </w:rPr>
              <w:t>100</w:t>
            </w:r>
          </w:p>
        </w:tc>
        <w:tc>
          <w:tcPr>
            <w:tcW w:type="dxa" w:w="3240"/>
            <w:shd w:val="clear" w:color="auto" w:fill="FFFFFF"/>
          </w:tcPr>
          <w:p>
            <w:r>
              <w:rPr>
                <w:sz w:val="17"/>
              </w:rPr>
              <w:t>Symmetric downward test. With a near-zero floor, the long-run future is much more recoverable, increasing the leverage of any near-term risk reduction and raising the relative value of x-risk funds compared to the base case.</w:t>
            </w:r>
          </w:p>
        </w:tc>
      </w:tr>
      <w:tr>
        <w:tc>
          <w:tcPr>
            <w:tcW w:type="dxa" w:w="1728"/>
            <w:shd w:val="clear" w:color="auto" w:fill="F3F4FE"/>
          </w:tcPr>
          <w:p>
            <w:r>
              <w:rPr>
                <w:rFonts w:ascii="Courier New" w:hAnsi="Courier New"/>
                <w:sz w:val="17"/>
              </w:rPr>
              <w:t>no_cubic_growth</w:t>
            </w:r>
          </w:p>
        </w:tc>
        <w:tc>
          <w:tcPr>
            <w:tcW w:type="dxa" w:w="1728"/>
            <w:shd w:val="clear" w:color="auto" w:fill="F3F4FE"/>
          </w:tcPr>
          <w:p>
            <w:r>
              <w:rPr>
                <w:sz w:val="17"/>
              </w:rPr>
              <w:t>Probability of stellar expansion  (p_cubic_growth)</w:t>
            </w:r>
          </w:p>
        </w:tc>
        <w:tc>
          <w:tcPr>
            <w:tcW w:type="dxa" w:w="2016"/>
            <w:shd w:val="clear" w:color="auto" w:fill="F3F4FE"/>
          </w:tcPr>
          <w:p>
            <w:r>
              <w:rPr>
                <w:sz w:val="17"/>
              </w:rPr>
              <w:t>beta CI [0.01, 0.15], mean ≈ 0.065</w:t>
            </w:r>
          </w:p>
        </w:tc>
        <w:tc>
          <w:tcPr>
            <w:tcW w:type="dxa" w:w="1872"/>
            <w:shd w:val="clear" w:color="auto" w:fill="F3F4FE"/>
          </w:tcPr>
          <w:p>
            <w:r>
              <w:rPr>
                <w:sz w:val="17"/>
              </w:rPr>
              <w:t>Degenerate: p_cubic_growth = 0 (stellar expansion never occurs)</w:t>
            </w:r>
          </w:p>
        </w:tc>
        <w:tc>
          <w:tcPr>
            <w:tcW w:type="dxa" w:w="936"/>
            <w:shd w:val="clear" w:color="auto" w:fill="F3F4FE"/>
          </w:tcPr>
          <w:p>
            <w:r>
              <w:rPr>
                <w:sz w:val="17"/>
              </w:rPr>
              <w:t>N/A (categorical)</w:t>
            </w:r>
          </w:p>
        </w:tc>
        <w:tc>
          <w:tcPr>
            <w:tcW w:type="dxa" w:w="3240"/>
            <w:shd w:val="clear" w:color="auto" w:fill="F3F4FE"/>
          </w:tcPr>
          <w:p>
            <w:r>
              <w:rPr>
                <w:sz w:val="17"/>
              </w:rPr>
              <w:t>A 'terrestrial only' scenario: humanity never expands beyond Earth. This is the single most important structural assumption in the model — removing cubic growth eliminates the dominant source of long-run value and sharply reduces the expected benefit of x-risk prevention relative to near-term welfare interventions.</w:t>
            </w:r>
          </w:p>
        </w:tc>
      </w:tr>
      <w:tr>
        <w:tc>
          <w:tcPr>
            <w:tcW w:type="dxa" w:w="1728"/>
            <w:shd w:val="clear" w:color="auto" w:fill="FFFFFF"/>
          </w:tcPr>
          <w:p>
            <w:r>
              <w:rPr>
                <w:rFonts w:ascii="Courier New" w:hAnsi="Courier New"/>
                <w:sz w:val="17"/>
              </w:rPr>
              <w:t>s_10x_faster</w:t>
            </w:r>
          </w:p>
        </w:tc>
        <w:tc>
          <w:tcPr>
            <w:tcW w:type="dxa" w:w="1728"/>
            <w:shd w:val="clear" w:color="auto" w:fill="FFFFFF"/>
          </w:tcPr>
          <w:p>
            <w:r>
              <w:rPr>
                <w:sz w:val="17"/>
              </w:rPr>
              <w:t>Stellar settlement speed  (s, ly/yr)</w:t>
            </w:r>
          </w:p>
        </w:tc>
        <w:tc>
          <w:tcPr>
            <w:tcW w:type="dxa" w:w="2016"/>
            <w:shd w:val="clear" w:color="auto" w:fill="FFFFFF"/>
          </w:tcPr>
          <w:p>
            <w:r>
              <w:rPr>
                <w:sz w:val="17"/>
              </w:rPr>
              <w:t>loguniform CI [4×10⁻⁵, 1×10⁻²]</w:t>
            </w:r>
          </w:p>
        </w:tc>
        <w:tc>
          <w:tcPr>
            <w:tcW w:type="dxa" w:w="1872"/>
            <w:shd w:val="clear" w:color="auto" w:fill="FFFFFF"/>
          </w:tcPr>
          <w:p>
            <w:r>
              <w:rPr>
                <w:sz w:val="17"/>
              </w:rPr>
              <w:t>10× faster → CI [4×10⁻⁴, 0.1]</w:t>
            </w:r>
          </w:p>
        </w:tc>
        <w:tc>
          <w:tcPr>
            <w:tcW w:type="dxa" w:w="936"/>
            <w:shd w:val="clear" w:color="auto" w:fill="FFFFFF"/>
          </w:tcPr>
          <w:p>
            <w:r>
              <w:rPr>
                <w:sz w:val="17"/>
              </w:rPr>
              <w:t>10</w:t>
            </w:r>
          </w:p>
        </w:tc>
        <w:tc>
          <w:tcPr>
            <w:tcW w:type="dxa" w:w="3240"/>
            <w:shd w:val="clear" w:color="auto" w:fill="FFFFFF"/>
          </w:tcPr>
          <w:p>
            <w:r>
              <w:rPr>
                <w:sz w:val="17"/>
              </w:rPr>
              <w:t>Faster settlement means the long-run value of the future accumulates sooner, raising the present value of any intervention that preserves access to that future.</w:t>
            </w:r>
          </w:p>
        </w:tc>
      </w:tr>
      <w:tr>
        <w:tc>
          <w:tcPr>
            <w:tcW w:type="dxa" w:w="1728"/>
            <w:shd w:val="clear" w:color="auto" w:fill="F3F4FE"/>
          </w:tcPr>
          <w:p>
            <w:r>
              <w:rPr>
                <w:rFonts w:ascii="Courier New" w:hAnsi="Courier New"/>
                <w:sz w:val="17"/>
              </w:rPr>
              <w:t>s_10x_slower</w:t>
            </w:r>
          </w:p>
        </w:tc>
        <w:tc>
          <w:tcPr>
            <w:tcW w:type="dxa" w:w="1728"/>
            <w:shd w:val="clear" w:color="auto" w:fill="F3F4FE"/>
          </w:tcPr>
          <w:p>
            <w:r>
              <w:rPr>
                <w:sz w:val="17"/>
              </w:rPr>
              <w:t>Stellar settlement speed  (s, ly/yr)</w:t>
            </w:r>
          </w:p>
        </w:tc>
        <w:tc>
          <w:tcPr>
            <w:tcW w:type="dxa" w:w="2016"/>
            <w:shd w:val="clear" w:color="auto" w:fill="F3F4FE"/>
          </w:tcPr>
          <w:p>
            <w:r>
              <w:rPr>
                <w:sz w:val="17"/>
              </w:rPr>
              <w:t>loguniform CI [4×10⁻⁵, 1×10⁻²]</w:t>
            </w:r>
          </w:p>
        </w:tc>
        <w:tc>
          <w:tcPr>
            <w:tcW w:type="dxa" w:w="1872"/>
            <w:shd w:val="clear" w:color="auto" w:fill="F3F4FE"/>
          </w:tcPr>
          <w:p>
            <w:r>
              <w:rPr>
                <w:sz w:val="17"/>
              </w:rPr>
              <w:t>10× slower → CI [4×10⁻⁶, 1×10⁻³]</w:t>
            </w:r>
          </w:p>
        </w:tc>
        <w:tc>
          <w:tcPr>
            <w:tcW w:type="dxa" w:w="936"/>
            <w:shd w:val="clear" w:color="auto" w:fill="F3F4FE"/>
          </w:tcPr>
          <w:p>
            <w:r>
              <w:rPr>
                <w:sz w:val="17"/>
              </w:rPr>
              <w:t>10</w:t>
            </w:r>
          </w:p>
        </w:tc>
        <w:tc>
          <w:tcPr>
            <w:tcW w:type="dxa" w:w="3240"/>
            <w:shd w:val="clear" w:color="auto" w:fill="F3F4FE"/>
          </w:tcPr>
          <w:p>
            <w:r>
              <w:rPr>
                <w:sz w:val="17"/>
              </w:rPr>
              <w:t>The bulk of cosmic value is delayed further into the future, reducing the present value of risk-reduction interventions that act on near-term timescales.</w:t>
            </w:r>
          </w:p>
        </w:tc>
      </w:tr>
      <w:tr>
        <w:tc>
          <w:tcPr>
            <w:tcW w:type="dxa" w:w="1728"/>
            <w:shd w:val="clear" w:color="auto" w:fill="FFFFFF"/>
          </w:tcPr>
          <w:p>
            <w:r>
              <w:rPr>
                <w:rFonts w:ascii="Courier New" w:hAnsi="Courier New"/>
                <w:sz w:val="17"/>
              </w:rPr>
              <w:t>cause_fractions_bio_nuclear_higher</w:t>
            </w:r>
          </w:p>
        </w:tc>
        <w:tc>
          <w:tcPr>
            <w:tcW w:type="dxa" w:w="1728"/>
            <w:shd w:val="clear" w:color="auto" w:fill="FFFFFF"/>
          </w:tcPr>
          <w:p>
            <w:r>
              <w:rPr>
                <w:sz w:val="17"/>
              </w:rPr>
              <w:t>Cause fractions of x-risk</w:t>
            </w:r>
          </w:p>
        </w:tc>
        <w:tc>
          <w:tcPr>
            <w:tcW w:type="dxa" w:w="2016"/>
            <w:shd w:val="clear" w:color="auto" w:fill="FFFFFF"/>
          </w:tcPr>
          <w:p>
            <w:r>
              <w:rPr>
                <w:sz w:val="17"/>
              </w:rPr>
              <w:t>Dirichlet means [bio=0.03, nuclear=0.03, AI=0.90, other=0.04]</w:t>
            </w:r>
          </w:p>
        </w:tc>
        <w:tc>
          <w:tcPr>
            <w:tcW w:type="dxa" w:w="1872"/>
            <w:shd w:val="clear" w:color="auto" w:fill="FFFFFF"/>
          </w:tcPr>
          <w:p>
            <w:r>
              <w:rPr>
                <w:sz w:val="17"/>
              </w:rPr>
              <w:t>bio → 0.30, nuclear → 0.30, AI → 0.36  (~10× shift for bio and nuclear)</w:t>
            </w:r>
          </w:p>
        </w:tc>
        <w:tc>
          <w:tcPr>
            <w:tcW w:type="dxa" w:w="936"/>
            <w:shd w:val="clear" w:color="auto" w:fill="FFFFFF"/>
          </w:tcPr>
          <w:p>
            <w:r>
              <w:rPr>
                <w:sz w:val="17"/>
              </w:rPr>
              <w:t>10</w:t>
            </w:r>
          </w:p>
        </w:tc>
        <w:tc>
          <w:tcPr>
            <w:tcW w:type="dxa" w:w="3240"/>
            <w:shd w:val="clear" w:color="auto" w:fill="FFFFFF"/>
          </w:tcPr>
          <w:p>
            <w:r>
              <w:rPr>
                <w:sz w:val="17"/>
              </w:rPr>
              <w:t>Tests the allocation sensitivity to the assumed share of total x-risk attributable to each cause. Since each fund's expected impact is proportional to its cause fraction, this directly tests whether the AI fund's dominance is driven by the AI cause-fraction assumption rather than its cost-effectiveness.</w:t>
            </w:r>
          </w:p>
        </w:tc>
      </w:tr>
      <w:tr>
        <w:tc>
          <w:tcPr>
            <w:tcW w:type="dxa" w:w="1728"/>
            <w:shd w:val="clear" w:color="auto" w:fill="F3F4FE"/>
          </w:tcPr>
          <w:p>
            <w:r>
              <w:rPr>
                <w:rFonts w:ascii="Courier New" w:hAnsi="Courier New"/>
                <w:sz w:val="17"/>
              </w:rPr>
              <w:t>rel_risk_10x_up</w:t>
            </w:r>
          </w:p>
        </w:tc>
        <w:tc>
          <w:tcPr>
            <w:tcW w:type="dxa" w:w="1728"/>
            <w:shd w:val="clear" w:color="auto" w:fill="F3F4FE"/>
          </w:tcPr>
          <w:p>
            <w:r>
              <w:rPr>
                <w:sz w:val="17"/>
              </w:rPr>
              <w:t>Relative cost-effectiveness  (rel_risk_reduction, all GCR funds)</w:t>
            </w:r>
          </w:p>
        </w:tc>
        <w:tc>
          <w:tcPr>
            <w:tcW w:type="dxa" w:w="2016"/>
            <w:shd w:val="clear" w:color="auto" w:fill="F3F4FE"/>
          </w:tcPr>
          <w:p>
            <w:r>
              <w:rPr>
                <w:sz w:val="17"/>
              </w:rPr>
              <w:t>loguniform CI scaled by fund budget</w:t>
            </w:r>
          </w:p>
        </w:tc>
        <w:tc>
          <w:tcPr>
            <w:tcW w:type="dxa" w:w="1872"/>
            <w:shd w:val="clear" w:color="auto" w:fill="F3F4FE"/>
          </w:tcPr>
          <w:p>
            <w:r>
              <w:rPr>
                <w:sz w:val="17"/>
              </w:rPr>
              <w:t>10× higher for all three GCR funds</w:t>
            </w:r>
          </w:p>
        </w:tc>
        <w:tc>
          <w:tcPr>
            <w:tcW w:type="dxa" w:w="936"/>
            <w:shd w:val="clear" w:color="auto" w:fill="F3F4FE"/>
          </w:tcPr>
          <w:p>
            <w:r>
              <w:rPr>
                <w:sz w:val="17"/>
              </w:rPr>
              <w:t>10</w:t>
            </w:r>
          </w:p>
        </w:tc>
        <w:tc>
          <w:tcPr>
            <w:tcW w:type="dxa" w:w="3240"/>
            <w:shd w:val="clear" w:color="auto" w:fill="F3F4FE"/>
          </w:tcPr>
          <w:p>
            <w:r>
              <w:rPr>
                <w:sz w:val="17"/>
              </w:rPr>
              <w:t>Tests whether the GCR funds' absolute cost-effectiveness is high enough to dominate the portfolio when assumed to be 10× more effective. If even a 10× improvement does not substantially shift the allocation, GCR funds are near a score ceiling relative to diminishing returns. If it does shift dramatically, cost-effectiveness assumptions are the key bottleneck.</w:t>
            </w:r>
          </w:p>
        </w:tc>
      </w:tr>
      <w:tr>
        <w:tc>
          <w:tcPr>
            <w:tcW w:type="dxa" w:w="1728"/>
            <w:shd w:val="clear" w:color="auto" w:fill="FFFFFF"/>
          </w:tcPr>
          <w:p>
            <w:r>
              <w:rPr>
                <w:rFonts w:ascii="Courier New" w:hAnsi="Courier New"/>
                <w:sz w:val="17"/>
              </w:rPr>
              <w:t>rel_risk_10x_down</w:t>
            </w:r>
          </w:p>
        </w:tc>
        <w:tc>
          <w:tcPr>
            <w:tcW w:type="dxa" w:w="1728"/>
            <w:shd w:val="clear" w:color="auto" w:fill="FFFFFF"/>
          </w:tcPr>
          <w:p>
            <w:r>
              <w:rPr>
                <w:sz w:val="17"/>
              </w:rPr>
              <w:t>Relative cost-effectiveness  (rel_risk_reduction, all GCR funds)</w:t>
            </w:r>
          </w:p>
        </w:tc>
        <w:tc>
          <w:tcPr>
            <w:tcW w:type="dxa" w:w="2016"/>
            <w:shd w:val="clear" w:color="auto" w:fill="FFFFFF"/>
          </w:tcPr>
          <w:p>
            <w:r>
              <w:rPr>
                <w:sz w:val="17"/>
              </w:rPr>
              <w:t>loguniform CI scaled by fund budget</w:t>
            </w:r>
          </w:p>
        </w:tc>
        <w:tc>
          <w:tcPr>
            <w:tcW w:type="dxa" w:w="1872"/>
            <w:shd w:val="clear" w:color="auto" w:fill="FFFFFF"/>
          </w:tcPr>
          <w:p>
            <w:r>
              <w:rPr>
                <w:sz w:val="17"/>
              </w:rPr>
              <w:t>10× lower for all three GCR funds</w:t>
            </w:r>
          </w:p>
        </w:tc>
        <w:tc>
          <w:tcPr>
            <w:tcW w:type="dxa" w:w="936"/>
            <w:shd w:val="clear" w:color="auto" w:fill="FFFFFF"/>
          </w:tcPr>
          <w:p>
            <w:r>
              <w:rPr>
                <w:sz w:val="17"/>
              </w:rPr>
              <w:t>10</w:t>
            </w:r>
          </w:p>
        </w:tc>
        <w:tc>
          <w:tcPr>
            <w:tcW w:type="dxa" w:w="3240"/>
            <w:shd w:val="clear" w:color="auto" w:fill="FFFFFF"/>
          </w:tcPr>
          <w:p>
            <w:r>
              <w:rPr>
                <w:sz w:val="17"/>
              </w:rPr>
              <w:t>Identifies the threshold below which GCR funds lose out to near-term alternatives, and how rapidly the portfolio rebalances toward GiveWell, LEAF, and animal welfare funds.</w:t>
            </w:r>
          </w:p>
        </w:tc>
      </w:tr>
      <w:tr>
        <w:tc>
          <w:tcPr>
            <w:tcW w:type="dxa" w:w="1728"/>
            <w:shd w:val="clear" w:color="auto" w:fill="F3F4FE"/>
          </w:tcPr>
          <w:p>
            <w:r>
              <w:rPr>
                <w:rFonts w:ascii="Courier New" w:hAnsi="Courier New"/>
                <w:sz w:val="17"/>
              </w:rPr>
              <w:t>rel_risk_100x_down</w:t>
            </w:r>
          </w:p>
        </w:tc>
        <w:tc>
          <w:tcPr>
            <w:tcW w:type="dxa" w:w="1728"/>
            <w:shd w:val="clear" w:color="auto" w:fill="F3F4FE"/>
          </w:tcPr>
          <w:p>
            <w:r>
              <w:rPr>
                <w:sz w:val="17"/>
              </w:rPr>
              <w:t>Relative cost-effectiveness  (rel_risk_reduction, all GCR funds)</w:t>
            </w:r>
          </w:p>
        </w:tc>
        <w:tc>
          <w:tcPr>
            <w:tcW w:type="dxa" w:w="2016"/>
            <w:shd w:val="clear" w:color="auto" w:fill="F3F4FE"/>
          </w:tcPr>
          <w:p>
            <w:r>
              <w:rPr>
                <w:sz w:val="17"/>
              </w:rPr>
              <w:t>loguniform CI scaled by fund budget</w:t>
            </w:r>
          </w:p>
        </w:tc>
        <w:tc>
          <w:tcPr>
            <w:tcW w:type="dxa" w:w="1872"/>
            <w:shd w:val="clear" w:color="auto" w:fill="F3F4FE"/>
          </w:tcPr>
          <w:p>
            <w:r>
              <w:rPr>
                <w:sz w:val="17"/>
              </w:rPr>
              <w:t>100× lower for all three GCR funds</w:t>
            </w:r>
          </w:p>
        </w:tc>
        <w:tc>
          <w:tcPr>
            <w:tcW w:type="dxa" w:w="936"/>
            <w:shd w:val="clear" w:color="auto" w:fill="F3F4FE"/>
          </w:tcPr>
          <w:p>
            <w:r>
              <w:rPr>
                <w:sz w:val="17"/>
              </w:rPr>
              <w:t>100</w:t>
            </w:r>
          </w:p>
        </w:tc>
        <w:tc>
          <w:tcPr>
            <w:tcW w:type="dxa" w:w="3240"/>
            <w:shd w:val="clear" w:color="auto" w:fill="F3F4FE"/>
          </w:tcPr>
          <w:p>
            <w:r>
              <w:rPr>
                <w:sz w:val="17"/>
              </w:rPr>
              <w:t>Extends rel_risk_10x_down by a further order of magnitude. If GCR funds still hold appreciable allocation under a 100× cost-effectiveness reduction, it signals that the longtermist component of the worldview mixture is sufficiently dominant to sustain GCR investment even at very low effectiveness.</w:t>
            </w:r>
          </w:p>
        </w:tc>
      </w:tr>
      <w:tr>
        <w:tc>
          <w:tcPr>
            <w:tcW w:type="dxa" w:w="1728"/>
            <w:shd w:val="clear" w:color="auto" w:fill="FFFFFF"/>
          </w:tcPr>
          <w:p>
            <w:r>
              <w:rPr>
                <w:rFonts w:ascii="Courier New" w:hAnsi="Courier New"/>
                <w:sz w:val="17"/>
              </w:rPr>
              <w:t>p_zero_5x_lower</w:t>
            </w:r>
          </w:p>
        </w:tc>
        <w:tc>
          <w:tcPr>
            <w:tcW w:type="dxa" w:w="1728"/>
            <w:shd w:val="clear" w:color="auto" w:fill="FFFFFF"/>
          </w:tcPr>
          <w:p>
            <w:r>
              <w:rPr>
                <w:sz w:val="17"/>
              </w:rPr>
              <w:t>Outcome probabilities  (p_harm / p_zero / p_positive)</w:t>
            </w:r>
          </w:p>
        </w:tc>
        <w:tc>
          <w:tcPr>
            <w:tcW w:type="dxa" w:w="2016"/>
            <w:shd w:val="clear" w:color="auto" w:fill="FFFFFF"/>
          </w:tcPr>
          <w:p>
            <w:r>
              <w:rPr>
                <w:sz w:val="17"/>
              </w:rPr>
              <w:t>Dirichlet means — Sentinel/Nuclear: [harm=0.05, zero=0.50, pos=0.45]; AI: [harm=0.15, zero=0.50, pos=0.35]</w:t>
            </w:r>
          </w:p>
        </w:tc>
        <w:tc>
          <w:tcPr>
            <w:tcW w:type="dxa" w:w="1872"/>
            <w:shd w:val="clear" w:color="auto" w:fill="FFFFFF"/>
          </w:tcPr>
          <w:p>
            <w:r>
              <w:rPr>
                <w:sz w:val="17"/>
              </w:rPr>
              <w:t>p_zero ÷5 (0.50→0.10); surplus redistributed proportionally to p_harm and p_positive</w:t>
            </w:r>
          </w:p>
        </w:tc>
        <w:tc>
          <w:tcPr>
            <w:tcW w:type="dxa" w:w="936"/>
            <w:shd w:val="clear" w:color="auto" w:fill="FFFFFF"/>
          </w:tcPr>
          <w:p>
            <w:r>
              <w:rPr>
                <w:sz w:val="17"/>
              </w:rPr>
              <w:t>5</w:t>
            </w:r>
          </w:p>
        </w:tc>
        <w:tc>
          <w:tcPr>
            <w:tcW w:type="dxa" w:w="3240"/>
            <w:shd w:val="clear" w:color="auto" w:fill="FFFFFF"/>
          </w:tcPr>
          <w:p>
            <w:r>
              <w:rPr>
                <w:sz w:val="17"/>
              </w:rPr>
              <w:t>Tests the scenario in which interventions are much less likely to have zero impact, with released probability mass redistributed proportionally between harm and positive outcomes. This represents greater certainty that the intervention does something — but in proportion to prior beliefs about whether that something is good or bad.</w:t>
            </w:r>
          </w:p>
        </w:tc>
      </w:tr>
      <w:tr>
        <w:tc>
          <w:tcPr>
            <w:tcW w:type="dxa" w:w="1728"/>
            <w:shd w:val="clear" w:color="auto" w:fill="F3F4FE"/>
          </w:tcPr>
          <w:p>
            <w:r>
              <w:rPr>
                <w:rFonts w:ascii="Courier New" w:hAnsi="Courier New"/>
                <w:sz w:val="17"/>
              </w:rPr>
              <w:t>near_pessimistic_outcomes</w:t>
            </w:r>
          </w:p>
        </w:tc>
        <w:tc>
          <w:tcPr>
            <w:tcW w:type="dxa" w:w="1728"/>
            <w:shd w:val="clear" w:color="auto" w:fill="F3F4FE"/>
          </w:tcPr>
          <w:p>
            <w:r>
              <w:rPr>
                <w:sz w:val="17"/>
              </w:rPr>
              <w:t>Outcome probabilities  (p_harm / p_zero / p_positive)</w:t>
            </w:r>
          </w:p>
        </w:tc>
        <w:tc>
          <w:tcPr>
            <w:tcW w:type="dxa" w:w="2016"/>
            <w:shd w:val="clear" w:color="auto" w:fill="F3F4FE"/>
          </w:tcPr>
          <w:p>
            <w:r>
              <w:rPr>
                <w:sz w:val="17"/>
              </w:rPr>
              <w:t>Dirichlet means — Sentinel/Nuclear: [harm=0.05, zero=0.50, pos=0.45]; AI: [harm=0.15, zero=0.50, pos=0.35]</w:t>
            </w:r>
          </w:p>
        </w:tc>
        <w:tc>
          <w:tcPr>
            <w:tcW w:type="dxa" w:w="1872"/>
            <w:shd w:val="clear" w:color="auto" w:fill="F3F4FE"/>
          </w:tcPr>
          <w:p>
            <w:r>
              <w:rPr>
                <w:sz w:val="17"/>
              </w:rPr>
              <w:t>All funds: p_harm=0.225, p_zero=0.50, p_positive=0.275 → gap = 0.05 pp</w:t>
            </w:r>
          </w:p>
        </w:tc>
        <w:tc>
          <w:tcPr>
            <w:tcW w:type="dxa" w:w="936"/>
            <w:shd w:val="clear" w:color="auto" w:fill="F3F4FE"/>
          </w:tcPr>
          <w:p>
            <w:r>
              <w:rPr>
                <w:sz w:val="17"/>
              </w:rPr>
              <w:t>N/A (categorical)</w:t>
            </w:r>
          </w:p>
        </w:tc>
        <w:tc>
          <w:tcPr>
            <w:tcW w:type="dxa" w:w="3240"/>
            <w:shd w:val="clear" w:color="auto" w:fill="F3F4FE"/>
          </w:tcPr>
          <w:p>
            <w:r>
              <w:rPr>
                <w:sz w:val="17"/>
              </w:rPr>
              <w:t>Stress-tests sign uncertainty. In the base case the net positive signal (p_positive − p_harm) is ~0.40 for Sentinel/Nuclear and ~0.20 for AI. This scenario narrows the gap to 0.05 for all funds, making outcomes nearly as likely to be harmful as beneficial, while holding p_zero constant.</w:t>
            </w:r>
          </w:p>
        </w:tc>
      </w:tr>
    </w:tbl>
    <w:p/>
    <w:p>
      <w:pPr>
        <w:pStyle w:val="Heading2"/>
      </w:pPr>
      <w:r>
        <w:t>Ethical Perspectives Used in the Comparison</w:t>
      </w:r>
    </w:p>
    <w:p>
      <w:r>
        <w:t>Rather than assuming a single set of values, the analysis runs under three distinct ethical perspectives simultaneously. The budget is divided across perspectives in proportion to their credence weights. At each $2M step, each perspective independently directs its share of the money to whichever fund looks most cost-effective from that perspective's point of view. The final allocation reflects all three perspectives in proportion to how much weight is placed on each.</w:t>
      </w:r>
    </w:p>
    <w:p/>
    <w:tbl>
      <w:tblPr>
        <w:tblStyle w:val="TableGrid"/>
        <w:tblW w:type="auto" w:w="0"/>
        <w:tblLook w:firstColumn="1" w:firstRow="1" w:lastColumn="0" w:lastRow="0" w:noHBand="0" w:noVBand="1" w:val="04A0"/>
      </w:tblPr>
      <w:tblGrid>
        <w:gridCol w:w="2340"/>
        <w:gridCol w:w="2340"/>
        <w:gridCol w:w="2340"/>
        <w:gridCol w:w="2340"/>
      </w:tblGrid>
      <w:tr>
        <w:tc>
          <w:tcPr>
            <w:tcW w:type="dxa" w:w="2592"/>
            <w:shd w:val="clear" w:color="auto" w:fill="1A237E"/>
          </w:tcPr>
          <w:p>
            <w:r>
              <w:rPr>
                <w:b/>
                <w:color w:val="FFFFFF"/>
                <w:sz w:val="18"/>
              </w:rPr>
              <w:t>Perspective</w:t>
            </w:r>
          </w:p>
        </w:tc>
        <w:tc>
          <w:tcPr>
            <w:tcW w:type="dxa" w:w="1008"/>
            <w:shd w:val="clear" w:color="auto" w:fill="1A237E"/>
          </w:tcPr>
          <w:p>
            <w:r>
              <w:rPr>
                <w:b/>
                <w:color w:val="FFFFFF"/>
                <w:sz w:val="18"/>
              </w:rPr>
              <w:t>Weight</w:t>
            </w:r>
          </w:p>
        </w:tc>
        <w:tc>
          <w:tcPr>
            <w:tcW w:type="dxa" w:w="3312"/>
            <w:shd w:val="clear" w:color="auto" w:fill="1A237E"/>
          </w:tcPr>
          <w:p>
            <w:r>
              <w:rPr>
                <w:b/>
                <w:color w:val="FFFFFF"/>
                <w:sz w:val="18"/>
              </w:rPr>
              <w:t>Attitude to risk</w:t>
            </w:r>
          </w:p>
        </w:tc>
        <w:tc>
          <w:tcPr>
            <w:tcW w:type="dxa" w:w="4608"/>
            <w:shd w:val="clear" w:color="auto" w:fill="1A237E"/>
          </w:tcPr>
          <w:p>
            <w:r>
              <w:rPr>
                <w:b/>
                <w:color w:val="FFFFFF"/>
                <w:sz w:val="18"/>
              </w:rPr>
              <w:t>Extinction discount</w:t>
            </w:r>
          </w:p>
        </w:tc>
      </w:tr>
      <w:tr>
        <w:tc>
          <w:tcPr>
            <w:tcW w:type="dxa" w:w="2592"/>
            <w:shd w:val="clear" w:color="auto" w:fill="F3F4FE"/>
          </w:tcPr>
          <w:p>
            <w:r>
              <w:rPr>
                <w:sz w:val="18"/>
              </w:rPr>
              <w:t>Human-focused, near-term</w:t>
            </w:r>
          </w:p>
        </w:tc>
        <w:tc>
          <w:tcPr>
            <w:tcW w:type="dxa" w:w="1008"/>
            <w:shd w:val="clear" w:color="auto" w:fill="F3F4FE"/>
          </w:tcPr>
          <w:p>
            <w:r>
              <w:rPr>
                <w:sz w:val="18"/>
              </w:rPr>
              <w:t>35%</w:t>
            </w:r>
          </w:p>
        </w:tc>
        <w:tc>
          <w:tcPr>
            <w:tcW w:type="dxa" w:w="3312"/>
            <w:shd w:val="clear" w:color="auto" w:fill="F3F4FE"/>
          </w:tcPr>
          <w:p>
            <w:r>
              <w:rPr>
                <w:sz w:val="18"/>
              </w:rPr>
              <w:t>Risk-neutral (takes expected values at face value)</w:t>
            </w:r>
          </w:p>
        </w:tc>
        <w:tc>
          <w:tcPr>
            <w:tcW w:type="dxa" w:w="4608"/>
            <w:shd w:val="clear" w:color="auto" w:fill="F3F4FE"/>
          </w:tcPr>
          <w:p>
            <w:r>
              <w:rPr>
                <w:sz w:val="18"/>
              </w:rPr>
              <w:t>10% — relatively low concern that civilisation will not survive to benefit from long-run investments</w:t>
            </w:r>
          </w:p>
        </w:tc>
      </w:tr>
      <w:tr>
        <w:tc>
          <w:tcPr>
            <w:tcW w:type="dxa" w:w="2592"/>
            <w:shd w:val="clear" w:color="auto" w:fill="FFFFFF"/>
          </w:tcPr>
          <w:p>
            <w:r>
              <w:rPr>
                <w:sz w:val="18"/>
              </w:rPr>
              <w:t>Animal welfare, near-term</w:t>
            </w:r>
          </w:p>
        </w:tc>
        <w:tc>
          <w:tcPr>
            <w:tcW w:type="dxa" w:w="1008"/>
            <w:shd w:val="clear" w:color="auto" w:fill="FFFFFF"/>
          </w:tcPr>
          <w:p>
            <w:r>
              <w:rPr>
                <w:sz w:val="18"/>
              </w:rPr>
              <w:t>40%</w:t>
            </w:r>
          </w:p>
        </w:tc>
        <w:tc>
          <w:tcPr>
            <w:tcW w:type="dxa" w:w="3312"/>
            <w:shd w:val="clear" w:color="auto" w:fill="FFFFFF"/>
          </w:tcPr>
          <w:p>
            <w:r>
              <w:rPr>
                <w:sz w:val="18"/>
              </w:rPr>
              <w:t>Mildly loss-averse (bad outcomes weighted slightly more than good ones)</w:t>
            </w:r>
          </w:p>
        </w:tc>
        <w:tc>
          <w:tcPr>
            <w:tcW w:type="dxa" w:w="4608"/>
            <w:shd w:val="clear" w:color="auto" w:fill="FFFFFF"/>
          </w:tcPr>
          <w:p>
            <w:r>
              <w:rPr>
                <w:sz w:val="18"/>
              </w:rPr>
              <w:t>5% — very low extinction concern; near-term welfare dominates</w:t>
            </w:r>
          </w:p>
        </w:tc>
      </w:tr>
      <w:tr>
        <w:tc>
          <w:tcPr>
            <w:tcW w:type="dxa" w:w="2592"/>
            <w:shd w:val="clear" w:color="auto" w:fill="F3F4FE"/>
          </w:tcPr>
          <w:p>
            <w:r>
              <w:rPr>
                <w:sz w:val="18"/>
              </w:rPr>
              <w:t>Longtermist, high extinction concern</w:t>
            </w:r>
          </w:p>
        </w:tc>
        <w:tc>
          <w:tcPr>
            <w:tcW w:type="dxa" w:w="1008"/>
            <w:shd w:val="clear" w:color="auto" w:fill="F3F4FE"/>
          </w:tcPr>
          <w:p>
            <w:r>
              <w:rPr>
                <w:sz w:val="18"/>
              </w:rPr>
              <w:t>25%</w:t>
            </w:r>
          </w:p>
        </w:tc>
        <w:tc>
          <w:tcPr>
            <w:tcW w:type="dxa" w:w="3312"/>
            <w:shd w:val="clear" w:color="auto" w:fill="F3F4FE"/>
          </w:tcPr>
          <w:p>
            <w:r>
              <w:rPr>
                <w:sz w:val="18"/>
              </w:rPr>
              <w:t>Moderately loss-averse</w:t>
            </w:r>
          </w:p>
        </w:tc>
        <w:tc>
          <w:tcPr>
            <w:tcW w:type="dxa" w:w="4608"/>
            <w:shd w:val="clear" w:color="auto" w:fill="F3F4FE"/>
          </w:tcPr>
          <w:p>
            <w:r>
              <w:rPr>
                <w:sz w:val="18"/>
              </w:rPr>
              <w:t>50% — high concern that future generations may not exist; strongly discounts benefits that only materialise if civilisation survives</w:t>
            </w:r>
          </w:p>
        </w:tc>
      </w:tr>
    </w:tbl>
    <w:p/>
    <w:p>
      <w:r>
        <w:t>Each perspective also assigns different relative values to human and animal welfare (the human-focused perspective places near-zero weight on animal wellbeing; the animal welfare perspective weights chickens, fish, and mammals substantially) and discounts the future at different rates (the longtermist perspective treats outcomes 500 years from now as nearly as important as outcomes today; the human-focused perspective discounts sharply beyond 20 years). These differences mean the three perspectives often disagree sharply on which fund deserves the most money.</w:t>
      </w:r>
    </w:p>
    <w:p/>
    <w:p>
      <w:pPr>
        <w:jc w:val="center"/>
      </w:pPr>
      <w:r>
        <w:rPr>
          <w:color w:val="888888"/>
          <w:sz w:val="16"/>
        </w:rPr>
        <w:t>Generated automatically by generate_methodology_doc.py. Part II reflects SCENARIO_METADATA in that file; keep it in sync with SCENARIOS in run_sensitivity.py when adding or removing scenarios.</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