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AW Intervention Model: Methodology &amp; Parameters</w:t>
      </w:r>
    </w:p>
    <w:p>
      <w:pPr>
        <w:jc w:val="center"/>
      </w:pPr>
      <w:r>
        <w:rPr>
          <w:color w:val="325AA0"/>
          <w:sz w:val="26"/>
        </w:rPr>
        <w:t>How animal welfare intervention cost-effectiveness distributions are constructed</w:t>
      </w:r>
    </w:p>
    <w:p>
      <w:pPr>
        <w:jc w:val="center"/>
      </w:pPr>
      <w:r>
        <w:rPr>
          <w:i/>
          <w:color w:val="787878"/>
          <w:sz w:val="18"/>
        </w:rPr>
        <w:t>Generated from aw_intervention_models.py and aw_model_intervention_estimates.yaml</w:t>
      </w:r>
    </w:p>
    <w:p/>
    <w:p>
      <w:pPr>
        <w:pStyle w:val="Heading1"/>
      </w:pPr>
      <w:r>
        <w:t>1.  Purpose and framing</w:t>
      </w:r>
    </w:p>
    <w:p>
      <w:pPr>
        <w:spacing w:after="80"/>
      </w:pPr>
      <w:r>
        <w:rPr>
          <w:sz w:val="20"/>
        </w:rPr>
        <w:t>This document describes the methodology behind aw_intervention_models.py, which produces the cost-effectiveness distribution inputs for Rethink Priorities' animal welfare intervention model.</w:t>
      </w:r>
    </w:p>
    <w:p>
      <w:pPr>
        <w:spacing w:after="80"/>
      </w:pPr>
      <w:r>
        <w:rPr>
          <w:sz w:val="20"/>
        </w:rPr>
        <w:t>Context: Rethink Priorities built this model to evaluate the cost-effectiveness of animal welfare donations on behalf of Anthropic staff who are deciding where to direct their personal philanthropy. Rethink Priorities is the evaluator, not the funder. The organisations and funds assessed here are candidates for Anthropic staff giving, not recipients of RP grants.</w:t>
      </w:r>
    </w:p>
    <w:p>
      <w:pPr>
        <w:spacing w:after="80"/>
      </w:pPr>
      <w:r>
        <w:rPr>
          <w:sz w:val="20"/>
        </w:rPr>
        <w:t>All distributions are based on analyst estimates. Full derivations are documented in the linked Google Doc (see aw_intervention_models.py header).</w:t>
      </w:r>
    </w:p>
    <w:p>
      <w:pPr>
        <w:spacing w:before="80" w:after="120"/>
        <w:ind w:left="283" w:right="283"/>
        <w:shd w:val="clear" w:color="auto" w:fill="FFFADC"/>
      </w:pPr>
      <w:r>
        <w:rPr>
          <w:i/>
          <w:color w:val="503C00"/>
          <w:sz w:val="18"/>
        </w:rPr>
        <w:t>Note: Unit: all outputs are in suffering-years averted per $1,000 spent on the intervention (pre-moral-weight). Moral weight adjustments — reflecting how much weight to give animal welfare relative to human welfare — are applied separately downstream. This pipeline uses pre-weight values directly, labelled 'animal DALYs', pending confirmation on which weights to apply.</w:t>
      </w:r>
    </w:p>
    <w:p>
      <w:pPr>
        <w:pStyle w:val="Heading1"/>
      </w:pPr>
      <w:r>
        <w:t>2.  Output files</w:t>
      </w:r>
    </w:p>
    <w:p>
      <w:pPr>
        <w:spacing w:after="80"/>
      </w:pPr>
      <w:r>
        <w:rPr>
          <w:sz w:val="20"/>
        </w:rPr>
        <w:t>aw_intervention_models.py produces three outputs:</w:t>
      </w:r>
    </w:p>
    <w:p>
      <w:pPr>
        <w:pStyle w:val="ListBullet"/>
        <w:spacing w:after="40"/>
      </w:pPr>
      <w:r>
        <w:rPr>
          <w:b/>
          <w:sz w:val="20"/>
        </w:rPr>
        <w:t>YAML.</w:t>
      </w:r>
      <w:r>
        <w:rPr>
          <w:sz w:val="20"/>
        </w:rPr>
        <w:t xml:space="preserve">  aw_model_intervention_estimates.yaml — percentile summaries (p1/p5/p10/p50/p90/p95/p99/mean) and 10,000 downsampled empirical samples per intervention.</w:t>
      </w:r>
    </w:p>
    <w:p>
      <w:pPr>
        <w:pStyle w:val="ListBullet"/>
        <w:spacing w:after="40"/>
      </w:pPr>
      <w:r>
        <w:rPr>
          <w:b/>
          <w:sz w:val="20"/>
        </w:rPr>
        <w:t>NPZ.</w:t>
      </w:r>
      <w:r>
        <w:rPr>
          <w:sz w:val="20"/>
        </w:rPr>
        <w:t xml:space="preserve">  samples/aw_model_intervention_samples_100k.npz — full 100,000 samples per intervention, compressed. Used by the AW model pipeline for maximum accuracy.</w:t>
      </w:r>
    </w:p>
    <w:p>
      <w:pPr>
        <w:pStyle w:val="ListBullet"/>
        <w:spacing w:after="40"/>
      </w:pPr>
      <w:r>
        <w:rPr>
          <w:b/>
          <w:sz w:val="20"/>
        </w:rPr>
        <w:t>CSV + histograms.</w:t>
      </w:r>
      <w:r>
        <w:rPr>
          <w:sz w:val="20"/>
        </w:rPr>
        <w:t xml:space="preserve">  outputs/aw_model_extended_statistics.csv — extended percentile summary (0.15th to 99.85th) and histograms for QC purposes.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2DCF0"/>
          </w:tcPr>
          <w:p>
            <w:r>
              <w:rPr>
                <w:b/>
                <w:color w:val="1E3C78"/>
                <w:sz w:val="18"/>
              </w:rPr>
              <w:t>File</w:t>
            </w:r>
          </w:p>
        </w:tc>
        <w:tc>
          <w:tcPr>
            <w:tcW w:type="dxa" w:w="3135"/>
            <w:shd w:val="clear" w:color="auto" w:fill="D2DCF0"/>
          </w:tcPr>
          <w:p>
            <w:r>
              <w:rPr>
                <w:b/>
                <w:color w:val="1E3C78"/>
                <w:sz w:val="18"/>
              </w:rPr>
              <w:t>Samples per intervention</w:t>
            </w:r>
          </w:p>
        </w:tc>
        <w:tc>
          <w:tcPr>
            <w:tcW w:type="dxa" w:w="3135"/>
            <w:shd w:val="clear" w:color="auto" w:fill="D2DCF0"/>
          </w:tcPr>
          <w:p>
            <w:r>
              <w:rPr>
                <w:b/>
                <w:color w:val="1E3C78"/>
                <w:sz w:val="18"/>
              </w:rPr>
              <w:t>Primary use</w:t>
            </w:r>
          </w:p>
        </w:tc>
      </w:tr>
      <w:tr>
        <w:tc>
          <w:tcPr>
            <w:tcW w:type="dxa" w:w="3135"/>
            <w:shd w:val="clear" w:color="auto" w:fill="F5F7FC"/>
          </w:tcPr>
          <w:p>
            <w:r>
              <w:rPr>
                <w:sz w:val="18"/>
              </w:rPr>
              <w:t>aw_model_intervention_estimates.yaml</w:t>
            </w:r>
          </w:p>
        </w:tc>
        <w:tc>
          <w:tcPr>
            <w:tcW w:type="dxa" w:w="3135"/>
            <w:shd w:val="clear" w:color="auto" w:fill="F5F7FC"/>
          </w:tcPr>
          <w:p>
            <w:r>
              <w:rPr>
                <w:sz w:val="18"/>
              </w:rPr>
              <w:t>10,000 (downsampled)</w:t>
            </w:r>
          </w:p>
        </w:tc>
        <w:tc>
          <w:tcPr>
            <w:tcW w:type="dxa" w:w="3135"/>
            <w:shd w:val="clear" w:color="auto" w:fill="F5F7FC"/>
          </w:tcPr>
          <w:p>
            <w:r>
              <w:rPr>
                <w:sz w:val="18"/>
              </w:rPr>
              <w:t>Human-readable percentiles; fallback for model pipeline</w:t>
            </w:r>
          </w:p>
        </w:tc>
      </w:tr>
      <w:tr>
        <w:tc>
          <w:tcPr>
            <w:tcW w:type="dxa" w:w="3135"/>
            <w:shd w:val="clear" w:color="auto" w:fill="FFFFFF"/>
          </w:tcPr>
          <w:p>
            <w:r>
              <w:rPr>
                <w:sz w:val="18"/>
              </w:rPr>
              <w:t>aw_model_intervention_samples_100k.npz</w:t>
            </w:r>
          </w:p>
        </w:tc>
        <w:tc>
          <w:tcPr>
            <w:tcW w:type="dxa" w:w="3135"/>
            <w:shd w:val="clear" w:color="auto" w:fill="FFFFFF"/>
          </w:tcPr>
          <w:p>
            <w:r>
              <w:rPr>
                <w:sz w:val="18"/>
              </w:rPr>
              <w:t>100,000 (full)</w:t>
            </w:r>
          </w:p>
        </w:tc>
        <w:tc>
          <w:tcPr>
            <w:tcW w:type="dxa" w:w="3135"/>
            <w:shd w:val="clear" w:color="auto" w:fill="FFFFFF"/>
          </w:tcPr>
          <w:p>
            <w:r>
              <w:rPr>
                <w:sz w:val="18"/>
              </w:rPr>
              <w:t>Primary input to AW model pipeline</w:t>
            </w:r>
          </w:p>
        </w:tc>
      </w:tr>
      <w:tr>
        <w:tc>
          <w:tcPr>
            <w:tcW w:type="dxa" w:w="3135"/>
            <w:shd w:val="clear" w:color="auto" w:fill="F5F7FC"/>
          </w:tcPr>
          <w:p>
            <w:r>
              <w:rPr>
                <w:sz w:val="18"/>
              </w:rPr>
              <w:t>aw_model_extended_statistics.csv</w:t>
            </w:r>
          </w:p>
        </w:tc>
        <w:tc>
          <w:tcPr>
            <w:tcW w:type="dxa" w:w="3135"/>
            <w:shd w:val="clear" w:color="auto" w:fill="F5F7FC"/>
          </w:tcPr>
          <w:p>
            <w:r>
              <w:rPr>
                <w:sz w:val="18"/>
              </w:rPr>
              <w:t>Summary stats only</w:t>
            </w:r>
          </w:p>
        </w:tc>
        <w:tc>
          <w:tcPr>
            <w:tcW w:type="dxa" w:w="3135"/>
            <w:shd w:val="clear" w:color="auto" w:fill="F5F7FC"/>
          </w:tcPr>
          <w:p>
            <w:r>
              <w:rPr>
                <w:sz w:val="18"/>
              </w:rPr>
              <w:t>QC and documentation</w:t>
            </w:r>
          </w:p>
        </w:tc>
      </w:tr>
    </w:tbl>
    <w:p/>
    <w:p>
      <w:pPr>
        <w:pStyle w:val="Heading1"/>
      </w:pPr>
      <w:r>
        <w:t>3.  Sampling methodology</w:t>
      </w:r>
    </w:p>
    <w:p>
      <w:pPr>
        <w:spacing w:after="80"/>
      </w:pPr>
      <w:r>
        <w:rPr>
          <w:sz w:val="20"/>
        </w:rPr>
        <w:t>All distributions are sampled at N = 100,000 draws with random seed 42 for reproducibility. Two helper functions are used:</w:t>
      </w:r>
    </w:p>
    <w:p>
      <w:pPr>
        <w:pStyle w:val="ListBullet"/>
        <w:spacing w:after="40"/>
      </w:pPr>
      <w:r>
        <w:rPr>
          <w:b/>
          <w:sz w:val="20"/>
        </w:rPr>
        <w:t>Lognormal from CI.</w:t>
      </w:r>
      <w:r>
        <w:rPr>
          <w:sz w:val="20"/>
        </w:rPr>
        <w:t xml:space="preserve">  sample_lognorm_ci(lo, hi, credibility=90) — fits a lognormal to a confidence interval [lo, hi] at the specified credibility level (default 90%, i.e. lo=p5, hi=p95). sigma = (log(hi) - log(lo)) / (2 * z_0.95).</w:t>
      </w:r>
    </w:p>
    <w:p>
      <w:pPr>
        <w:pStyle w:val="ListBullet"/>
        <w:spacing w:after="40"/>
      </w:pPr>
      <w:r>
        <w:rPr>
          <w:b/>
          <w:sz w:val="20"/>
        </w:rPr>
        <w:t>Normal from CI.</w:t>
      </w:r>
      <w:r>
        <w:rPr>
          <w:sz w:val="20"/>
        </w:rPr>
        <w:t xml:space="preserve">  sample_norm_ci(lo, hi, credibility=90) — fits a normal distribution to a confidence interval. Used where the quantity can be negative or is symmetric on a linear scale.</w:t>
      </w:r>
    </w:p>
    <w:p>
      <w:pPr>
        <w:pStyle w:val="ListBullet"/>
        <w:spacing w:after="40"/>
      </w:pPr>
      <w:r>
        <w:rPr>
          <w:b/>
          <w:sz w:val="20"/>
        </w:rPr>
        <w:t>Beta.</w:t>
      </w:r>
      <w:r>
        <w:rPr>
          <w:sz w:val="20"/>
        </w:rPr>
        <w:t xml:space="preserve">  sample_beta(a, b) — draws from a Beta distribution. Used for proportions (e.g. fraction of suffering reduced, probability of campaign success).</w:t>
      </w:r>
    </w:p>
    <w:p>
      <w:pPr>
        <w:spacing w:after="80"/>
      </w:pPr>
      <w:r>
        <w:rPr>
          <w:sz w:val="20"/>
        </w:rPr>
        <w:t>Downsampling to 10,000 uses quantile spacing (np.quantile at evenly-spaced quantiles) to preserve the full shape of the distribution with minimal information loss.</w:t>
      </w:r>
    </w:p>
    <w:p>
      <w:pPr>
        <w:pStyle w:val="Heading1"/>
      </w:pPr>
      <w:r>
        <w:t>4.  Per-intervention methodology</w:t>
      </w:r>
    </w:p>
    <w:p>
      <w:pPr>
        <w:spacing w:after="80"/>
      </w:pPr>
      <w:r>
        <w:rPr>
          <w:sz w:val="20"/>
        </w:rPr>
        <w:t>Seven interventions are currently modelled. For each, the table below shows the data source, the key distributional assumptions, and the current central estimate (median and mean per $1,000 spent on the intervention).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2DCF0"/>
          </w:tcPr>
          <w:p>
            <w:r>
              <w:rPr>
                <w:b/>
                <w:color w:val="1E3C78"/>
                <w:sz w:val="18"/>
              </w:rPr>
              <w:t>Intervention</w:t>
            </w:r>
          </w:p>
        </w:tc>
        <w:tc>
          <w:tcPr>
            <w:tcW w:type="dxa" w:w="1568"/>
            <w:shd w:val="clear" w:color="auto" w:fill="D2DCF0"/>
          </w:tcPr>
          <w:p>
            <w:r>
              <w:rPr>
                <w:b/>
                <w:color w:val="1E3C78"/>
                <w:sz w:val="18"/>
              </w:rPr>
              <w:t>Data source</w:t>
            </w:r>
          </w:p>
        </w:tc>
        <w:tc>
          <w:tcPr>
            <w:tcW w:type="dxa" w:w="1568"/>
            <w:shd w:val="clear" w:color="auto" w:fill="D2DCF0"/>
          </w:tcPr>
          <w:p>
            <w:r>
              <w:rPr>
                <w:b/>
                <w:color w:val="1E3C78"/>
                <w:sz w:val="18"/>
              </w:rPr>
              <w:t>Species</w:t>
            </w:r>
          </w:p>
        </w:tc>
        <w:tc>
          <w:tcPr>
            <w:tcW w:type="dxa" w:w="1568"/>
            <w:shd w:val="clear" w:color="auto" w:fill="D2DCF0"/>
          </w:tcPr>
          <w:p>
            <w:r>
              <w:rPr>
                <w:b/>
                <w:color w:val="1E3C78"/>
                <w:sz w:val="18"/>
              </w:rPr>
              <w:t>Median / $1k</w:t>
            </w:r>
          </w:p>
        </w:tc>
        <w:tc>
          <w:tcPr>
            <w:tcW w:type="dxa" w:w="1568"/>
            <w:shd w:val="clear" w:color="auto" w:fill="D2DCF0"/>
          </w:tcPr>
          <w:p>
            <w:r>
              <w:rPr>
                <w:b/>
                <w:color w:val="1E3C78"/>
                <w:sz w:val="18"/>
              </w:rPr>
              <w:t>Mean / $1k</w:t>
            </w:r>
          </w:p>
        </w:tc>
        <w:tc>
          <w:tcPr>
            <w:tcW w:type="dxa" w:w="1568"/>
            <w:shd w:val="clear" w:color="auto" w:fill="D2DCF0"/>
          </w:tcPr>
          <w:p>
            <w:r>
              <w:rPr>
                <w:b/>
                <w:color w:val="1E3C78"/>
                <w:sz w:val="18"/>
              </w:rPr>
              <w:t>Timing</w:t>
            </w:r>
          </w:p>
        </w:tc>
      </w:tr>
      <w:tr>
        <w:tc>
          <w:tcPr>
            <w:tcW w:type="dxa" w:w="1568"/>
            <w:shd w:val="clear" w:color="auto" w:fill="F5F7FC"/>
          </w:tcPr>
          <w:p>
            <w:r>
              <w:rPr>
                <w:sz w:val="18"/>
              </w:rPr>
              <w:t>Chicken Corporate Campaigns</w:t>
            </w:r>
          </w:p>
        </w:tc>
        <w:tc>
          <w:tcPr>
            <w:tcW w:type="dxa" w:w="1568"/>
            <w:shd w:val="clear" w:color="auto" w:fill="F5F7FC"/>
          </w:tcPr>
          <w:p>
            <w:r>
              <w:rPr>
                <w:sz w:val="18"/>
              </w:rPr>
              <w:t>Direct estimate from Laura Duffy</w:t>
            </w:r>
          </w:p>
        </w:tc>
        <w:tc>
          <w:tcPr>
            <w:tcW w:type="dxa" w:w="1568"/>
            <w:shd w:val="clear" w:color="auto" w:fill="F5F7FC"/>
          </w:tcPr>
          <w:p>
            <w:r>
              <w:rPr>
                <w:sz w:val="18"/>
              </w:rPr>
              <w:t>Chicken</w:t>
            </w:r>
          </w:p>
        </w:tc>
        <w:tc>
          <w:tcPr>
            <w:tcW w:type="dxa" w:w="1568"/>
            <w:shd w:val="clear" w:color="auto" w:fill="F5F7FC"/>
          </w:tcPr>
          <w:p>
            <w:r>
              <w:rPr>
                <w:sz w:val="18"/>
              </w:rPr>
              <w:t>800</w:t>
            </w:r>
          </w:p>
        </w:tc>
        <w:tc>
          <w:tcPr>
            <w:tcW w:type="dxa" w:w="1568"/>
            <w:shd w:val="clear" w:color="auto" w:fill="F5F7FC"/>
          </w:tcPr>
          <w:p>
            <w:r>
              <w:rPr>
                <w:sz w:val="18"/>
              </w:rPr>
              <w:t>1,205</w:t>
            </w:r>
          </w:p>
        </w:tc>
        <w:tc>
          <w:tcPr>
            <w:tcW w:type="dxa" w:w="1568"/>
            <w:shd w:val="clear" w:color="auto" w:fill="F5F7FC"/>
          </w:tcPr>
          <w:p>
            <w:r>
              <w:rPr>
                <w:sz w:val="18"/>
              </w:rPr>
              <w:t>yr 1, 15 yrs</w:t>
            </w:r>
          </w:p>
        </w:tc>
      </w:tr>
      <w:tr>
        <w:tc>
          <w:tcPr>
            <w:tcW w:type="dxa" w:w="1568"/>
            <w:shd w:val="clear" w:color="auto" w:fill="FFFFFF"/>
          </w:tcPr>
          <w:p>
            <w:r>
              <w:rPr>
                <w:sz w:val="18"/>
              </w:rPr>
              <w:t>Shrimp Welfare</w:t>
            </w:r>
          </w:p>
        </w:tc>
        <w:tc>
          <w:tcPr>
            <w:tcW w:type="dxa" w:w="1568"/>
            <w:shd w:val="clear" w:color="auto" w:fill="FFFFFF"/>
          </w:tcPr>
          <w:p>
            <w:r>
              <w:rPr>
                <w:sz w:val="18"/>
              </w:rPr>
              <w:t>Combination of McKay estimates and SWP estimates for shrimp slaughter, stocking density, and sludge removal interventions</w:t>
            </w:r>
          </w:p>
        </w:tc>
        <w:tc>
          <w:tcPr>
            <w:tcW w:type="dxa" w:w="1568"/>
            <w:shd w:val="clear" w:color="auto" w:fill="FFFFFF"/>
          </w:tcPr>
          <w:p>
            <w:r>
              <w:rPr>
                <w:sz w:val="18"/>
              </w:rPr>
              <w:t>Shrimp</w:t>
            </w:r>
          </w:p>
        </w:tc>
        <w:tc>
          <w:tcPr>
            <w:tcW w:type="dxa" w:w="1568"/>
            <w:shd w:val="clear" w:color="auto" w:fill="FFFFFF"/>
          </w:tcPr>
          <w:p>
            <w:r>
              <w:rPr>
                <w:sz w:val="18"/>
              </w:rPr>
              <w:t>1,874</w:t>
            </w:r>
          </w:p>
        </w:tc>
        <w:tc>
          <w:tcPr>
            <w:tcW w:type="dxa" w:w="1568"/>
            <w:shd w:val="clear" w:color="auto" w:fill="FFFFFF"/>
          </w:tcPr>
          <w:p>
            <w:r>
              <w:rPr>
                <w:sz w:val="18"/>
              </w:rPr>
              <w:t>2,670</w:t>
            </w:r>
          </w:p>
        </w:tc>
        <w:tc>
          <w:tcPr>
            <w:tcW w:type="dxa" w:w="1568"/>
            <w:shd w:val="clear" w:color="auto" w:fill="FFFFFF"/>
          </w:tcPr>
          <w:p>
            <w:r>
              <w:rPr>
                <w:sz w:val="18"/>
              </w:rPr>
              <w:t>yr 1, 10 yrs</w:t>
            </w:r>
          </w:p>
        </w:tc>
      </w:tr>
      <w:tr>
        <w:tc>
          <w:tcPr>
            <w:tcW w:type="dxa" w:w="1568"/>
            <w:shd w:val="clear" w:color="auto" w:fill="F5F7FC"/>
          </w:tcPr>
          <w:p>
            <w:r>
              <w:rPr>
                <w:sz w:val="18"/>
              </w:rPr>
              <w:t>Fish Welfare</w:t>
            </w:r>
          </w:p>
        </w:tc>
        <w:tc>
          <w:tcPr>
            <w:tcW w:type="dxa" w:w="1568"/>
            <w:shd w:val="clear" w:color="auto" w:fill="F5F7FC"/>
          </w:tcPr>
          <w:p>
            <w:r>
              <w:rPr>
                <w:sz w:val="18"/>
              </w:rPr>
              <w:t>Carp/$ from FWI, suffering stats from carp parameters</w:t>
            </w:r>
          </w:p>
        </w:tc>
        <w:tc>
          <w:tcPr>
            <w:tcW w:type="dxa" w:w="1568"/>
            <w:shd w:val="clear" w:color="auto" w:fill="F5F7FC"/>
          </w:tcPr>
          <w:p>
            <w:r>
              <w:rPr>
                <w:sz w:val="18"/>
              </w:rPr>
              <w:t>Carp</w:t>
            </w:r>
          </w:p>
        </w:tc>
        <w:tc>
          <w:tcPr>
            <w:tcW w:type="dxa" w:w="1568"/>
            <w:shd w:val="clear" w:color="auto" w:fill="F5F7FC"/>
          </w:tcPr>
          <w:p>
            <w:r>
              <w:rPr>
                <w:sz w:val="18"/>
              </w:rPr>
              <w:t>92</w:t>
            </w:r>
          </w:p>
        </w:tc>
        <w:tc>
          <w:tcPr>
            <w:tcW w:type="dxa" w:w="1568"/>
            <w:shd w:val="clear" w:color="auto" w:fill="F5F7FC"/>
          </w:tcPr>
          <w:p>
            <w:r>
              <w:rPr>
                <w:sz w:val="18"/>
              </w:rPr>
              <w:t>181</w:t>
            </w:r>
          </w:p>
        </w:tc>
        <w:tc>
          <w:tcPr>
            <w:tcW w:type="dxa" w:w="1568"/>
            <w:shd w:val="clear" w:color="auto" w:fill="F5F7FC"/>
          </w:tcPr>
          <w:p>
            <w:r>
              <w:rPr>
                <w:sz w:val="18"/>
              </w:rPr>
              <w:t>yr 1, 10 yrs</w:t>
            </w:r>
          </w:p>
        </w:tc>
      </w:tr>
      <w:tr>
        <w:tc>
          <w:tcPr>
            <w:tcW w:type="dxa" w:w="1568"/>
            <w:shd w:val="clear" w:color="auto" w:fill="FFFFFF"/>
          </w:tcPr>
          <w:p>
            <w:r>
              <w:rPr>
                <w:sz w:val="18"/>
              </w:rPr>
              <w:t>Invertebrate Welfare</w:t>
            </w:r>
          </w:p>
        </w:tc>
        <w:tc>
          <w:tcPr>
            <w:tcW w:type="dxa" w:w="1568"/>
            <w:shd w:val="clear" w:color="auto" w:fill="FFFFFF"/>
          </w:tcPr>
          <w:p>
            <w:r>
              <w:rPr>
                <w:sz w:val="18"/>
              </w:rPr>
              <w:t>Bottom-up model using BSF parameters</w:t>
            </w:r>
          </w:p>
        </w:tc>
        <w:tc>
          <w:tcPr>
            <w:tcW w:type="dxa" w:w="1568"/>
            <w:shd w:val="clear" w:color="auto" w:fill="FFFFFF"/>
          </w:tcPr>
          <w:p>
            <w:r>
              <w:rPr>
                <w:sz w:val="18"/>
              </w:rPr>
              <w:t>Bsf</w:t>
            </w:r>
          </w:p>
        </w:tc>
        <w:tc>
          <w:tcPr>
            <w:tcW w:type="dxa" w:w="1568"/>
            <w:shd w:val="clear" w:color="auto" w:fill="FFFFFF"/>
          </w:tcPr>
          <w:p>
            <w:r>
              <w:rPr>
                <w:sz w:val="18"/>
              </w:rPr>
              <w:t>0</w:t>
            </w:r>
          </w:p>
        </w:tc>
        <w:tc>
          <w:tcPr>
            <w:tcW w:type="dxa" w:w="1568"/>
            <w:shd w:val="clear" w:color="auto" w:fill="FFFFFF"/>
          </w:tcPr>
          <w:p>
            <w:r>
              <w:rPr>
                <w:sz w:val="18"/>
              </w:rPr>
              <w:t>2,214</w:t>
            </w:r>
          </w:p>
        </w:tc>
        <w:tc>
          <w:tcPr>
            <w:tcW w:type="dxa" w:w="1568"/>
            <w:shd w:val="clear" w:color="auto" w:fill="FFFFFF"/>
          </w:tcPr>
          <w:p>
            <w:r>
              <w:rPr>
                <w:sz w:val="18"/>
              </w:rPr>
              <w:t>yr 10, 10 yrs</w:t>
            </w:r>
          </w:p>
        </w:tc>
      </w:tr>
      <w:tr>
        <w:tc>
          <w:tcPr>
            <w:tcW w:type="dxa" w:w="1568"/>
            <w:shd w:val="clear" w:color="auto" w:fill="F5F7FC"/>
          </w:tcPr>
          <w:p>
            <w:r>
              <w:rPr>
                <w:sz w:val="18"/>
              </w:rPr>
              <w:t>Policy Advocacy</w:t>
            </w:r>
          </w:p>
        </w:tc>
        <w:tc>
          <w:tcPr>
            <w:tcW w:type="dxa" w:w="1568"/>
            <w:shd w:val="clear" w:color="auto" w:fill="F5F7FC"/>
          </w:tcPr>
          <w:p>
            <w:r>
              <w:rPr>
                <w:sz w:val="18"/>
              </w:rPr>
              <w:t>Analyst estimate: chicken corporate campaigns at 50% effectiveness discount</w:t>
            </w:r>
          </w:p>
        </w:tc>
        <w:tc>
          <w:tcPr>
            <w:tcW w:type="dxa" w:w="1568"/>
            <w:shd w:val="clear" w:color="auto" w:fill="F5F7FC"/>
          </w:tcPr>
          <w:p>
            <w:r>
              <w:rPr>
                <w:sz w:val="18"/>
              </w:rPr>
              <w:t>Multiple</w:t>
            </w:r>
          </w:p>
        </w:tc>
        <w:tc>
          <w:tcPr>
            <w:tcW w:type="dxa" w:w="1568"/>
            <w:shd w:val="clear" w:color="auto" w:fill="F5F7FC"/>
          </w:tcPr>
          <w:p>
            <w:r>
              <w:rPr>
                <w:sz w:val="18"/>
              </w:rPr>
              <w:t>400</w:t>
            </w:r>
          </w:p>
        </w:tc>
        <w:tc>
          <w:tcPr>
            <w:tcW w:type="dxa" w:w="1568"/>
            <w:shd w:val="clear" w:color="auto" w:fill="F5F7FC"/>
          </w:tcPr>
          <w:p>
            <w:r>
              <w:rPr>
                <w:sz w:val="18"/>
              </w:rPr>
              <w:t>603</w:t>
            </w:r>
          </w:p>
        </w:tc>
        <w:tc>
          <w:tcPr>
            <w:tcW w:type="dxa" w:w="1568"/>
            <w:shd w:val="clear" w:color="auto" w:fill="F5F7FC"/>
          </w:tcPr>
          <w:p>
            <w:r>
              <w:rPr>
                <w:sz w:val="18"/>
              </w:rPr>
              <w:t>yr 4, 15 yrs</w:t>
            </w:r>
          </w:p>
        </w:tc>
      </w:tr>
      <w:tr>
        <w:tc>
          <w:tcPr>
            <w:tcW w:type="dxa" w:w="1568"/>
            <w:shd w:val="clear" w:color="auto" w:fill="FFFFFF"/>
          </w:tcPr>
          <w:p>
            <w:r>
              <w:rPr>
                <w:sz w:val="18"/>
              </w:rPr>
              <w:t>Movement Building</w:t>
            </w:r>
          </w:p>
        </w:tc>
        <w:tc>
          <w:tcPr>
            <w:tcW w:type="dxa" w:w="1568"/>
            <w:shd w:val="clear" w:color="auto" w:fill="FFFFFF"/>
          </w:tcPr>
          <w:p>
            <w:r>
              <w:rPr>
                <w:sz w:val="18"/>
              </w:rPr>
              <w:t>Analyst estimate: 25% of chicken corporate campaigns as indirect multiplier</w:t>
            </w:r>
          </w:p>
        </w:tc>
        <w:tc>
          <w:tcPr>
            <w:tcW w:type="dxa" w:w="1568"/>
            <w:shd w:val="clear" w:color="auto" w:fill="FFFFFF"/>
          </w:tcPr>
          <w:p>
            <w:r>
              <w:rPr>
                <w:sz w:val="18"/>
              </w:rPr>
              <w:t>Multiple</w:t>
            </w:r>
          </w:p>
        </w:tc>
        <w:tc>
          <w:tcPr>
            <w:tcW w:type="dxa" w:w="1568"/>
            <w:shd w:val="clear" w:color="auto" w:fill="FFFFFF"/>
          </w:tcPr>
          <w:p>
            <w:r>
              <w:rPr>
                <w:sz w:val="18"/>
              </w:rPr>
              <w:t>200</w:t>
            </w:r>
          </w:p>
        </w:tc>
        <w:tc>
          <w:tcPr>
            <w:tcW w:type="dxa" w:w="1568"/>
            <w:shd w:val="clear" w:color="auto" w:fill="FFFFFF"/>
          </w:tcPr>
          <w:p>
            <w:r>
              <w:rPr>
                <w:sz w:val="18"/>
              </w:rPr>
              <w:t>301</w:t>
            </w:r>
          </w:p>
        </w:tc>
        <w:tc>
          <w:tcPr>
            <w:tcW w:type="dxa" w:w="1568"/>
            <w:shd w:val="clear" w:color="auto" w:fill="FFFFFF"/>
          </w:tcPr>
          <w:p>
            <w:r>
              <w:rPr>
                <w:sz w:val="18"/>
              </w:rPr>
              <w:t>yr 4, 10 yrs</w:t>
            </w:r>
          </w:p>
        </w:tc>
      </w:tr>
      <w:tr>
        <w:tc>
          <w:tcPr>
            <w:tcW w:type="dxa" w:w="1568"/>
            <w:shd w:val="clear" w:color="auto" w:fill="F5F7FC"/>
          </w:tcPr>
          <w:p>
            <w:r>
              <w:rPr>
                <w:sz w:val="18"/>
              </w:rPr>
              <w:t>Wild Animal Welfare</w:t>
            </w:r>
          </w:p>
        </w:tc>
        <w:tc>
          <w:tcPr>
            <w:tcW w:type="dxa" w:w="1568"/>
            <w:shd w:val="clear" w:color="auto" w:fill="F5F7FC"/>
          </w:tcPr>
          <w:p>
            <w:r>
              <w:rPr>
                <w:sz w:val="18"/>
              </w:rPr>
              <w:t>Analyst estimate: mixture of a wild mammal-focused intervention and a wild insect-focused intervention.</w:t>
            </w:r>
          </w:p>
        </w:tc>
        <w:tc>
          <w:tcPr>
            <w:tcW w:type="dxa" w:w="1568"/>
            <w:shd w:val="clear" w:color="auto" w:fill="F5F7FC"/>
          </w:tcPr>
          <w:p>
            <w:r>
              <w:rPr>
                <w:sz w:val="18"/>
              </w:rPr>
              <w:t>Wild</w:t>
            </w:r>
          </w:p>
        </w:tc>
        <w:tc>
          <w:tcPr>
            <w:tcW w:type="dxa" w:w="1568"/>
            <w:shd w:val="clear" w:color="auto" w:fill="F5F7FC"/>
          </w:tcPr>
          <w:p>
            <w:r>
              <w:rPr>
                <w:sz w:val="18"/>
              </w:rPr>
              <w:t>0</w:t>
            </w:r>
          </w:p>
        </w:tc>
        <w:tc>
          <w:tcPr>
            <w:tcW w:type="dxa" w:w="1568"/>
            <w:shd w:val="clear" w:color="auto" w:fill="F5F7FC"/>
          </w:tcPr>
          <w:p>
            <w:r>
              <w:rPr>
                <w:sz w:val="18"/>
              </w:rPr>
              <w:t>491</w:t>
            </w:r>
          </w:p>
        </w:tc>
        <w:tc>
          <w:tcPr>
            <w:tcW w:type="dxa" w:w="1568"/>
            <w:shd w:val="clear" w:color="auto" w:fill="F5F7FC"/>
          </w:tcPr>
          <w:p>
            <w:r>
              <w:rPr>
                <w:sz w:val="18"/>
              </w:rPr>
              <w:t>yr 10, 10 yrs</w:t>
            </w:r>
          </w:p>
        </w:tc>
      </w:tr>
    </w:tbl>
    <w:p/>
    <w:p>
      <w:pPr>
        <w:pStyle w:val="Heading2"/>
      </w:pPr>
      <w:r>
        <w:t>4.1  Chicken corporate campaigns</w:t>
      </w:r>
    </w:p>
    <w:p>
      <w:pPr>
        <w:spacing w:after="80"/>
      </w:pPr>
      <w:r>
        <w:rPr>
          <w:sz w:val="20"/>
        </w:rPr>
        <w:t>Source: RP analyst estimates (Laura Duffy, updated 3 Feb 2026). Custom lognormal calibrated to recent field evidence on cage-free campaigns.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2DCF0"/>
          </w:tcPr>
          <w:p>
            <w:r>
              <w:rPr>
                <w:b/>
                <w:color w:val="1E3C78"/>
                <w:sz w:val="18"/>
              </w:rPr>
              <w:t>Parameter</w:t>
            </w:r>
          </w:p>
        </w:tc>
        <w:tc>
          <w:tcPr>
            <w:tcW w:type="dxa" w:w="3135"/>
            <w:shd w:val="clear" w:color="auto" w:fill="D2DCF0"/>
          </w:tcPr>
          <w:p>
            <w:r>
              <w:rPr>
                <w:b/>
                <w:color w:val="1E3C78"/>
                <w:sz w:val="18"/>
              </w:rPr>
              <w:t>Value</w:t>
            </w:r>
          </w:p>
        </w:tc>
        <w:tc>
          <w:tcPr>
            <w:tcW w:type="dxa" w:w="3135"/>
            <w:shd w:val="clear" w:color="auto" w:fill="D2DCF0"/>
          </w:tcPr>
          <w:p>
            <w:r>
              <w:rPr>
                <w:b/>
                <w:color w:val="1E3C78"/>
                <w:sz w:val="18"/>
              </w:rPr>
              <w:t>Interpretation</w:t>
            </w:r>
          </w:p>
        </w:tc>
      </w:tr>
      <w:tr>
        <w:tc>
          <w:tcPr>
            <w:tcW w:type="dxa" w:w="3135"/>
            <w:shd w:val="clear" w:color="auto" w:fill="F5F7FC"/>
          </w:tcPr>
          <w:p>
            <w:r>
              <w:rPr>
                <w:sz w:val="18"/>
              </w:rPr>
              <w:t>Distribution</w:t>
            </w:r>
          </w:p>
        </w:tc>
        <w:tc>
          <w:tcPr>
            <w:tcW w:type="dxa" w:w="3135"/>
            <w:shd w:val="clear" w:color="auto" w:fill="F5F7FC"/>
          </w:tcPr>
          <w:p>
            <w:r>
              <w:rPr>
                <w:sz w:val="18"/>
              </w:rPr>
              <w:t>Lognormal 90% CI [177, 3600], clipped [50, 10000]</w:t>
            </w:r>
          </w:p>
        </w:tc>
        <w:tc>
          <w:tcPr>
            <w:tcW w:type="dxa" w:w="3135"/>
            <w:shd w:val="clear" w:color="auto" w:fill="F5F7FC"/>
          </w:tcPr>
          <w:p>
            <w:r>
              <w:rPr>
                <w:sz w:val="18"/>
              </w:rPr>
              <w:t>Suffering-years averted per $1,000 (highly skewed right)</w:t>
            </w:r>
          </w:p>
        </w:tc>
      </w:tr>
      <w:tr>
        <w:tc>
          <w:tcPr>
            <w:tcW w:type="dxa" w:w="3135"/>
            <w:shd w:val="clear" w:color="auto" w:fill="FFFFFF"/>
          </w:tcPr>
          <w:p>
            <w:r>
              <w:rPr>
                <w:sz w:val="18"/>
              </w:rPr>
              <w:t>p10 / p50 / mean / p90</w:t>
            </w:r>
          </w:p>
        </w:tc>
        <w:tc>
          <w:tcPr>
            <w:tcW w:type="dxa" w:w="3135"/>
            <w:shd w:val="clear" w:color="auto" w:fill="FFFFFF"/>
          </w:tcPr>
          <w:p>
            <w:r>
              <w:rPr>
                <w:sz w:val="18"/>
              </w:rPr>
              <w:t>247 / 800 / 1,205 / 2,588</w:t>
            </w:r>
          </w:p>
        </w:tc>
        <w:tc>
          <w:tcPr>
            <w:tcW w:type="dxa" w:w="3135"/>
            <w:shd w:val="clear" w:color="auto" w:fill="FFFFFF"/>
          </w:tcPr>
          <w:p>
            <w:r>
              <w:rPr>
                <w:sz w:val="18"/>
              </w:rPr>
              <w:t>Wide range reflects genuine uncertainty about campaign success rates</w:t>
            </w:r>
          </w:p>
        </w:tc>
      </w:tr>
      <w:tr>
        <w:tc>
          <w:tcPr>
            <w:tcW w:type="dxa" w:w="3135"/>
            <w:shd w:val="clear" w:color="auto" w:fill="F5F7FC"/>
          </w:tcPr>
          <w:p>
            <w:r>
              <w:rPr>
                <w:sz w:val="18"/>
              </w:rPr>
              <w:t>Effect start</w:t>
            </w:r>
          </w:p>
        </w:tc>
        <w:tc>
          <w:tcPr>
            <w:tcW w:type="dxa" w:w="3135"/>
            <w:shd w:val="clear" w:color="auto" w:fill="F5F7FC"/>
          </w:tcPr>
          <w:p>
            <w:r>
              <w:rPr>
                <w:sz w:val="18"/>
              </w:rPr>
              <w:t>1</w:t>
            </w:r>
          </w:p>
        </w:tc>
        <w:tc>
          <w:tcPr>
            <w:tcW w:type="dxa" w:w="3135"/>
            <w:shd w:val="clear" w:color="auto" w:fill="F5F7FC"/>
          </w:tcPr>
          <w:p>
            <w:r>
              <w:rPr>
                <w:sz w:val="18"/>
              </w:rPr>
              <w:t>Year 1 — commitments begin quickly</w:t>
            </w:r>
          </w:p>
        </w:tc>
      </w:tr>
      <w:tr>
        <w:tc>
          <w:tcPr>
            <w:tcW w:type="dxa" w:w="3135"/>
            <w:shd w:val="clear" w:color="auto" w:fill="FFFFFF"/>
          </w:tcPr>
          <w:p>
            <w:r>
              <w:rPr>
                <w:sz w:val="18"/>
              </w:rPr>
              <w:t>Persistence</w:t>
            </w:r>
          </w:p>
        </w:tc>
        <w:tc>
          <w:tcPr>
            <w:tcW w:type="dxa" w:w="3135"/>
            <w:shd w:val="clear" w:color="auto" w:fill="FFFFFF"/>
          </w:tcPr>
          <w:p>
            <w:r>
              <w:rPr>
                <w:sz w:val="18"/>
              </w:rPr>
              <w:t>15 years</w:t>
            </w:r>
          </w:p>
        </w:tc>
        <w:tc>
          <w:tcPr>
            <w:tcW w:type="dxa" w:w="3135"/>
            <w:shd w:val="clear" w:color="auto" w:fill="FFFFFF"/>
          </w:tcPr>
          <w:p>
            <w:r>
              <w:rPr>
                <w:sz w:val="18"/>
              </w:rPr>
              <w:t>Corporate commitments take 10–15 years to fully implement</w:t>
            </w:r>
          </w:p>
        </w:tc>
      </w:tr>
    </w:tbl>
    <w:p/>
    <w:p>
      <w:pPr>
        <w:pStyle w:val="Heading2"/>
      </w:pPr>
      <w:r>
        <w:t>4.2  Shrimp welfare</w:t>
      </w:r>
    </w:p>
    <w:p>
      <w:pPr>
        <w:spacing w:after="80"/>
      </w:pPr>
      <w:r>
        <w:rPr>
          <w:sz w:val="20"/>
        </w:rPr>
        <w:t>Source: RP analyst estimates combining two intervention pathways:</w:t>
      </w:r>
    </w:p>
    <w:p>
      <w:pPr>
        <w:pStyle w:val="ListBullet"/>
        <w:spacing w:after="40"/>
      </w:pPr>
      <w:r>
        <w:rPr>
          <w:b/>
          <w:sz w:val="20"/>
        </w:rPr>
        <w:t>Pathway 1.</w:t>
      </w:r>
      <w:r>
        <w:rPr>
          <w:sz w:val="20"/>
        </w:rPr>
        <w:t xml:space="preserve">  Humane slaughter (~90% of budget): Animals affected per dollar drawn from a lognormal on slaughter volume; hours of suffering per shrimp at conventional slaughter drawn from a lognormal (90% CI [0.28, 6.4] hours); pain reduction of a humane slaughter intervention drawn from a Beta(7,3) ~ 70% reduction. The resulting DALYs per dollar are multiplied by a lognormal persistence (90% CI [6, 15] years).</w:t>
      </w:r>
    </w:p>
    <w:p>
      <w:pPr>
        <w:pStyle w:val="ListBullet"/>
        <w:spacing w:after="40"/>
      </w:pPr>
      <w:r>
        <w:rPr>
          <w:b/>
          <w:sz w:val="20"/>
        </w:rPr>
        <w:t>Pathway 2.</w:t>
      </w:r>
      <w:r>
        <w:rPr>
          <w:sz w:val="20"/>
        </w:rPr>
        <w:t xml:space="preserve">  Sludge removal and stocking density (~10% of budget): Animals affected modelled directly as shrimp affected per dollar given cost of the intervention; hours of suffering per shrimp drawn from lognormals; proportion suffering reduced from Beta distributions.</w:t>
      </w:r>
    </w:p>
    <w:p>
      <w:pPr>
        <w:spacing w:after="80"/>
      </w:pPr>
      <w:r>
        <w:rPr>
          <w:sz w:val="20"/>
        </w:rPr>
        <w:t>Current percentiles per $1,000: p10 = 682, p50 = 1,874, mean = 2,670, p90 = 5,346.</w:t>
      </w:r>
    </w:p>
    <w:p>
      <w:pPr>
        <w:pStyle w:val="Heading2"/>
      </w:pPr>
      <w:r>
        <w:t>4.3  Fish welfare (carp proxy)</w:t>
      </w:r>
    </w:p>
    <w:p>
      <w:pPr>
        <w:spacing w:after="80"/>
      </w:pPr>
      <w:r>
        <w:rPr>
          <w:sz w:val="20"/>
        </w:rPr>
        <w:t>Source: RP analyst estimates using carp as a proxy for farmed fish, based on Fish Welfare Initiative data. Three components are multiplied together: (1) fish affected per dollar [lognormal 90% CI 0.5–15], (2) hours of suffering during a typical culture cycle [383-day cycle, normal CI on 1/6 to 1/3 of total hours], (3) proportion of suffering reduced by the intervention [Beta(3,17) ~ 15% reduction]. The product gives DALYs reduced per dollar.</w:t>
      </w:r>
    </w:p>
    <w:p>
      <w:pPr>
        <w:spacing w:after="80"/>
      </w:pPr>
      <w:r>
        <w:rPr>
          <w:sz w:val="20"/>
        </w:rPr>
        <w:t>Current percentiles per $1,000: p10 = 19, p50 = 92, mean = 181, p90 = 421.</w:t>
      </w:r>
    </w:p>
    <w:p>
      <w:pPr>
        <w:pStyle w:val="Heading2"/>
      </w:pPr>
      <w:r>
        <w:t>4.4  Invertebrate welfare (Black Soldier Fly proxy)</w:t>
      </w:r>
    </w:p>
    <w:p>
      <w:pPr>
        <w:spacing w:after="80"/>
      </w:pPr>
      <w:r>
        <w:rPr>
          <w:sz w:val="20"/>
        </w:rPr>
        <w:t>Source: Default CCM BSF parameters. This is a bottom-up estimate with six components: (1) BSF born per batch [normal CI 200–300 billion], (2) proportion affected [lognormal CI 0.005–0.1%], (3) hours of suffering during larval stage [normal CI on 1/20 to 1/5 of 23-day larval cycle], (4) proportion of suffering reduced [Beta(9,4) ~ 69%], (5) probability of intervention success [Beta(4,16) ~ 20%], (6) cost [lognormal CI $150k–$1M]. A Bernoulli draw from (5) produces zero-inflated outcomes — many scenarios contribute nothing because the campaign fails.</w:t>
      </w:r>
    </w:p>
    <w:p>
      <w:pPr>
        <w:spacing w:after="80"/>
      </w:pPr>
      <w:r>
        <w:rPr>
          <w:sz w:val="20"/>
        </w:rPr>
        <w:t>Effect starts year 10 (reflects time to develop regulatory or industry traction). Current percentiles per $1,000: p10 = 0, p50 = 0, mean = 2,214, p90 = 5,698.</w:t>
      </w:r>
    </w:p>
    <w:p>
      <w:pPr>
        <w:pStyle w:val="Heading2"/>
      </w:pPr>
      <w:r>
        <w:t>4.5  Policy advocacy (multi-species)</w:t>
      </w:r>
    </w:p>
    <w:p>
      <w:pPr>
        <w:spacing w:after="80"/>
      </w:pPr>
      <w:r>
        <w:rPr>
          <w:sz w:val="20"/>
        </w:rPr>
        <w:t>Source: Analyst estimate. Policy advocacy is modelled as the chicken corporate campaigns distribution discounted by 50% to reflect the additional causal steps required (policy must pass, be enforced, and change actual conditions). This is a placeholder pending a dedicated model.</w:t>
      </w:r>
    </w:p>
    <w:p>
      <w:pPr>
        <w:spacing w:after="80"/>
      </w:pPr>
      <w:r>
        <w:rPr>
          <w:sz w:val="20"/>
        </w:rPr>
        <w:t xml:space="preserve">    policy_blend = 0.5 * chicken</w:t>
      </w:r>
    </w:p>
    <w:p>
      <w:pPr>
        <w:spacing w:after="80"/>
      </w:pPr>
      <w:r>
        <w:rPr>
          <w:sz w:val="20"/>
        </w:rPr>
        <w:t>Effect starts year 4 (policy campaigns take time to produce results). Current percentiles per $1,000: p10 = 123, p50 = 400, mean = 603, p90 = 1,294.</w:t>
      </w:r>
    </w:p>
    <w:p>
      <w:pPr>
        <w:pStyle w:val="Heading2"/>
      </w:pPr>
      <w:r>
        <w:t>4.6  Movement building</w:t>
      </w:r>
    </w:p>
    <w:p>
      <w:pPr>
        <w:spacing w:after="80"/>
      </w:pPr>
      <w:r>
        <w:rPr>
          <w:sz w:val="20"/>
        </w:rPr>
        <w:t>Source: Analyst estimate. Movement building (outreach, education, infrastructure) is modelled as an indirect multiplier on chicken corporate campaigns, set at 25% of the chicken value. This reflects the view that movement building has a similar direction of impact but is harder to attribute causally and works through longer causal chains.</w:t>
      </w:r>
    </w:p>
    <w:p>
      <w:pPr>
        <w:spacing w:after="80"/>
      </w:pPr>
      <w:r>
        <w:rPr>
          <w:sz w:val="20"/>
        </w:rPr>
        <w:t xml:space="preserve">    movement = 0.25 * chicken</w:t>
      </w:r>
    </w:p>
    <w:p>
      <w:pPr>
        <w:spacing w:after="80"/>
      </w:pPr>
      <w:r>
        <w:rPr>
          <w:sz w:val="20"/>
        </w:rPr>
        <w:t>Effect starts year 4 (movement-building investments take time to affect the field). Current percentiles per $1,000: p10 = 62, p50 = 200, mean = 301, p90 = 647.</w:t>
      </w:r>
    </w:p>
    <w:p>
      <w:pPr>
        <w:pStyle w:val="Heading2"/>
      </w:pPr>
      <w:r>
        <w:t>4.7  Wild animal welfare</w:t>
      </w:r>
    </w:p>
    <w:p>
      <w:pPr>
        <w:spacing w:after="80"/>
      </w:pPr>
      <w:r>
        <w:rPr>
          <w:sz w:val="20"/>
        </w:rPr>
        <w:t>Source: Analyst estimate. Modelled as a mixture of two sub-models:</w:t>
      </w:r>
    </w:p>
    <w:p>
      <w:pPr>
        <w:pStyle w:val="ListBullet"/>
        <w:spacing w:after="40"/>
      </w:pPr>
      <w:r>
        <w:rPr>
          <w:b/>
          <w:sz w:val="20"/>
        </w:rPr>
        <w:t>Mammals.</w:t>
      </w:r>
      <w:r>
        <w:rPr>
          <w:sz w:val="20"/>
        </w:rPr>
        <w:t xml:space="preserve">  Wild mammal intervention (rodent as proxy): target population [lognormal CI 4,100–56,000], hours of suffering per mammal [lognormal CI 60–330 hours], probability of success [Beta(4,16) ~ 20%], proportion of deaths averted if successful [Beta(2,2) ~ 50%], years of impact [lognormal CI 5–20], cost [lognormal CI $100k–$10M]. A Bernoulli success draw zero-inflates the distribution.</w:t>
      </w:r>
    </w:p>
    <w:p>
      <w:pPr>
        <w:pStyle w:val="ListBullet"/>
        <w:spacing w:after="40"/>
      </w:pPr>
      <w:r>
        <w:rPr>
          <w:b/>
          <w:sz w:val="20"/>
        </w:rPr>
        <w:t>Invertebrates.</w:t>
      </w:r>
      <w:r>
        <w:rPr>
          <w:sz w:val="20"/>
        </w:rPr>
        <w:t xml:space="preserve">  Wild invertebrate intervention: same parameters as BSF but with lower probability of success [Beta(1,9) ~ 10%] to reflect the even earlier stage of this field.</w:t>
      </w:r>
    </w:p>
    <w:p>
      <w:pPr>
        <w:spacing w:after="80"/>
      </w:pPr>
      <w:r>
        <w:rPr>
          <w:sz w:val="20"/>
        </w:rPr>
        <w:t xml:space="preserve">    wild_sy = share_mammals * wild_mammal_sy + (1 - share_mammals) * wild_invert_sy</w:t>
      </w:r>
    </w:p>
    <w:p>
      <w:pPr>
        <w:spacing w:after="80"/>
      </w:pPr>
      <w:r>
        <w:rPr>
          <w:sz w:val="20"/>
        </w:rPr>
        <w:t>The mammal share is drawn from Beta(1,1) ~ uniform [0,1], reflecting high uncertainty about portfolio composition. Effect starts year 10. Current percentiles per $1,000: p10 = 0, p50 = 0, mean = 491, p90 = 4.</w:t>
      </w:r>
    </w:p>
    <w:p>
      <w:pPr>
        <w:pStyle w:val="Heading1"/>
      </w:pPr>
      <w:r>
        <w:t>5.  How outputs feed into the AW model</w:t>
      </w:r>
    </w:p>
    <w:p>
      <w:pPr>
        <w:spacing w:after="80"/>
      </w:pPr>
      <w:r>
        <w:rPr>
          <w:sz w:val="20"/>
        </w:rPr>
        <w:t>The AW model pipeline (effects.py) loads the intervention estimates and applies fund-specific budget split weights to convert per-intervention values to per-fund marginal impact:</w:t>
      </w:r>
    </w:p>
    <w:p>
      <w:pPr>
        <w:spacing w:after="80"/>
      </w:pPr>
      <w:r>
        <w:rPr>
          <w:rFonts w:ascii="Courier New" w:hAnsi="Courier New"/>
          <w:sz w:val="18"/>
        </w:rPr>
        <w:t xml:space="preserve">    animal_dalys_per_M = samples_per_1000 * 1000 * fund_split_pct</w:t>
      </w:r>
    </w:p>
    <w:p>
      <w:pPr>
        <w:spacing w:after="80"/>
      </w:pPr>
      <w:r>
        <w:rPr>
          <w:sz w:val="20"/>
        </w:rPr>
        <w:t>where fund_split_pct is the fraction of the fund's budget allocated to that intervention. The resulting sample array (100,000 values per intervention) is then passed to the risk-profile framework, which computes 9 risk-adjusted summaries, and the time-period allocation function, which distributes the effect across four time windows (0–100 years).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2DCF0"/>
          </w:tcPr>
          <w:p>
            <w:r>
              <w:rPr>
                <w:b/>
                <w:color w:val="1E3C78"/>
                <w:sz w:val="18"/>
              </w:rPr>
              <w:t>Step</w:t>
            </w:r>
          </w:p>
        </w:tc>
        <w:tc>
          <w:tcPr>
            <w:tcW w:type="dxa" w:w="3135"/>
            <w:shd w:val="clear" w:color="auto" w:fill="D2DCF0"/>
          </w:tcPr>
          <w:p>
            <w:r>
              <w:rPr>
                <w:b/>
                <w:color w:val="1E3C78"/>
                <w:sz w:val="18"/>
              </w:rPr>
              <w:t>Operation</w:t>
            </w:r>
          </w:p>
        </w:tc>
        <w:tc>
          <w:tcPr>
            <w:tcW w:type="dxa" w:w="3135"/>
            <w:shd w:val="clear" w:color="auto" w:fill="D2DCF0"/>
          </w:tcPr>
          <w:p>
            <w:r>
              <w:rPr>
                <w:b/>
                <w:color w:val="1E3C78"/>
                <w:sz w:val="18"/>
              </w:rPr>
              <w:t>Output</w:t>
            </w:r>
          </w:p>
        </w:tc>
      </w:tr>
      <w:tr>
        <w:tc>
          <w:tcPr>
            <w:tcW w:type="dxa" w:w="3135"/>
            <w:shd w:val="clear" w:color="auto" w:fill="F5F7FC"/>
          </w:tcPr>
          <w:p>
            <w:r>
              <w:rPr>
                <w:sz w:val="18"/>
              </w:rPr>
              <w:t>1. Load samples</w:t>
            </w:r>
          </w:p>
        </w:tc>
        <w:tc>
          <w:tcPr>
            <w:tcW w:type="dxa" w:w="3135"/>
            <w:shd w:val="clear" w:color="auto" w:fill="F5F7FC"/>
          </w:tcPr>
          <w:p>
            <w:r>
              <w:rPr>
                <w:sz w:val="18"/>
              </w:rPr>
              <w:t>Load 100k samples from .npz (or 10k from YAML fallback)</w:t>
            </w:r>
          </w:p>
        </w:tc>
        <w:tc>
          <w:tcPr>
            <w:tcW w:type="dxa" w:w="3135"/>
            <w:shd w:val="clear" w:color="auto" w:fill="F5F7FC"/>
          </w:tcPr>
          <w:p>
            <w:r>
              <w:rPr>
                <w:sz w:val="18"/>
              </w:rPr>
              <w:t>Raw samples in suffering-years / $1,000 on the intervention</w:t>
            </w:r>
          </w:p>
        </w:tc>
      </w:tr>
      <w:tr>
        <w:tc>
          <w:tcPr>
            <w:tcW w:type="dxa" w:w="3135"/>
            <w:shd w:val="clear" w:color="auto" w:fill="FFFFFF"/>
          </w:tcPr>
          <w:p>
            <w:r>
              <w:rPr>
                <w:sz w:val="18"/>
              </w:rPr>
              <w:t>2. Scale to fund level</w:t>
            </w:r>
          </w:p>
        </w:tc>
        <w:tc>
          <w:tcPr>
            <w:tcW w:type="dxa" w:w="3135"/>
            <w:shd w:val="clear" w:color="auto" w:fill="FFFFFF"/>
          </w:tcPr>
          <w:p>
            <w:r>
              <w:rPr>
                <w:sz w:val="18"/>
              </w:rPr>
              <w:t>Multiply by 1,000 ($/1000 → $/1M) and by fund_split_pct</w:t>
            </w:r>
          </w:p>
        </w:tc>
        <w:tc>
          <w:tcPr>
            <w:tcW w:type="dxa" w:w="3135"/>
            <w:shd w:val="clear" w:color="auto" w:fill="FFFFFF"/>
          </w:tcPr>
          <w:p>
            <w:r>
              <w:rPr>
                <w:sz w:val="18"/>
              </w:rPr>
              <w:t>Samples in suffering-years / $1M at fund level</w:t>
            </w:r>
          </w:p>
        </w:tc>
      </w:tr>
      <w:tr>
        <w:tc>
          <w:tcPr>
            <w:tcW w:type="dxa" w:w="3135"/>
            <w:shd w:val="clear" w:color="auto" w:fill="F5F7FC"/>
          </w:tcPr>
          <w:p>
            <w:r>
              <w:rPr>
                <w:sz w:val="18"/>
              </w:rPr>
              <w:t>3. Time allocation</w:t>
            </w:r>
          </w:p>
        </w:tc>
        <w:tc>
          <w:tcPr>
            <w:tcW w:type="dxa" w:w="3135"/>
            <w:shd w:val="clear" w:color="auto" w:fill="F5F7FC"/>
          </w:tcPr>
          <w:p>
            <w:r>
              <w:rPr>
                <w:sz w:val="18"/>
              </w:rPr>
              <w:t>Distribute across 4 periods using effect_start_year and persistence_years (periods: 0-5, 5-10, 10-20, 20-100 years)</w:t>
            </w:r>
          </w:p>
        </w:tc>
        <w:tc>
          <w:tcPr>
            <w:tcW w:type="dxa" w:w="3135"/>
            <w:shd w:val="clear" w:color="auto" w:fill="F5F7FC"/>
          </w:tcPr>
          <w:p>
            <w:r>
              <w:rPr>
                <w:sz w:val="18"/>
              </w:rPr>
              <w:t>Fraction per period (period keys: 0_to_5, 5_to_10, 10_to_20, 20_to_100)</w:t>
            </w:r>
          </w:p>
        </w:tc>
      </w:tr>
      <w:tr>
        <w:tc>
          <w:tcPr>
            <w:tcW w:type="dxa" w:w="3135"/>
            <w:shd w:val="clear" w:color="auto" w:fill="FFFFFF"/>
          </w:tcPr>
          <w:p>
            <w:r>
              <w:rPr>
                <w:sz w:val="18"/>
              </w:rPr>
              <w:t>4. Risk profiles</w:t>
            </w:r>
          </w:p>
        </w:tc>
        <w:tc>
          <w:tcPr>
            <w:tcW w:type="dxa" w:w="3135"/>
            <w:shd w:val="clear" w:color="auto" w:fill="FFFFFF"/>
          </w:tcPr>
          <w:p>
            <w:r>
              <w:rPr>
                <w:sz w:val="18"/>
              </w:rPr>
              <w:t>Apply 9 risk-adjustment functions to the sample array</w:t>
            </w:r>
          </w:p>
        </w:tc>
        <w:tc>
          <w:tcPr>
            <w:tcW w:type="dxa" w:w="3135"/>
            <w:shd w:val="clear" w:color="auto" w:fill="FFFFFF"/>
          </w:tcPr>
          <w:p>
            <w:r>
              <w:rPr>
                <w:sz w:val="18"/>
              </w:rPr>
              <w:t>9 risk-adjusted scalars per time period</w:t>
            </w:r>
          </w:p>
        </w:tc>
      </w:tr>
      <w:tr>
        <w:tc>
          <w:tcPr>
            <w:tcW w:type="dxa" w:w="3135"/>
            <w:shd w:val="clear" w:color="auto" w:fill="F5F7FC"/>
          </w:tcPr>
          <w:p>
            <w:r>
              <w:rPr>
                <w:sz w:val="18"/>
              </w:rPr>
              <w:t>5. Output</w:t>
            </w:r>
          </w:p>
        </w:tc>
        <w:tc>
          <w:tcPr>
            <w:tcW w:type="dxa" w:w="3135"/>
            <w:shd w:val="clear" w:color="auto" w:fill="F5F7FC"/>
          </w:tcPr>
          <w:p>
            <w:r>
              <w:rPr>
                <w:sz w:val="18"/>
              </w:rPr>
              <w:t>Write 4 × 9 = 36 period-allocated columns plus 9 total columns per intervention to per-fund CSVs (e.g., ea_awf_dataset.csv, navigation_fund_cagefree_dataset.csv)</w:t>
            </w:r>
          </w:p>
        </w:tc>
        <w:tc>
          <w:tcPr>
            <w:tcW w:type="dxa" w:w="3135"/>
            <w:shd w:val="clear" w:color="auto" w:fill="F5F7FC"/>
          </w:tcPr>
          <w:p>
            <w:r>
              <w:rPr>
                <w:sz w:val="18"/>
              </w:rPr>
              <w:t>Columns named {rp}_{period_key} (e.g., neutral_0_to_5, ambiguity_20_to_100) and total_{rp} (e.g., total_neutral). Standard RP format for downstream combination.</w:t>
            </w:r>
          </w:p>
        </w:tc>
      </w:tr>
    </w:tbl>
    <w:p/>
    <w:p>
      <w:pPr>
        <w:pStyle w:val="Heading1"/>
      </w:pPr>
      <w:r>
        <w:t>6.  Limitations and caveats</w:t>
      </w:r>
    </w:p>
    <w:p>
      <w:pPr>
        <w:pStyle w:val="ListBullet"/>
        <w:spacing w:after="40"/>
      </w:pPr>
      <w:r>
        <w:rPr>
          <w:b/>
          <w:sz w:val="20"/>
        </w:rPr>
        <w:t xml:space="preserve">Derived interventions. </w:t>
      </w:r>
      <w:r>
        <w:rPr>
          <w:sz w:val="20"/>
        </w:rPr>
        <w:t>Policy advocacy and movement building are estimated as fixed multiples of the chicken/shrimp blend. These are rough approximations that should be replaced by dedicated models as better evidence becomes available.</w:t>
      </w:r>
    </w:p>
    <w:p>
      <w:pPr>
        <w:pStyle w:val="ListBullet"/>
        <w:spacing w:after="40"/>
      </w:pPr>
      <w:r>
        <w:rPr>
          <w:b/>
          <w:sz w:val="20"/>
        </w:rPr>
        <w:t xml:space="preserve">Wild animal welfare. </w:t>
      </w:r>
      <w:r>
        <w:rPr>
          <w:sz w:val="20"/>
        </w:rPr>
        <w:t>The wild animal welfare model is a rough placeholder based on rodent and invertebrate analogues. It should be treated as highly speculative.</w:t>
      </w:r>
    </w:p>
    <w:p>
      <w:pPr>
        <w:pStyle w:val="ListBullet"/>
        <w:spacing w:after="40"/>
      </w:pPr>
      <w:r>
        <w:rPr>
          <w:b/>
          <w:sz w:val="20"/>
        </w:rPr>
        <w:t xml:space="preserve">Moral weights not applied. </w:t>
      </w:r>
      <w:r>
        <w:rPr>
          <w:sz w:val="20"/>
        </w:rPr>
        <w:t>All distributions are in pre-moral-weight animal suffering-years. The gap between the pre-weight values here and human-comparable values depends on contested empirical and philosophical questions about animal sentience.</w:t>
      </w:r>
    </w:p>
    <w:p>
      <w:pPr>
        <w:pStyle w:val="ListBullet"/>
        <w:spacing w:after="40"/>
      </w:pPr>
      <w:r>
        <w:rPr>
          <w:b/>
          <w:sz w:val="20"/>
        </w:rPr>
        <w:t xml:space="preserve">Chicken override. </w:t>
      </w:r>
      <w:r>
        <w:rPr>
          <w:sz w:val="20"/>
        </w:rPr>
        <w:t>The chicken estimate is based on RP analyst estimates and should be reviewed periodically as new field evidence becomes available.</w:t>
      </w:r>
    </w:p>
    <w:p>
      <w:pPr>
        <w:pStyle w:val="ListBullet"/>
        <w:spacing w:after="40"/>
      </w:pPr>
      <w:r>
        <w:rPr>
          <w:b/>
          <w:sz w:val="20"/>
        </w:rPr>
        <w:t xml:space="preserve">Zero-inflation. </w:t>
      </w:r>
      <w:r>
        <w:rPr>
          <w:sz w:val="20"/>
        </w:rPr>
        <w:t>Invertebrate and wild animal welfare estimates have zero-inflated distributions (many zero outcomes) because they depend on a binary 'does the intervention succeed' draw. The mean is therefore pulled above the median by rare successes.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