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C78"/>
          <w:sz w:val="44"/>
        </w:rPr>
        <w:t>How We Estimate the Value of GiveWell Grants</w:t>
      </w:r>
    </w:p>
    <w:p>
      <w:pPr>
        <w:jc w:val="center"/>
      </w:pPr>
      <w:r>
        <w:rPr>
          <w:color w:val="325AA0"/>
          <w:sz w:val="26"/>
        </w:rPr>
        <w:t>A plain-language guide to the GiveWell cost-effectiveness model</w:t>
      </w:r>
    </w:p>
    <w:p/>
    <w:p>
      <w:pPr>
        <w:pStyle w:val="Heading1"/>
      </w:pPr>
      <w:r>
        <w:t>1.  What this model does</w:t>
      </w:r>
    </w:p>
    <w:p>
      <w:pPr>
        <w:spacing w:after="100"/>
      </w:pPr>
      <w:r>
        <w:rPr>
          <w:sz w:val="21"/>
        </w:rPr>
        <w:t>GiveWell is one of the most rigorous charity evaluators in the world. It focuses on global health and development — areas where strong evidence exists and where each dollar can go very far because the populations served face severe poverty. Rethink Priorities evaluates GiveWell's portfolio on behalf of Anthropic staff who are deciding where to direct their personal philanthropy. The key question: compared to other ways that money could be used, how much good does donating to GiveWell's portfolio actually do?</w:t>
      </w:r>
    </w:p>
    <w:p>
      <w:pPr>
        <w:spacing w:after="100"/>
      </w:pPr>
      <w:r>
        <w:rPr>
          <w:sz w:val="21"/>
        </w:rPr>
        <w:t>This model estimates how many people's lives are improved — and by how much — per $1 million donated to GiveWell's 2025 grantmaking portfolio. It does this by combining data on GiveWell's own cost-effectiveness estimates with Rethink Priorities' framework for comparing impacts across time and under different views about risk.</w:t>
      </w:r>
    </w:p>
    <w:p>
      <w:pPr>
        <w:spacing w:before="100" w:after="160"/>
        <w:ind w:left="283" w:right="283"/>
        <w:shd w:val="clear" w:color="auto" w:fill="EAF4FB"/>
      </w:pPr>
      <w:r>
        <w:rPr>
          <w:i/>
          <w:color w:val="1A5C82"/>
          <w:sz w:val="20"/>
        </w:rPr>
        <w:t>Think of it as asking: 'If an Anthropic staff member gives $1M to GiveWell today, how many life-years are saved, how much suffering is prevented, and how much richer do people become — and when do these benefits materialise?'</w:t>
      </w:r>
    </w:p>
    <w:p>
      <w:pPr>
        <w:pStyle w:val="Heading1"/>
      </w:pPr>
      <w:r>
        <w:t>2.  GiveWell's portfolio: what gets funded</w:t>
      </w:r>
    </w:p>
    <w:p>
      <w:pPr>
        <w:spacing w:after="100"/>
      </w:pPr>
      <w:r>
        <w:rPr>
          <w:sz w:val="21"/>
        </w:rPr>
        <w:t>GiveWell doesn't fund a single programme — it spreads grants across many proven health interventions based on which ones it believes are most cost-effective each year. In 2025, eight cause areas accounted for the bulk of GiveWell's grantmaking:</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Cause area</w:t>
            </w:r>
          </w:p>
        </w:tc>
        <w:tc>
          <w:tcPr>
            <w:tcW w:type="dxa" w:w="3022"/>
            <w:shd w:val="clear" w:color="auto" w:fill="D2DCF0"/>
          </w:tcPr>
          <w:p>
            <w:r>
              <w:rPr>
                <w:b/>
                <w:color w:val="1E3C78"/>
                <w:sz w:val="19"/>
              </w:rPr>
              <w:t>Share of 2025 funding</w:t>
            </w:r>
          </w:p>
        </w:tc>
        <w:tc>
          <w:tcPr>
            <w:tcW w:type="dxa" w:w="3022"/>
            <w:shd w:val="clear" w:color="auto" w:fill="D2DCF0"/>
          </w:tcPr>
          <w:p>
            <w:r>
              <w:rPr>
                <w:b/>
                <w:color w:val="1E3C78"/>
                <w:sz w:val="19"/>
              </w:rPr>
              <w:t>What it does</w:t>
            </w:r>
          </w:p>
        </w:tc>
      </w:tr>
      <w:tr>
        <w:tc>
          <w:tcPr>
            <w:tcW w:type="dxa" w:w="3022"/>
            <w:shd w:val="clear" w:color="auto" w:fill="F5F7FC"/>
          </w:tcPr>
          <w:p>
            <w:r>
              <w:rPr>
                <w:sz w:val="19"/>
              </w:rPr>
              <w:t>Malaria prevention &amp; treatment</w:t>
            </w:r>
          </w:p>
        </w:tc>
        <w:tc>
          <w:tcPr>
            <w:tcW w:type="dxa" w:w="3022"/>
            <w:shd w:val="clear" w:color="auto" w:fill="F5F7FC"/>
          </w:tcPr>
          <w:p>
            <w:r>
              <w:rPr>
                <w:sz w:val="19"/>
              </w:rPr>
              <w:t>38%</w:t>
            </w:r>
          </w:p>
        </w:tc>
        <w:tc>
          <w:tcPr>
            <w:tcW w:type="dxa" w:w="3022"/>
            <w:shd w:val="clear" w:color="auto" w:fill="F5F7FC"/>
          </w:tcPr>
          <w:p>
            <w:r>
              <w:rPr>
                <w:sz w:val="19"/>
              </w:rPr>
              <w:t>YLDs 14% / Lives 58% / Income 27%</w:t>
            </w:r>
          </w:p>
        </w:tc>
      </w:tr>
      <w:tr>
        <w:tc>
          <w:tcPr>
            <w:tcW w:type="dxa" w:w="3022"/>
            <w:shd w:val="clear" w:color="auto" w:fill="FFFFFF"/>
          </w:tcPr>
          <w:p>
            <w:r>
              <w:rPr>
                <w:sz w:val="19"/>
              </w:rPr>
              <w:t>Vaccinations</w:t>
            </w:r>
          </w:p>
        </w:tc>
        <w:tc>
          <w:tcPr>
            <w:tcW w:type="dxa" w:w="3022"/>
            <w:shd w:val="clear" w:color="auto" w:fill="FFFFFF"/>
          </w:tcPr>
          <w:p>
            <w:r>
              <w:rPr>
                <w:sz w:val="19"/>
              </w:rPr>
              <w:t>12%</w:t>
            </w:r>
          </w:p>
        </w:tc>
        <w:tc>
          <w:tcPr>
            <w:tcW w:type="dxa" w:w="3022"/>
            <w:shd w:val="clear" w:color="auto" w:fill="FFFFFF"/>
          </w:tcPr>
          <w:p>
            <w:r>
              <w:rPr>
                <w:sz w:val="19"/>
              </w:rPr>
              <w:t>YLDs 7% / Lives 71% / Income 22%</w:t>
            </w:r>
          </w:p>
        </w:tc>
      </w:tr>
      <w:tr>
        <w:tc>
          <w:tcPr>
            <w:tcW w:type="dxa" w:w="3022"/>
            <w:shd w:val="clear" w:color="auto" w:fill="F5F7FC"/>
          </w:tcPr>
          <w:p>
            <w:r>
              <w:rPr>
                <w:sz w:val="19"/>
              </w:rPr>
              <w:t>Malnutrition treatment</w:t>
            </w:r>
          </w:p>
        </w:tc>
        <w:tc>
          <w:tcPr>
            <w:tcW w:type="dxa" w:w="3022"/>
            <w:shd w:val="clear" w:color="auto" w:fill="F5F7FC"/>
          </w:tcPr>
          <w:p>
            <w:r>
              <w:rPr>
                <w:sz w:val="19"/>
              </w:rPr>
              <w:t>9%</w:t>
            </w:r>
          </w:p>
        </w:tc>
        <w:tc>
          <w:tcPr>
            <w:tcW w:type="dxa" w:w="3022"/>
            <w:shd w:val="clear" w:color="auto" w:fill="F5F7FC"/>
          </w:tcPr>
          <w:p>
            <w:r>
              <w:rPr>
                <w:sz w:val="19"/>
              </w:rPr>
              <w:t>YLDs 4% / Lives 80% / Income 16%</w:t>
            </w:r>
          </w:p>
        </w:tc>
      </w:tr>
      <w:tr>
        <w:tc>
          <w:tcPr>
            <w:tcW w:type="dxa" w:w="3022"/>
            <w:shd w:val="clear" w:color="auto" w:fill="FFFFFF"/>
          </w:tcPr>
          <w:p>
            <w:r>
              <w:rPr>
                <w:sz w:val="19"/>
              </w:rPr>
              <w:t>Water quality</w:t>
            </w:r>
          </w:p>
        </w:tc>
        <w:tc>
          <w:tcPr>
            <w:tcW w:type="dxa" w:w="3022"/>
            <w:shd w:val="clear" w:color="auto" w:fill="FFFFFF"/>
          </w:tcPr>
          <w:p>
            <w:r>
              <w:rPr>
                <w:sz w:val="19"/>
              </w:rPr>
              <w:t>9%</w:t>
            </w:r>
          </w:p>
        </w:tc>
        <w:tc>
          <w:tcPr>
            <w:tcW w:type="dxa" w:w="3022"/>
            <w:shd w:val="clear" w:color="auto" w:fill="FFFFFF"/>
          </w:tcPr>
          <w:p>
            <w:r>
              <w:rPr>
                <w:sz w:val="19"/>
              </w:rPr>
              <w:t>YLDs 3% / Lives 66% / Income 31%</w:t>
            </w:r>
          </w:p>
        </w:tc>
      </w:tr>
      <w:tr>
        <w:tc>
          <w:tcPr>
            <w:tcW w:type="dxa" w:w="3022"/>
            <w:shd w:val="clear" w:color="auto" w:fill="F5F7FC"/>
          </w:tcPr>
          <w:p>
            <w:r>
              <w:rPr>
                <w:sz w:val="19"/>
              </w:rPr>
              <w:t>Vitamin A supplementation (VAS)</w:t>
            </w:r>
          </w:p>
        </w:tc>
        <w:tc>
          <w:tcPr>
            <w:tcW w:type="dxa" w:w="3022"/>
            <w:shd w:val="clear" w:color="auto" w:fill="F5F7FC"/>
          </w:tcPr>
          <w:p>
            <w:r>
              <w:rPr>
                <w:sz w:val="19"/>
              </w:rPr>
              <w:t>7%</w:t>
            </w:r>
          </w:p>
        </w:tc>
        <w:tc>
          <w:tcPr>
            <w:tcW w:type="dxa" w:w="3022"/>
            <w:shd w:val="clear" w:color="auto" w:fill="F5F7FC"/>
          </w:tcPr>
          <w:p>
            <w:r>
              <w:rPr>
                <w:sz w:val="19"/>
              </w:rPr>
              <w:t>YLDs 16% / Lives 67% / Income 17%</w:t>
            </w:r>
          </w:p>
        </w:tc>
      </w:tr>
      <w:tr>
        <w:tc>
          <w:tcPr>
            <w:tcW w:type="dxa" w:w="3022"/>
            <w:shd w:val="clear" w:color="auto" w:fill="FFFFFF"/>
          </w:tcPr>
          <w:p>
            <w:r>
              <w:rPr>
                <w:sz w:val="19"/>
              </w:rPr>
              <w:t>Iron fortification</w:t>
            </w:r>
          </w:p>
        </w:tc>
        <w:tc>
          <w:tcPr>
            <w:tcW w:type="dxa" w:w="3022"/>
            <w:shd w:val="clear" w:color="auto" w:fill="FFFFFF"/>
          </w:tcPr>
          <w:p>
            <w:r>
              <w:rPr>
                <w:sz w:val="19"/>
              </w:rPr>
              <w:t>7%</w:t>
            </w:r>
          </w:p>
        </w:tc>
        <w:tc>
          <w:tcPr>
            <w:tcW w:type="dxa" w:w="3022"/>
            <w:shd w:val="clear" w:color="auto" w:fill="FFFFFF"/>
          </w:tcPr>
          <w:p>
            <w:r>
              <w:rPr>
                <w:sz w:val="19"/>
              </w:rPr>
              <w:t>YLDs 58% / Lives 0% / Income 42%</w:t>
            </w:r>
          </w:p>
        </w:tc>
      </w:tr>
      <w:tr>
        <w:tc>
          <w:tcPr>
            <w:tcW w:type="dxa" w:w="3022"/>
            <w:shd w:val="clear" w:color="auto" w:fill="F5F7FC"/>
          </w:tcPr>
          <w:p>
            <w:r>
              <w:rPr>
                <w:sz w:val="19"/>
              </w:rPr>
              <w:t>Livelihood programs</w:t>
            </w:r>
          </w:p>
        </w:tc>
        <w:tc>
          <w:tcPr>
            <w:tcW w:type="dxa" w:w="3022"/>
            <w:shd w:val="clear" w:color="auto" w:fill="F5F7FC"/>
          </w:tcPr>
          <w:p>
            <w:r>
              <w:rPr>
                <w:sz w:val="19"/>
              </w:rPr>
              <w:t>3%</w:t>
            </w:r>
          </w:p>
        </w:tc>
        <w:tc>
          <w:tcPr>
            <w:tcW w:type="dxa" w:w="3022"/>
            <w:shd w:val="clear" w:color="auto" w:fill="F5F7FC"/>
          </w:tcPr>
          <w:p>
            <w:r>
              <w:rPr>
                <w:sz w:val="19"/>
              </w:rPr>
              <w:t>YLDs 9% / Lives 9% / Income 82%</w:t>
            </w:r>
          </w:p>
        </w:tc>
      </w:tr>
      <w:tr>
        <w:tc>
          <w:tcPr>
            <w:tcW w:type="dxa" w:w="3022"/>
            <w:shd w:val="clear" w:color="auto" w:fill="FFFFFF"/>
          </w:tcPr>
          <w:p>
            <w:r>
              <w:rPr>
                <w:sz w:val="19"/>
              </w:rPr>
              <w:t>Family planning</w:t>
            </w:r>
          </w:p>
        </w:tc>
        <w:tc>
          <w:tcPr>
            <w:tcW w:type="dxa" w:w="3022"/>
            <w:shd w:val="clear" w:color="auto" w:fill="FFFFFF"/>
          </w:tcPr>
          <w:p>
            <w:r>
              <w:rPr>
                <w:sz w:val="19"/>
              </w:rPr>
              <w:t>2%</w:t>
            </w:r>
          </w:p>
        </w:tc>
        <w:tc>
          <w:tcPr>
            <w:tcW w:type="dxa" w:w="3022"/>
            <w:shd w:val="clear" w:color="auto" w:fill="FFFFFF"/>
          </w:tcPr>
          <w:p>
            <w:r>
              <w:rPr>
                <w:sz w:val="19"/>
              </w:rPr>
              <w:t>YLDs 40% / Lives 20% / Income 40%</w:t>
            </w:r>
          </w:p>
        </w:tc>
      </w:tr>
    </w:tbl>
    <w:p/>
    <w:p>
      <w:pPr>
        <w:spacing w:after="100"/>
      </w:pPr>
      <w:r>
        <w:rPr>
          <w:sz w:val="21"/>
        </w:rPr>
        <w:t>The 'YLDs / Lives / Income' column shows roughly what fraction of each intervention's value comes from reducing illness (YLDs = years lived with disability), saving lives, and boosting long-term incomes. The remaining ~13% of GiveWell's funding goes to research and scoping grants that are too varied to model, so the splits above are normalised to sum to 100%.</w:t>
      </w:r>
    </w:p>
    <w:p>
      <w:pPr>
        <w:spacing w:before="100" w:after="160"/>
        <w:ind w:left="283" w:right="283"/>
        <w:shd w:val="clear" w:color="auto" w:fill="FFFADC"/>
      </w:pPr>
      <w:r>
        <w:rPr>
          <w:i/>
          <w:color w:val="503C00"/>
          <w:sz w:val="20"/>
        </w:rPr>
        <w:t>Note: Iron fortification stands out: it produces almost no mortality reduction but dramatically reduces anaemia and cognitive impairment, making its value almost entirely about health quality rather than lives saved. Livelihood programs (e.g. cash transfers) are the opposite — almost all value comes through long-run income gains.</w:t>
      </w:r>
    </w:p>
    <w:p>
      <w:pPr>
        <w:pStyle w:val="Heading1"/>
      </w:pPr>
      <w:r>
        <w:t>3.  Measuring cost-effectiveness: multiples of cash</w:t>
      </w:r>
    </w:p>
    <w:p>
      <w:pPr>
        <w:spacing w:after="100"/>
      </w:pPr>
      <w:r>
        <w:rPr>
          <w:sz w:val="21"/>
        </w:rPr>
        <w:t>GiveWell rates charities by comparing them to its benchmark: GiveDirectly, which gives unconditional cash transfers directly to poor households. A programme rated '10×' is judged ten times as cost-effective as simply handing out the equivalent amount of money.</w:t>
      </w:r>
    </w:p>
    <w:p>
      <w:pPr>
        <w:spacing w:after="100"/>
      </w:pPr>
      <w:r>
        <w:rPr>
          <w:sz w:val="21"/>
        </w:rPr>
        <w:t>We translate this into a concrete number: at exactly 1× (cash-transfer level), $1 million produces approximately 3,280 'units of value' under GiveWell's moral framework. This was calculated by working through GiveWell's own cost-effectiveness spreadsheet for GiveDirectly across five countries.</w:t>
      </w:r>
    </w:p>
    <w:p>
      <w:pPr>
        <w:spacing w:after="100"/>
      </w:pPr>
      <w:r>
        <w:rPr>
          <w:sz w:val="21"/>
        </w:rPr>
        <w:t>GiveWell's portfolio is not uniformly cost-effective — some grants are excellent, others are adequate. In 2025, GiveWell reported its portfolio breaks down as:</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Cost-effectiveness tier</w:t>
            </w:r>
          </w:p>
        </w:tc>
        <w:tc>
          <w:tcPr>
            <w:tcW w:type="dxa" w:w="3022"/>
            <w:shd w:val="clear" w:color="auto" w:fill="D2DCF0"/>
          </w:tcPr>
          <w:p>
            <w:r>
              <w:rPr>
                <w:b/>
                <w:color w:val="1E3C78"/>
                <w:sz w:val="19"/>
              </w:rPr>
              <w:t>Share of portfolio</w:t>
            </w:r>
          </w:p>
        </w:tc>
        <w:tc>
          <w:tcPr>
            <w:tcW w:type="dxa" w:w="3022"/>
            <w:shd w:val="clear" w:color="auto" w:fill="D2DCF0"/>
          </w:tcPr>
          <w:p>
            <w:r>
              <w:rPr>
                <w:b/>
                <w:color w:val="1E3C78"/>
                <w:sz w:val="19"/>
              </w:rPr>
              <w:t>How we model it</w:t>
            </w:r>
          </w:p>
        </w:tc>
      </w:tr>
      <w:tr>
        <w:tc>
          <w:tcPr>
            <w:tcW w:type="dxa" w:w="3022"/>
            <w:shd w:val="clear" w:color="auto" w:fill="F5F7FC"/>
          </w:tcPr>
          <w:p>
            <w:r>
              <w:rPr>
                <w:sz w:val="19"/>
              </w:rPr>
              <w:t>Below 8×</w:t>
            </w:r>
          </w:p>
        </w:tc>
        <w:tc>
          <w:tcPr>
            <w:tcW w:type="dxa" w:w="3022"/>
            <w:shd w:val="clear" w:color="auto" w:fill="F5F7FC"/>
          </w:tcPr>
          <w:p>
            <w:r>
              <w:rPr>
                <w:sz w:val="19"/>
              </w:rPr>
              <w:t>5%</w:t>
            </w:r>
          </w:p>
        </w:tc>
        <w:tc>
          <w:tcPr>
            <w:tcW w:type="dxa" w:w="3022"/>
            <w:shd w:val="clear" w:color="auto" w:fill="F5F7FC"/>
          </w:tcPr>
          <w:p>
            <w:r>
              <w:rPr>
                <w:sz w:val="19"/>
              </w:rPr>
              <w:t>lognormal, 90% CI [2×, 8×], clipped [0.5×, 16×]</w:t>
            </w:r>
          </w:p>
        </w:tc>
      </w:tr>
      <w:tr>
        <w:tc>
          <w:tcPr>
            <w:tcW w:type="dxa" w:w="3022"/>
            <w:shd w:val="clear" w:color="auto" w:fill="FFFFFF"/>
          </w:tcPr>
          <w:p>
            <w:r>
              <w:rPr>
                <w:sz w:val="19"/>
              </w:rPr>
              <w:t>8× to 16×</w:t>
            </w:r>
          </w:p>
        </w:tc>
        <w:tc>
          <w:tcPr>
            <w:tcW w:type="dxa" w:w="3022"/>
            <w:shd w:val="clear" w:color="auto" w:fill="FFFFFF"/>
          </w:tcPr>
          <w:p>
            <w:r>
              <w:rPr>
                <w:sz w:val="19"/>
              </w:rPr>
              <w:t>68%</w:t>
            </w:r>
          </w:p>
        </w:tc>
        <w:tc>
          <w:tcPr>
            <w:tcW w:type="dxa" w:w="3022"/>
            <w:shd w:val="clear" w:color="auto" w:fill="FFFFFF"/>
          </w:tcPr>
          <w:p>
            <w:r>
              <w:rPr>
                <w:sz w:val="19"/>
              </w:rPr>
              <w:t>normal, 90% CI [8×, 16×], clipped [2×, 32×]</w:t>
            </w:r>
          </w:p>
        </w:tc>
      </w:tr>
      <w:tr>
        <w:tc>
          <w:tcPr>
            <w:tcW w:type="dxa" w:w="3022"/>
            <w:shd w:val="clear" w:color="auto" w:fill="F5F7FC"/>
          </w:tcPr>
          <w:p>
            <w:r>
              <w:rPr>
                <w:sz w:val="19"/>
              </w:rPr>
              <w:t>Above 16×</w:t>
            </w:r>
          </w:p>
        </w:tc>
        <w:tc>
          <w:tcPr>
            <w:tcW w:type="dxa" w:w="3022"/>
            <w:shd w:val="clear" w:color="auto" w:fill="F5F7FC"/>
          </w:tcPr>
          <w:p>
            <w:r>
              <w:rPr>
                <w:sz w:val="19"/>
              </w:rPr>
              <w:t>27%</w:t>
            </w:r>
          </w:p>
        </w:tc>
        <w:tc>
          <w:tcPr>
            <w:tcW w:type="dxa" w:w="3022"/>
            <w:shd w:val="clear" w:color="auto" w:fill="F5F7FC"/>
          </w:tcPr>
          <w:p>
            <w:r>
              <w:rPr>
                <w:sz w:val="19"/>
              </w:rPr>
              <w:t>lognormal, 90% CI [16×, 44×], clipped [8×, 80×]</w:t>
            </w:r>
          </w:p>
        </w:tc>
      </w:tr>
    </w:tbl>
    <w:p/>
    <w:p>
      <w:pPr>
        <w:spacing w:after="100"/>
      </w:pPr>
      <w:r>
        <w:rPr>
          <w:sz w:val="21"/>
        </w:rPr>
        <w:t>To capture this uncertainty, the model draws 10,000 random samples — one per simulated 'world' — from these three distributions, weighted by portfolio share. Each sample gives a total cost-effectiveness multiplier; multiplying by 3,280 converts it into units of value per $1M.</w:t>
      </w:r>
    </w:p>
    <w:p>
      <w:pPr>
        <w:spacing w:before="100" w:after="160"/>
        <w:ind w:left="283" w:right="283"/>
        <w:shd w:val="clear" w:color="auto" w:fill="EAF4FB"/>
      </w:pPr>
      <w:r>
        <w:rPr>
          <w:i/>
          <w:color w:val="1A5C82"/>
          <w:sz w:val="20"/>
        </w:rPr>
        <w:t>Because we draw random samples from these distributions, the model gives a range of plausible outcomes rather than a single number. The mean is about 14× the cash benchmark.</w:t>
      </w:r>
    </w:p>
    <w:p>
      <w:pPr>
        <w:pStyle w:val="Heading1"/>
      </w:pPr>
      <w:r>
        <w:t>4.  Three types of benefit</w:t>
      </w:r>
    </w:p>
    <w:p>
      <w:pPr>
        <w:spacing w:after="100"/>
      </w:pPr>
      <w:r>
        <w:rPr>
          <w:sz w:val="21"/>
        </w:rPr>
        <w:t>Not all health improvements are the same. GiveWell explicitly distinguishes three categories of impact, and applies different values ('moral weights') to each:</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Benefit type</w:t>
            </w:r>
          </w:p>
        </w:tc>
        <w:tc>
          <w:tcPr>
            <w:tcW w:type="dxa" w:w="3022"/>
            <w:shd w:val="clear" w:color="auto" w:fill="D2DCF0"/>
          </w:tcPr>
          <w:p>
            <w:r>
              <w:rPr>
                <w:b/>
                <w:color w:val="1E3C78"/>
                <w:sz w:val="19"/>
              </w:rPr>
              <w:t>What it means</w:t>
            </w:r>
          </w:p>
        </w:tc>
        <w:tc>
          <w:tcPr>
            <w:tcW w:type="dxa" w:w="3022"/>
            <w:shd w:val="clear" w:color="auto" w:fill="D2DCF0"/>
          </w:tcPr>
          <w:p>
            <w:r>
              <w:rPr>
                <w:b/>
                <w:color w:val="1E3C78"/>
                <w:sz w:val="19"/>
              </w:rPr>
              <w:t>GiveWell's moral weight</w:t>
            </w:r>
          </w:p>
        </w:tc>
      </w:tr>
      <w:tr>
        <w:tc>
          <w:tcPr>
            <w:tcW w:type="dxa" w:w="3022"/>
            <w:shd w:val="clear" w:color="auto" w:fill="F5F7FC"/>
          </w:tcPr>
          <w:p>
            <w:r>
              <w:rPr>
                <w:sz w:val="19"/>
              </w:rPr>
              <w:t>YLDs averted</w:t>
            </w:r>
          </w:p>
        </w:tc>
        <w:tc>
          <w:tcPr>
            <w:tcW w:type="dxa" w:w="3022"/>
            <w:shd w:val="clear" w:color="auto" w:fill="F5F7FC"/>
          </w:tcPr>
          <w:p>
            <w:r>
              <w:rPr>
                <w:sz w:val="19"/>
              </w:rPr>
              <w:t>Preventing disability — e.g. a year without debilitating malaria illness</w:t>
            </w:r>
          </w:p>
        </w:tc>
        <w:tc>
          <w:tcPr>
            <w:tcW w:type="dxa" w:w="3022"/>
            <w:shd w:val="clear" w:color="auto" w:fill="F5F7FC"/>
          </w:tcPr>
          <w:p>
            <w:r>
              <w:rPr>
                <w:sz w:val="19"/>
              </w:rPr>
              <w:t>2.3 units of value per YLD averted</w:t>
            </w:r>
          </w:p>
        </w:tc>
      </w:tr>
      <w:tr>
        <w:tc>
          <w:tcPr>
            <w:tcW w:type="dxa" w:w="3022"/>
            <w:shd w:val="clear" w:color="auto" w:fill="FFFFFF"/>
          </w:tcPr>
          <w:p>
            <w:r>
              <w:rPr>
                <w:sz w:val="19"/>
              </w:rPr>
              <w:t>Lives saved</w:t>
            </w:r>
          </w:p>
        </w:tc>
        <w:tc>
          <w:tcPr>
            <w:tcW w:type="dxa" w:w="3022"/>
            <w:shd w:val="clear" w:color="auto" w:fill="FFFFFF"/>
          </w:tcPr>
          <w:p>
            <w:r>
              <w:rPr>
                <w:sz w:val="19"/>
              </w:rPr>
              <w:t>Preventing a death — primarily child deaths in low-income settings</w:t>
            </w:r>
          </w:p>
        </w:tc>
        <w:tc>
          <w:tcPr>
            <w:tcW w:type="dxa" w:w="3022"/>
            <w:shd w:val="clear" w:color="auto" w:fill="FFFFFF"/>
          </w:tcPr>
          <w:p>
            <w:r>
              <w:rPr>
                <w:sz w:val="19"/>
              </w:rPr>
              <w:t>115.6 units of value per life saved</w:t>
            </w:r>
          </w:p>
        </w:tc>
      </w:tr>
      <w:tr>
        <w:tc>
          <w:tcPr>
            <w:tcW w:type="dxa" w:w="3022"/>
            <w:shd w:val="clear" w:color="auto" w:fill="F5F7FC"/>
          </w:tcPr>
          <w:p>
            <w:r>
              <w:rPr>
                <w:sz w:val="19"/>
              </w:rPr>
              <w:t>Income doublings</w:t>
            </w:r>
          </w:p>
        </w:tc>
        <w:tc>
          <w:tcPr>
            <w:tcW w:type="dxa" w:w="3022"/>
            <w:shd w:val="clear" w:color="auto" w:fill="F5F7FC"/>
          </w:tcPr>
          <w:p>
            <w:r>
              <w:rPr>
                <w:sz w:val="19"/>
              </w:rPr>
              <w:t>Permanently doubling a household's income — the long-run economic effect</w:t>
            </w:r>
          </w:p>
        </w:tc>
        <w:tc>
          <w:tcPr>
            <w:tcW w:type="dxa" w:w="3022"/>
            <w:shd w:val="clear" w:color="auto" w:fill="F5F7FC"/>
          </w:tcPr>
          <w:p>
            <w:r>
              <w:rPr>
                <w:sz w:val="19"/>
              </w:rPr>
              <w:t>1.0 unit of value per income doubling</w:t>
            </w:r>
          </w:p>
        </w:tc>
      </w:tr>
    </w:tbl>
    <w:p/>
    <w:p>
      <w:pPr>
        <w:spacing w:after="100"/>
      </w:pPr>
      <w:r>
        <w:rPr>
          <w:sz w:val="21"/>
        </w:rPr>
        <w:t>GiveWell values saving a life at roughly 50× the value of a year of disability prevention. This reflects the enormous loss of a death, especially a child's death, compared to a year of illness or lost income. The model uses these weights to split the total portfolio value into separate streams for each benefit type.</w:t>
      </w:r>
    </w:p>
    <w:p>
      <w:pPr>
        <w:spacing w:after="100"/>
      </w:pPr>
      <w:r>
        <w:rPr>
          <w:sz w:val="21"/>
        </w:rPr>
        <w:t>Once the total units of value per $1M are known, the portfolio's funding-weighted average split is applied: approximately 15% of value comes from YLDs averted, 57% from life-years saved, and 28% from income doublings.</w:t>
      </w:r>
    </w:p>
    <w:p>
      <w:pPr>
        <w:spacing w:before="100" w:after="160"/>
        <w:ind w:left="283" w:right="283"/>
        <w:shd w:val="clear" w:color="auto" w:fill="FFFADC"/>
      </w:pPr>
      <w:r>
        <w:rPr>
          <w:i/>
          <w:color w:val="503C00"/>
          <w:sz w:val="20"/>
        </w:rPr>
        <w:t>Note: 'Lives saved' is subsequently multiplied by 60 to convert to life-years saved — reflecting the roughly 60-year remaining life expectancy of the children GiveWell's work primarily reaches.</w:t>
      </w:r>
    </w:p>
    <w:p>
      <w:pPr>
        <w:pStyle w:val="Heading1"/>
      </w:pPr>
      <w:r>
        <w:t>5.  When do benefits happen?</w:t>
      </w:r>
    </w:p>
    <w:p>
      <w:pPr>
        <w:spacing w:after="100"/>
      </w:pPr>
      <w:r>
        <w:rPr>
          <w:sz w:val="21"/>
        </w:rPr>
        <w:t>Not all benefits arrive immediately. The model spreads each type of benefit across six time windows. Health benefits (preventing deaths and disability) happen quickly — within the current grant cycle. Economic benefits unfold more slowly, because the children helped today won't enter the workforce for another 10–20 years.</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D2DCF0"/>
          </w:tcPr>
          <w:p>
            <w:r>
              <w:rPr>
                <w:b/>
                <w:color w:val="1E3C78"/>
                <w:sz w:val="19"/>
              </w:rPr>
              <w:t>Time window</w:t>
            </w:r>
          </w:p>
        </w:tc>
        <w:tc>
          <w:tcPr>
            <w:tcW w:type="dxa" w:w="2266"/>
            <w:shd w:val="clear" w:color="auto" w:fill="D2DCF0"/>
          </w:tcPr>
          <w:p>
            <w:r>
              <w:rPr>
                <w:b/>
                <w:color w:val="1E3C78"/>
                <w:sz w:val="19"/>
              </w:rPr>
              <w:t>YLDs averted / life-years</w:t>
            </w:r>
          </w:p>
        </w:tc>
        <w:tc>
          <w:tcPr>
            <w:tcW w:type="dxa" w:w="2266"/>
            <w:shd w:val="clear" w:color="auto" w:fill="D2DCF0"/>
          </w:tcPr>
          <w:p>
            <w:r>
              <w:rPr>
                <w:b/>
                <w:color w:val="1E3C78"/>
                <w:sz w:val="19"/>
              </w:rPr>
              <w:t>Income doublings</w:t>
            </w:r>
          </w:p>
        </w:tc>
        <w:tc>
          <w:tcPr>
            <w:tcW w:type="dxa" w:w="2266"/>
            <w:shd w:val="clear" w:color="auto" w:fill="D2DCF0"/>
          </w:tcPr>
          <w:p>
            <w:r>
              <w:rPr>
                <w:b/>
                <w:color w:val="1E3C78"/>
                <w:sz w:val="19"/>
              </w:rPr>
              <w:t>Why</w:t>
            </w:r>
          </w:p>
        </w:tc>
      </w:tr>
      <w:tr>
        <w:tc>
          <w:tcPr>
            <w:tcW w:type="dxa" w:w="2266"/>
            <w:shd w:val="clear" w:color="auto" w:fill="F5F7FC"/>
          </w:tcPr>
          <w:p>
            <w:r>
              <w:rPr>
                <w:sz w:val="19"/>
              </w:rPr>
              <w:t>0–5 years</w:t>
            </w:r>
          </w:p>
        </w:tc>
        <w:tc>
          <w:tcPr>
            <w:tcW w:type="dxa" w:w="2266"/>
            <w:shd w:val="clear" w:color="auto" w:fill="F5F7FC"/>
          </w:tcPr>
          <w:p>
            <w:r>
              <w:rPr>
                <w:sz w:val="19"/>
              </w:rPr>
              <w:t>90%</w:t>
            </w:r>
          </w:p>
        </w:tc>
        <w:tc>
          <w:tcPr>
            <w:tcW w:type="dxa" w:w="2266"/>
            <w:shd w:val="clear" w:color="auto" w:fill="F5F7FC"/>
          </w:tcPr>
          <w:p>
            <w:r>
              <w:rPr>
                <w:sz w:val="19"/>
              </w:rPr>
              <w:t>18%</w:t>
            </w:r>
          </w:p>
        </w:tc>
        <w:tc>
          <w:tcPr>
            <w:tcW w:type="dxa" w:w="2266"/>
            <w:shd w:val="clear" w:color="auto" w:fill="F5F7FC"/>
          </w:tcPr>
          <w:p>
            <w:r>
              <w:rPr>
                <w:sz w:val="19"/>
              </w:rPr>
              <w:t>Immediate health benefits; short-term income/savings from cash-like components</w:t>
            </w:r>
          </w:p>
        </w:tc>
      </w:tr>
      <w:tr>
        <w:tc>
          <w:tcPr>
            <w:tcW w:type="dxa" w:w="2266"/>
            <w:shd w:val="clear" w:color="auto" w:fill="FFFFFF"/>
          </w:tcPr>
          <w:p>
            <w:r>
              <w:rPr>
                <w:sz w:val="19"/>
              </w:rPr>
              <w:t>5–10 years</w:t>
            </w:r>
          </w:p>
        </w:tc>
        <w:tc>
          <w:tcPr>
            <w:tcW w:type="dxa" w:w="2266"/>
            <w:shd w:val="clear" w:color="auto" w:fill="FFFFFF"/>
          </w:tcPr>
          <w:p>
            <w:r>
              <w:rPr>
                <w:sz w:val="19"/>
              </w:rPr>
              <w:t>7%</w:t>
            </w:r>
          </w:p>
        </w:tc>
        <w:tc>
          <w:tcPr>
            <w:tcW w:type="dxa" w:w="2266"/>
            <w:shd w:val="clear" w:color="auto" w:fill="FFFFFF"/>
          </w:tcPr>
          <w:p>
            <w:r>
              <w:rPr>
                <w:sz w:val="19"/>
              </w:rPr>
              <w:t>1.4%</w:t>
            </w:r>
          </w:p>
        </w:tc>
        <w:tc>
          <w:tcPr>
            <w:tcW w:type="dxa" w:w="2266"/>
            <w:shd w:val="clear" w:color="auto" w:fill="FFFFFF"/>
          </w:tcPr>
          <w:p>
            <w:r>
              <w:rPr>
                <w:sz w:val="19"/>
              </w:rPr>
              <w:t>Residual from research &amp; pilot investments</w:t>
            </w:r>
          </w:p>
        </w:tc>
      </w:tr>
      <w:tr>
        <w:tc>
          <w:tcPr>
            <w:tcW w:type="dxa" w:w="2266"/>
            <w:shd w:val="clear" w:color="auto" w:fill="F5F7FC"/>
          </w:tcPr>
          <w:p>
            <w:r>
              <w:rPr>
                <w:sz w:val="19"/>
              </w:rPr>
              <w:t>10–20 years</w:t>
            </w:r>
          </w:p>
        </w:tc>
        <w:tc>
          <w:tcPr>
            <w:tcW w:type="dxa" w:w="2266"/>
            <w:shd w:val="clear" w:color="auto" w:fill="F5F7FC"/>
          </w:tcPr>
          <w:p>
            <w:r>
              <w:rPr>
                <w:sz w:val="19"/>
              </w:rPr>
              <w:t>1.5%</w:t>
            </w:r>
          </w:p>
        </w:tc>
        <w:tc>
          <w:tcPr>
            <w:tcW w:type="dxa" w:w="2266"/>
            <w:shd w:val="clear" w:color="auto" w:fill="F5F7FC"/>
          </w:tcPr>
          <w:p>
            <w:r>
              <w:rPr>
                <w:sz w:val="19"/>
              </w:rPr>
              <w:t>12.5%</w:t>
            </w:r>
          </w:p>
        </w:tc>
        <w:tc>
          <w:tcPr>
            <w:tcW w:type="dxa" w:w="2266"/>
            <w:shd w:val="clear" w:color="auto" w:fill="F5F7FC"/>
          </w:tcPr>
          <w:p>
            <w:r>
              <w:rPr>
                <w:sz w:val="19"/>
              </w:rPr>
              <w:t>Children reached today begin their working lives</w:t>
            </w:r>
          </w:p>
        </w:tc>
      </w:tr>
      <w:tr>
        <w:tc>
          <w:tcPr>
            <w:tcW w:type="dxa" w:w="2266"/>
            <w:shd w:val="clear" w:color="auto" w:fill="FFFFFF"/>
          </w:tcPr>
          <w:p>
            <w:r>
              <w:rPr>
                <w:sz w:val="19"/>
              </w:rPr>
              <w:t>20–100 years</w:t>
            </w:r>
          </w:p>
        </w:tc>
        <w:tc>
          <w:tcPr>
            <w:tcW w:type="dxa" w:w="2266"/>
            <w:shd w:val="clear" w:color="auto" w:fill="FFFFFF"/>
          </w:tcPr>
          <w:p>
            <w:r>
              <w:rPr>
                <w:sz w:val="19"/>
              </w:rPr>
              <w:t>0.5%</w:t>
            </w:r>
          </w:p>
        </w:tc>
        <w:tc>
          <w:tcPr>
            <w:tcW w:type="dxa" w:w="2266"/>
            <w:shd w:val="clear" w:color="auto" w:fill="FFFFFF"/>
          </w:tcPr>
          <w:p>
            <w:r>
              <w:rPr>
                <w:sz w:val="19"/>
              </w:rPr>
              <w:t>68%</w:t>
            </w:r>
          </w:p>
        </w:tc>
        <w:tc>
          <w:tcPr>
            <w:tcW w:type="dxa" w:w="2266"/>
            <w:shd w:val="clear" w:color="auto" w:fill="FFFFFF"/>
          </w:tcPr>
          <w:p>
            <w:r>
              <w:rPr>
                <w:sz w:val="19"/>
              </w:rPr>
              <w:t>Long-run compounding of improved nutrition, education, and productivity</w:t>
            </w:r>
          </w:p>
        </w:tc>
      </w:tr>
      <w:tr>
        <w:tc>
          <w:tcPr>
            <w:tcW w:type="dxa" w:w="2266"/>
            <w:shd w:val="clear" w:color="auto" w:fill="F5F7FC"/>
          </w:tcPr>
          <w:p>
            <w:r>
              <w:rPr>
                <w:sz w:val="19"/>
              </w:rPr>
              <w:t>100–500 years</w:t>
            </w:r>
          </w:p>
        </w:tc>
        <w:tc>
          <w:tcPr>
            <w:tcW w:type="dxa" w:w="2266"/>
            <w:shd w:val="clear" w:color="auto" w:fill="F5F7FC"/>
          </w:tcPr>
          <w:p>
            <w:r>
              <w:rPr>
                <w:sz w:val="19"/>
              </w:rPr>
              <w:t>0%</w:t>
            </w:r>
          </w:p>
        </w:tc>
        <w:tc>
          <w:tcPr>
            <w:tcW w:type="dxa" w:w="2266"/>
            <w:shd w:val="clear" w:color="auto" w:fill="F5F7FC"/>
          </w:tcPr>
          <w:p>
            <w:r>
              <w:rPr>
                <w:sz w:val="19"/>
              </w:rPr>
              <w:t>0%</w:t>
            </w:r>
          </w:p>
        </w:tc>
        <w:tc>
          <w:tcPr>
            <w:tcW w:type="dxa" w:w="2266"/>
            <w:shd w:val="clear" w:color="auto" w:fill="F5F7FC"/>
          </w:tcPr>
          <w:p>
            <w:r>
              <w:rPr>
                <w:sz w:val="19"/>
              </w:rPr>
              <w:t>No effects modelled beyond 100 years for GiveWell</w:t>
            </w:r>
          </w:p>
        </w:tc>
      </w:tr>
      <w:tr>
        <w:tc>
          <w:tcPr>
            <w:tcW w:type="dxa" w:w="2266"/>
            <w:shd w:val="clear" w:color="auto" w:fill="FFFFFF"/>
          </w:tcPr>
          <w:p>
            <w:r>
              <w:rPr>
                <w:sz w:val="19"/>
              </w:rPr>
              <w:t>500+ years</w:t>
            </w:r>
          </w:p>
        </w:tc>
        <w:tc>
          <w:tcPr>
            <w:tcW w:type="dxa" w:w="2266"/>
            <w:shd w:val="clear" w:color="auto" w:fill="FFFFFF"/>
          </w:tcPr>
          <w:p>
            <w:r>
              <w:rPr>
                <w:sz w:val="19"/>
              </w:rPr>
              <w:t>0%</w:t>
            </w:r>
          </w:p>
        </w:tc>
        <w:tc>
          <w:tcPr>
            <w:tcW w:type="dxa" w:w="2266"/>
            <w:shd w:val="clear" w:color="auto" w:fill="FFFFFF"/>
          </w:tcPr>
          <w:p>
            <w:r>
              <w:rPr>
                <w:sz w:val="19"/>
              </w:rPr>
              <w:t>0%</w:t>
            </w:r>
          </w:p>
        </w:tc>
        <w:tc>
          <w:tcPr>
            <w:tcW w:type="dxa" w:w="2266"/>
            <w:shd w:val="clear" w:color="auto" w:fill="FFFFFF"/>
          </w:tcPr>
          <w:p>
            <w:r>
              <w:rPr>
                <w:sz w:val="19"/>
              </w:rPr>
              <w:t>No effects modelled beyond 100 years for GiveWell</w:t>
            </w:r>
          </w:p>
        </w:tc>
      </w:tr>
    </w:tbl>
    <w:p/>
    <w:p>
      <w:pPr>
        <w:spacing w:before="100" w:after="160"/>
        <w:ind w:left="283" w:right="283"/>
        <w:shd w:val="clear" w:color="auto" w:fill="EAF4FB"/>
      </w:pPr>
      <w:r>
        <w:rPr>
          <w:i/>
          <w:color w:val="1A5C82"/>
          <w:sz w:val="20"/>
        </w:rPr>
        <w:t>This means that health effects (preventing deaths and disability) are front-loaded — 90% happens within five years. Income effects are back-loaded — nearly 70% falls in the 20–100 year window. Readers who are sceptical of very long-run income projections should focus on the near-term columns.</w:t>
      </w:r>
    </w:p>
    <w:p>
      <w:pPr>
        <w:pStyle w:val="Heading1"/>
      </w:pPr>
      <w:r>
        <w:t>6.  Handling uncertainty: nine views of the same data</w:t>
      </w:r>
    </w:p>
    <w:p>
      <w:pPr>
        <w:spacing w:after="100"/>
      </w:pPr>
      <w:r>
        <w:rPr>
          <w:sz w:val="21"/>
        </w:rPr>
        <w:t>Because we are drawing random samples from the cost-effectiveness distributions, we end up with a spread of outcomes — some worlds where GiveWell performs very well, some where it performs less well. Different decision-makers care about different aspects of this spread.</w:t>
      </w:r>
    </w:p>
    <w:p>
      <w:pPr>
        <w:spacing w:after="100"/>
      </w:pPr>
      <w:r>
        <w:rPr>
          <w:sz w:val="21"/>
        </w:rPr>
        <w:t>The model applies nine 'risk profiles' to the same set of samples. Each profile answers a slightly different question:</w:t>
      </w:r>
    </w:p>
    <w:tbl>
      <w:tblPr>
        <w:tblStyle w:val="TableGrid"/>
        <w:tblW w:type="auto" w:w="0"/>
        <w:tblLook w:firstColumn="1" w:firstRow="1" w:lastColumn="0" w:lastRow="0" w:noHBand="0" w:noVBand="1" w:val="04A0"/>
      </w:tblPr>
      <w:tblGrid>
        <w:gridCol w:w="4533"/>
        <w:gridCol w:w="4533"/>
      </w:tblGrid>
      <w:tr>
        <w:tc>
          <w:tcPr>
            <w:tcW w:type="dxa" w:w="4533"/>
            <w:shd w:val="clear" w:color="auto" w:fill="D2DCF0"/>
          </w:tcPr>
          <w:p>
            <w:r>
              <w:rPr>
                <w:b/>
                <w:color w:val="1E3C78"/>
                <w:sz w:val="19"/>
              </w:rPr>
              <w:t>Profile</w:t>
            </w:r>
          </w:p>
        </w:tc>
        <w:tc>
          <w:tcPr>
            <w:tcW w:type="dxa" w:w="4533"/>
            <w:shd w:val="clear" w:color="auto" w:fill="D2DCF0"/>
          </w:tcPr>
          <w:p>
            <w:r>
              <w:rPr>
                <w:b/>
                <w:color w:val="1E3C78"/>
                <w:sz w:val="19"/>
              </w:rPr>
              <w:t>The question it answers</w:t>
            </w:r>
          </w:p>
        </w:tc>
      </w:tr>
      <w:tr>
        <w:tc>
          <w:tcPr>
            <w:tcW w:type="dxa" w:w="4533"/>
            <w:shd w:val="clear" w:color="auto" w:fill="F5F7FC"/>
          </w:tcPr>
          <w:p>
            <w:r>
              <w:rPr>
                <w:sz w:val="19"/>
              </w:rPr>
              <w:t>Neutral (mean)</w:t>
            </w:r>
          </w:p>
        </w:tc>
        <w:tc>
          <w:tcPr>
            <w:tcW w:type="dxa" w:w="4533"/>
            <w:shd w:val="clear" w:color="auto" w:fill="F5F7FC"/>
          </w:tcPr>
          <w:p>
            <w:r>
              <w:rPr>
                <w:sz w:val="19"/>
              </w:rPr>
              <w:t>On average, across all simulated worlds, what is the expected impact?</w:t>
            </w:r>
          </w:p>
        </w:tc>
      </w:tr>
      <w:tr>
        <w:tc>
          <w:tcPr>
            <w:tcW w:type="dxa" w:w="4533"/>
            <w:shd w:val="clear" w:color="auto" w:fill="FFFFFF"/>
          </w:tcPr>
          <w:p>
            <w:r>
              <w:rPr>
                <w:sz w:val="19"/>
              </w:rPr>
              <w:t>Upside</w:t>
            </w:r>
          </w:p>
        </w:tc>
        <w:tc>
          <w:tcPr>
            <w:tcW w:type="dxa" w:w="4533"/>
            <w:shd w:val="clear" w:color="auto" w:fill="FFFFFF"/>
          </w:tcPr>
          <w:p>
            <w:r>
              <w:rPr>
                <w:sz w:val="19"/>
              </w:rPr>
              <w:t>What if I ignore the very best-case outcomes as unrealistically optimistic?</w:t>
            </w:r>
          </w:p>
        </w:tc>
      </w:tr>
      <w:tr>
        <w:tc>
          <w:tcPr>
            <w:tcW w:type="dxa" w:w="4533"/>
            <w:shd w:val="clear" w:color="auto" w:fill="F5F7FC"/>
          </w:tcPr>
          <w:p>
            <w:r>
              <w:rPr>
                <w:sz w:val="19"/>
              </w:rPr>
              <w:t>Downside</w:t>
            </w:r>
          </w:p>
        </w:tc>
        <w:tc>
          <w:tcPr>
            <w:tcW w:type="dxa" w:w="4533"/>
            <w:shd w:val="clear" w:color="auto" w:fill="F5F7FC"/>
          </w:tcPr>
          <w:p>
            <w:r>
              <w:rPr>
                <w:sz w:val="19"/>
              </w:rPr>
              <w:t>What if I'm more worried about underperforming than excited about outperforming?</w:t>
            </w:r>
          </w:p>
        </w:tc>
      </w:tr>
      <w:tr>
        <w:tc>
          <w:tcPr>
            <w:tcW w:type="dxa" w:w="4533"/>
            <w:shd w:val="clear" w:color="auto" w:fill="FFFFFF"/>
          </w:tcPr>
          <w:p>
            <w:r>
              <w:rPr>
                <w:sz w:val="19"/>
              </w:rPr>
              <w:t>Combined</w:t>
            </w:r>
          </w:p>
        </w:tc>
        <w:tc>
          <w:tcPr>
            <w:tcW w:type="dxa" w:w="4533"/>
            <w:shd w:val="clear" w:color="auto" w:fill="FFFFFF"/>
          </w:tcPr>
          <w:p>
            <w:r>
              <w:rPr>
                <w:sz w:val="19"/>
              </w:rPr>
              <w:t>Both cautious about extremes and worried about underperformance combined</w:t>
            </w:r>
          </w:p>
        </w:tc>
      </w:tr>
      <w:tr>
        <w:tc>
          <w:tcPr>
            <w:tcW w:type="dxa" w:w="4533"/>
            <w:shd w:val="clear" w:color="auto" w:fill="F5F7FC"/>
          </w:tcPr>
          <w:p>
            <w:r>
              <w:rPr>
                <w:sz w:val="19"/>
              </w:rPr>
              <w:t>DMREU</w:t>
            </w:r>
          </w:p>
        </w:tc>
        <w:tc>
          <w:tcPr>
            <w:tcW w:type="dxa" w:w="4533"/>
            <w:shd w:val="clear" w:color="auto" w:fill="F5F7FC"/>
          </w:tcPr>
          <w:p>
            <w:r>
              <w:rPr>
                <w:sz w:val="19"/>
              </w:rPr>
              <w:t>A formal model of modest risk aversion from decision theory</w:t>
            </w:r>
          </w:p>
        </w:tc>
      </w:tr>
      <w:tr>
        <w:tc>
          <w:tcPr>
            <w:tcW w:type="dxa" w:w="4533"/>
            <w:shd w:val="clear" w:color="auto" w:fill="FFFFFF"/>
          </w:tcPr>
          <w:p>
            <w:r>
              <w:rPr>
                <w:sz w:val="19"/>
              </w:rPr>
              <w:t>WLU (low/mod/high)</w:t>
            </w:r>
          </w:p>
        </w:tc>
        <w:tc>
          <w:tcPr>
            <w:tcW w:type="dxa" w:w="4533"/>
            <w:shd w:val="clear" w:color="auto" w:fill="FFFFFF"/>
          </w:tcPr>
          <w:p>
            <w:r>
              <w:rPr>
                <w:sz w:val="19"/>
              </w:rPr>
              <w:t>Progressively stronger views that very large impacts count for less</w:t>
            </w:r>
          </w:p>
        </w:tc>
      </w:tr>
      <w:tr>
        <w:tc>
          <w:tcPr>
            <w:tcW w:type="dxa" w:w="4533"/>
            <w:shd w:val="clear" w:color="auto" w:fill="F5F7FC"/>
          </w:tcPr>
          <w:p>
            <w:r>
              <w:rPr>
                <w:sz w:val="19"/>
              </w:rPr>
              <w:t>Ambiguity</w:t>
            </w:r>
          </w:p>
        </w:tc>
        <w:tc>
          <w:tcPr>
            <w:tcW w:type="dxa" w:w="4533"/>
            <w:shd w:val="clear" w:color="auto" w:fill="F5F7FC"/>
          </w:tcPr>
          <w:p>
            <w:r>
              <w:rPr>
                <w:sz w:val="19"/>
              </w:rPr>
              <w:t>What if deep uncertainty itself is a reason to discount large outcomes?</w:t>
            </w:r>
          </w:p>
        </w:tc>
      </w:tr>
    </w:tbl>
    <w:p/>
    <w:p>
      <w:pPr>
        <w:spacing w:after="100"/>
      </w:pPr>
      <w:r>
        <w:rPr>
          <w:sz w:val="21"/>
        </w:rPr>
        <w:t>For GiveWell, because the cost-effectiveness distribution is relatively well-behaved (no extreme tail outcomes), most risk profiles give similar answers. The 'neutral' mean is a reliable summary for this model.</w:t>
      </w:r>
    </w:p>
    <w:p>
      <w:pPr>
        <w:pStyle w:val="Heading1"/>
      </w:pPr>
      <w:r>
        <w:t>7.  What the output numbers mean</w:t>
      </w:r>
    </w:p>
    <w:p>
      <w:pPr>
        <w:spacing w:after="100"/>
      </w:pPr>
      <w:r>
        <w:rPr>
          <w:sz w:val="21"/>
        </w:rPr>
        <w:t>The final output is a table with one row per benefit type (life-years saved, YLDs averted, income doublings) and columns for each time period × risk profile combination. Each cell contains the estimated amount of that benefit per $1 million donated to GiveWell.</w:t>
      </w:r>
    </w:p>
    <w:p>
      <w:pPr>
        <w:spacing w:after="100"/>
      </w:pPr>
      <w:r>
        <w:rPr>
          <w:sz w:val="21"/>
        </w:rPr>
        <w:t>For example, a typical output might show:</w:t>
      </w:r>
    </w:p>
    <w:p>
      <w:pPr>
        <w:pStyle w:val="ListBullet"/>
        <w:spacing w:after="60"/>
      </w:pPr>
      <w:r>
        <w:rPr>
          <w:b/>
          <w:sz w:val="21"/>
        </w:rPr>
        <w:t xml:space="preserve">Example. </w:t>
      </w:r>
      <w:r>
        <w:rPr>
          <w:sz w:val="21"/>
        </w:rPr>
        <w:t>Life-years saved (0–5 years, neutral): roughly 4–8 life-years per $1M</w:t>
      </w:r>
    </w:p>
    <w:p>
      <w:pPr>
        <w:spacing w:after="100"/>
      </w:pPr>
      <w:r>
        <w:rPr>
          <w:sz w:val="21"/>
        </w:rPr>
        <w:t>This number reflects: the distribution of portfolio cost-effectiveness × the share of value attributable to lives × GiveWell's moral weight for lives × the 60-year life-expectancy assumption × the fraction of lives-saving happening in the first 5 years.</w:t>
      </w:r>
    </w:p>
    <w:p>
      <w:pPr>
        <w:spacing w:before="100" w:after="160"/>
        <w:ind w:left="283" w:right="283"/>
        <w:shd w:val="clear" w:color="auto" w:fill="FFFADC"/>
      </w:pPr>
      <w:r>
        <w:rPr>
          <w:i/>
          <w:color w:val="503C00"/>
          <w:sz w:val="20"/>
        </w:rPr>
        <w:t>Note: GiveWell's outputs are in welfare units based on GiveWell's own moral framework. Comparing these numbers directly to GCR or Animal Welfare outputs requires a separate cross-cause moral weighting step, which is done downstream and not in this model.</w:t>
      </w:r>
    </w:p>
    <w:p>
      <w:pPr>
        <w:pStyle w:val="Heading1"/>
      </w:pPr>
      <w:r>
        <w:t>8.  Key limitations and honest caveats</w:t>
      </w:r>
    </w:p>
    <w:p>
      <w:pPr>
        <w:pStyle w:val="ListBullet"/>
        <w:spacing w:after="60"/>
      </w:pPr>
      <w:r>
        <w:rPr>
          <w:b/>
          <w:sz w:val="21"/>
        </w:rPr>
        <w:t xml:space="preserve">GiveWell's estimates as inputs. </w:t>
      </w:r>
      <w:r>
        <w:rPr>
          <w:sz w:val="21"/>
        </w:rPr>
        <w:t>The model's cost-effectiveness distributions are calibrated to GiveWell's own ratings. If GiveWell's estimates are systematically biased (e.g., too optimistic about long-run income effects), the model will inherit that bias.</w:t>
      </w:r>
    </w:p>
    <w:p>
      <w:pPr>
        <w:pStyle w:val="ListBullet"/>
        <w:spacing w:after="60"/>
      </w:pPr>
      <w:r>
        <w:rPr>
          <w:b/>
          <w:sz w:val="21"/>
        </w:rPr>
        <w:t xml:space="preserve">Independence assumption. </w:t>
      </w:r>
      <w:r>
        <w:rPr>
          <w:sz w:val="21"/>
        </w:rPr>
        <w:t>The model assumes the same cost-effectiveness uncertainty applies equally to all benefit types. In reality, income effects (which depend on long-run compounding) are probably more uncertain than near-term mortality effects. This is a simplification.</w:t>
      </w:r>
    </w:p>
    <w:p>
      <w:pPr>
        <w:pStyle w:val="ListBullet"/>
        <w:spacing w:after="60"/>
      </w:pPr>
      <w:r>
        <w:rPr>
          <w:b/>
          <w:sz w:val="21"/>
        </w:rPr>
        <w:t xml:space="preserve">Portfolio coverage. </w:t>
      </w:r>
      <w:r>
        <w:rPr>
          <w:sz w:val="21"/>
        </w:rPr>
        <w:t>Only 87% of GiveWell's 2025 portfolio is covered (the remaining 13% being research and scoping grants). The model implicitly assumes the unmodelled portion has similar cost-effectiveness to the modelled portion.</w:t>
      </w:r>
    </w:p>
    <w:p>
      <w:pPr>
        <w:pStyle w:val="ListBullet"/>
        <w:spacing w:after="60"/>
      </w:pPr>
      <w:r>
        <w:rPr>
          <w:b/>
          <w:sz w:val="21"/>
        </w:rPr>
        <w:t xml:space="preserve">Long-run income uncertainty. </w:t>
      </w:r>
      <w:r>
        <w:rPr>
          <w:sz w:val="21"/>
        </w:rPr>
        <w:t>Income benefits are projected 100 years into the future. Projections this far ahead are inherently speculative. The long-run income column should be read as an estimate of the direction and rough magnitude, not a precise forecast.</w:t>
      </w:r>
    </w:p>
    <w:p>
      <w:pPr>
        <w:pStyle w:val="Heading1"/>
      </w:pPr>
      <w:r>
        <w:t>9.  Summary of key parameters at a glance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D2DCF0"/>
          </w:tcPr>
          <w:p>
            <w:r>
              <w:rPr>
                <w:b/>
                <w:color w:val="1E3C78"/>
                <w:sz w:val="19"/>
              </w:rPr>
              <w:t>Parameter</w:t>
            </w:r>
          </w:p>
        </w:tc>
        <w:tc>
          <w:tcPr>
            <w:tcW w:type="dxa" w:w="3022"/>
            <w:shd w:val="clear" w:color="auto" w:fill="D2DCF0"/>
          </w:tcPr>
          <w:p>
            <w:r>
              <w:rPr>
                <w:b/>
                <w:color w:val="1E3C78"/>
                <w:sz w:val="19"/>
              </w:rPr>
              <w:t>Value</w:t>
            </w:r>
          </w:p>
        </w:tc>
        <w:tc>
          <w:tcPr>
            <w:tcW w:type="dxa" w:w="3022"/>
            <w:shd w:val="clear" w:color="auto" w:fill="D2DCF0"/>
          </w:tcPr>
          <w:p>
            <w:r>
              <w:rPr>
                <w:b/>
                <w:color w:val="1E3C78"/>
                <w:sz w:val="19"/>
              </w:rPr>
              <w:t>What it means</w:t>
            </w:r>
          </w:p>
        </w:tc>
      </w:tr>
      <w:tr>
        <w:tc>
          <w:tcPr>
            <w:tcW w:type="dxa" w:w="3022"/>
            <w:shd w:val="clear" w:color="auto" w:fill="F5F7FC"/>
          </w:tcPr>
          <w:p>
            <w:r>
              <w:rPr>
                <w:sz w:val="19"/>
              </w:rPr>
              <w:t>Baseline unit value (1× cash)</w:t>
            </w:r>
          </w:p>
        </w:tc>
        <w:tc>
          <w:tcPr>
            <w:tcW w:type="dxa" w:w="3022"/>
            <w:shd w:val="clear" w:color="auto" w:fill="F5F7FC"/>
          </w:tcPr>
          <w:p>
            <w:r>
              <w:rPr>
                <w:sz w:val="19"/>
              </w:rPr>
              <w:t>3,280 units / $1M</w:t>
            </w:r>
          </w:p>
        </w:tc>
        <w:tc>
          <w:tcPr>
            <w:tcW w:type="dxa" w:w="3022"/>
            <w:shd w:val="clear" w:color="auto" w:fill="F5F7FC"/>
          </w:tcPr>
          <w:p>
            <w:r>
              <w:rPr>
                <w:sz w:val="19"/>
              </w:rPr>
              <w:t>Value produced per $1M at GiveDirectly-level effectiveness</w:t>
            </w:r>
          </w:p>
        </w:tc>
      </w:tr>
      <w:tr>
        <w:tc>
          <w:tcPr>
            <w:tcW w:type="dxa" w:w="3022"/>
            <w:shd w:val="clear" w:color="auto" w:fill="FFFFFF"/>
          </w:tcPr>
          <w:p>
            <w:r>
              <w:rPr>
                <w:sz w:val="19"/>
              </w:rPr>
              <w:t>Portfolio cost-effectiveness (mean)</w:t>
            </w:r>
          </w:p>
        </w:tc>
        <w:tc>
          <w:tcPr>
            <w:tcW w:type="dxa" w:w="3022"/>
            <w:shd w:val="clear" w:color="auto" w:fill="FFFFFF"/>
          </w:tcPr>
          <w:p>
            <w:r>
              <w:rPr>
                <w:sz w:val="19"/>
              </w:rPr>
              <w:t>~14× cash</w:t>
            </w:r>
          </w:p>
        </w:tc>
        <w:tc>
          <w:tcPr>
            <w:tcW w:type="dxa" w:w="3022"/>
            <w:shd w:val="clear" w:color="auto" w:fill="FFFFFF"/>
          </w:tcPr>
          <w:p>
            <w:r>
              <w:rPr>
                <w:sz w:val="19"/>
              </w:rPr>
              <w:t>Weighted average across the three tier distributions</w:t>
            </w:r>
          </w:p>
        </w:tc>
      </w:tr>
      <w:tr>
        <w:tc>
          <w:tcPr>
            <w:tcW w:type="dxa" w:w="3022"/>
            <w:shd w:val="clear" w:color="auto" w:fill="F5F7FC"/>
          </w:tcPr>
          <w:p>
            <w:r>
              <w:rPr>
                <w:sz w:val="19"/>
              </w:rPr>
              <w:t>Simulation draws</w:t>
            </w:r>
          </w:p>
        </w:tc>
        <w:tc>
          <w:tcPr>
            <w:tcW w:type="dxa" w:w="3022"/>
            <w:shd w:val="clear" w:color="auto" w:fill="F5F7FC"/>
          </w:tcPr>
          <w:p>
            <w:r>
              <w:rPr>
                <w:sz w:val="19"/>
              </w:rPr>
              <w:t>10,000</w:t>
            </w:r>
          </w:p>
        </w:tc>
        <w:tc>
          <w:tcPr>
            <w:tcW w:type="dxa" w:w="3022"/>
            <w:shd w:val="clear" w:color="auto" w:fill="F5F7FC"/>
          </w:tcPr>
          <w:p>
            <w:r>
              <w:rPr>
                <w:sz w:val="19"/>
              </w:rPr>
              <w:t>Number of random scenarios sampled</w:t>
            </w:r>
          </w:p>
        </w:tc>
      </w:tr>
      <w:tr>
        <w:tc>
          <w:tcPr>
            <w:tcW w:type="dxa" w:w="3022"/>
            <w:shd w:val="clear" w:color="auto" w:fill="FFFFFF"/>
          </w:tcPr>
          <w:p>
            <w:r>
              <w:rPr>
                <w:sz w:val="19"/>
              </w:rPr>
              <w:t>Life-years per life saved</w:t>
            </w:r>
          </w:p>
        </w:tc>
        <w:tc>
          <w:tcPr>
            <w:tcW w:type="dxa" w:w="3022"/>
            <w:shd w:val="clear" w:color="auto" w:fill="FFFFFF"/>
          </w:tcPr>
          <w:p>
            <w:r>
              <w:rPr>
                <w:sz w:val="19"/>
              </w:rPr>
              <w:t>60</w:t>
            </w:r>
          </w:p>
        </w:tc>
        <w:tc>
          <w:tcPr>
            <w:tcW w:type="dxa" w:w="3022"/>
            <w:shd w:val="clear" w:color="auto" w:fill="FFFFFF"/>
          </w:tcPr>
          <w:p>
            <w:r>
              <w:rPr>
                <w:sz w:val="19"/>
              </w:rPr>
              <w:t>Assumed remaining life expectancy of a GW-funded life</w:t>
            </w:r>
          </w:p>
        </w:tc>
      </w:tr>
      <w:tr>
        <w:tc>
          <w:tcPr>
            <w:tcW w:type="dxa" w:w="3022"/>
            <w:shd w:val="clear" w:color="auto" w:fill="F5F7FC"/>
          </w:tcPr>
          <w:p>
            <w:r>
              <w:rPr>
                <w:sz w:val="19"/>
              </w:rPr>
              <w:t>Moral weight — life saved</w:t>
            </w:r>
          </w:p>
        </w:tc>
        <w:tc>
          <w:tcPr>
            <w:tcW w:type="dxa" w:w="3022"/>
            <w:shd w:val="clear" w:color="auto" w:fill="F5F7FC"/>
          </w:tcPr>
          <w:p>
            <w:r>
              <w:rPr>
                <w:sz w:val="19"/>
              </w:rPr>
              <w:t>115.6</w:t>
            </w:r>
          </w:p>
        </w:tc>
        <w:tc>
          <w:tcPr>
            <w:tcW w:type="dxa" w:w="3022"/>
            <w:shd w:val="clear" w:color="auto" w:fill="F5F7FC"/>
          </w:tcPr>
          <w:p>
            <w:r>
              <w:rPr>
                <w:sz w:val="19"/>
              </w:rPr>
              <w:t>GW's valuation: one life = 115.6 units</w:t>
            </w:r>
          </w:p>
        </w:tc>
      </w:tr>
      <w:tr>
        <w:tc>
          <w:tcPr>
            <w:tcW w:type="dxa" w:w="3022"/>
            <w:shd w:val="clear" w:color="auto" w:fill="FFFFFF"/>
          </w:tcPr>
          <w:p>
            <w:r>
              <w:rPr>
                <w:sz w:val="19"/>
              </w:rPr>
              <w:t>Moral weight — YLD averted</w:t>
            </w:r>
          </w:p>
        </w:tc>
        <w:tc>
          <w:tcPr>
            <w:tcW w:type="dxa" w:w="3022"/>
            <w:shd w:val="clear" w:color="auto" w:fill="FFFFFF"/>
          </w:tcPr>
          <w:p>
            <w:r>
              <w:rPr>
                <w:sz w:val="19"/>
              </w:rPr>
              <w:t>2.3</w:t>
            </w:r>
          </w:p>
        </w:tc>
        <w:tc>
          <w:tcPr>
            <w:tcW w:type="dxa" w:w="3022"/>
            <w:shd w:val="clear" w:color="auto" w:fill="FFFFFF"/>
          </w:tcPr>
          <w:p>
            <w:r>
              <w:rPr>
                <w:sz w:val="19"/>
              </w:rPr>
              <w:t>GW's valuation: one YLD averted = 2.3 units</w:t>
            </w:r>
          </w:p>
        </w:tc>
      </w:tr>
      <w:tr>
        <w:tc>
          <w:tcPr>
            <w:tcW w:type="dxa" w:w="3022"/>
            <w:shd w:val="clear" w:color="auto" w:fill="F5F7FC"/>
          </w:tcPr>
          <w:p>
            <w:r>
              <w:rPr>
                <w:sz w:val="19"/>
              </w:rPr>
              <w:t>Portfolio: largest cause area</w:t>
            </w:r>
          </w:p>
        </w:tc>
        <w:tc>
          <w:tcPr>
            <w:tcW w:type="dxa" w:w="3022"/>
            <w:shd w:val="clear" w:color="auto" w:fill="F5F7FC"/>
          </w:tcPr>
          <w:p>
            <w:r>
              <w:rPr>
                <w:sz w:val="19"/>
              </w:rPr>
              <w:t>Malaria (38%)</w:t>
            </w:r>
          </w:p>
        </w:tc>
        <w:tc>
          <w:tcPr>
            <w:tcW w:type="dxa" w:w="3022"/>
            <w:shd w:val="clear" w:color="auto" w:fill="F5F7FC"/>
          </w:tcPr>
          <w:p>
            <w:r>
              <w:rPr>
                <w:sz w:val="19"/>
              </w:rPr>
              <w:t>Malaria prevention &amp; treatment dominates the portfolio</w:t>
            </w:r>
          </w:p>
        </w:tc>
      </w:tr>
      <w:tr>
        <w:tc>
          <w:tcPr>
            <w:tcW w:type="dxa" w:w="3022"/>
            <w:shd w:val="clear" w:color="auto" w:fill="FFFFFF"/>
          </w:tcPr>
          <w:p>
            <w:r>
              <w:rPr>
                <w:sz w:val="19"/>
              </w:rPr>
              <w:t>Largest income-effect cause</w:t>
            </w:r>
          </w:p>
        </w:tc>
        <w:tc>
          <w:tcPr>
            <w:tcW w:type="dxa" w:w="3022"/>
            <w:shd w:val="clear" w:color="auto" w:fill="FFFFFF"/>
          </w:tcPr>
          <w:p>
            <w:r>
              <w:rPr>
                <w:sz w:val="19"/>
              </w:rPr>
              <w:t>Livelihoods (82% income)</w:t>
            </w:r>
          </w:p>
        </w:tc>
        <w:tc>
          <w:tcPr>
            <w:tcW w:type="dxa" w:w="3022"/>
            <w:shd w:val="clear" w:color="auto" w:fill="FFFFFF"/>
          </w:tcPr>
          <w:p>
            <w:r>
              <w:rPr>
                <w:sz w:val="19"/>
              </w:rPr>
              <w:t>Cash-like programs have the highest income share</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