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GCR Parameter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D9D9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  <w:sz w:val="18"/>
              </w:rPr>
              <w:t>Total portfolio shift (pp)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  <w:sz w:val="18"/>
              </w:rPr>
              <w:t>Between-cause shift (pp)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  <w:sz w:val="18"/>
              </w:rPr>
              <w:t>Share between-causes (%)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  <w:sz w:val="18"/>
              </w:rPr>
              <w:t>Largest gain</w:t>
            </w:r>
          </w:p>
        </w:tc>
        <w:tc>
          <w:tcPr>
            <w:tcW w:type="dxa" w:w="1440"/>
            <w:shd w:val="clear" w:color="auto" w:fill="D9D9D9"/>
          </w:tcPr>
          <w:p>
            <w:r>
              <w:rPr>
                <w:b/>
                <w:sz w:val="18"/>
              </w:rPr>
              <w:t>Largest loss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Cause fractions equal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4.1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19%</w:t>
            </w:r>
          </w:p>
        </w:tc>
        <w:tc>
          <w:tcPr>
            <w:tcW w:type="dxa" w:w="1440"/>
            <w:shd w:val="clear" w:color="auto" w:fill="d5a6bd"/>
          </w:tcPr>
          <w:p>
            <w:r>
              <w:rPr>
                <w:b w:val="0"/>
                <w:sz w:val="18"/>
              </w:rPr>
              <w:t>Sentinel Bio (+11pp)</w:t>
            </w:r>
          </w:p>
        </w:tc>
        <w:tc>
          <w:tcPr>
            <w:tcW w:type="dxa" w:w="1440"/>
            <w:shd w:val="clear" w:color="auto" w:fill="d5a6bd"/>
          </w:tcPr>
          <w:p>
            <w:r>
              <w:rPr>
                <w:b w:val="0"/>
                <w:sz w:val="18"/>
              </w:rPr>
              <w:t>Longview AI (-17pp)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Near-pessimistic outcomes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1440"/>
            <w:shd w:val="clear" w:color="auto" w:fill="a4c2f4"/>
          </w:tcPr>
          <w:p>
            <w:r>
              <w:rPr>
                <w:b w:val="0"/>
                <w:sz w:val="18"/>
              </w:rPr>
              <w:t>GiveWell (+6.3pp)</w:t>
            </w:r>
          </w:p>
        </w:tc>
        <w:tc>
          <w:tcPr>
            <w:tcW w:type="dxa" w:w="1440"/>
            <w:shd w:val="clear" w:color="auto" w:fill="d5a6bd"/>
          </w:tcPr>
          <w:p>
            <w:r>
              <w:rPr>
                <w:b w:val="0"/>
                <w:sz w:val="18"/>
              </w:rPr>
              <w:t>Sentinel Bio (-7.3pp)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Background x-risk floor 100x up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9.6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68%</w:t>
            </w:r>
          </w:p>
        </w:tc>
        <w:tc>
          <w:tcPr>
            <w:tcW w:type="dxa" w:w="1440"/>
            <w:shd w:val="clear" w:color="auto" w:fill="d5a6bd"/>
          </w:tcPr>
          <w:p>
            <w:r>
              <w:rPr>
                <w:b w:val="0"/>
                <w:sz w:val="18"/>
              </w:rPr>
              <w:t>Longview AI (+13pp)</w:t>
            </w:r>
          </w:p>
        </w:tc>
        <w:tc>
          <w:tcPr>
            <w:tcW w:type="dxa" w:w="1440"/>
            <w:shd w:val="clear" w:color="auto" w:fill="b6d7a8"/>
          </w:tcPr>
          <w:p>
            <w:r>
              <w:rPr>
                <w:b w:val="0"/>
                <w:sz w:val="18"/>
              </w:rPr>
              <w:t>TNF - General (-4.7pp)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Relative risk reduction 10x up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1440"/>
            <w:shd w:val="clear" w:color="auto" w:fill="d5a6bd"/>
          </w:tcPr>
          <w:p>
            <w:r>
              <w:rPr>
                <w:b w:val="0"/>
                <w:sz w:val="18"/>
              </w:rPr>
              <w:t>Sentinel Bio (+5.1pp)</w:t>
            </w:r>
          </w:p>
        </w:tc>
        <w:tc>
          <w:tcPr>
            <w:tcW w:type="dxa" w:w="1440"/>
            <w:shd w:val="clear" w:color="auto" w:fill="a4c2f4"/>
          </w:tcPr>
          <w:p>
            <w:r>
              <w:rPr>
                <w:b w:val="0"/>
                <w:sz w:val="18"/>
              </w:rPr>
              <w:t>GiveWell (-4.9pp)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Relative risk reduction 100x down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9.6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8.5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88%</w:t>
            </w:r>
          </w:p>
        </w:tc>
        <w:tc>
          <w:tcPr>
            <w:tcW w:type="dxa" w:w="1440"/>
            <w:shd w:val="clear" w:color="auto" w:fill="a4c2f4"/>
          </w:tcPr>
          <w:p>
            <w:r>
              <w:rPr>
                <w:b w:val="0"/>
                <w:sz w:val="18"/>
              </w:rPr>
              <w:t>GiveWell (+6.5pp)</w:t>
            </w:r>
          </w:p>
        </w:tc>
        <w:tc>
          <w:tcPr>
            <w:tcW w:type="dxa" w:w="1440"/>
            <w:shd w:val="clear" w:color="auto" w:fill="d5a6bd"/>
          </w:tcPr>
          <w:p>
            <w:r>
              <w:rPr>
                <w:b w:val="0"/>
                <w:sz w:val="18"/>
              </w:rPr>
              <w:t>Longview AI (-7.0pp)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Bio/nuclear fractions 5x higher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7.8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39%</w:t>
            </w:r>
          </w:p>
        </w:tc>
        <w:tc>
          <w:tcPr>
            <w:tcW w:type="dxa" w:w="1440"/>
            <w:shd w:val="clear" w:color="auto" w:fill="d5a6bd"/>
          </w:tcPr>
          <w:p>
            <w:r>
              <w:rPr>
                <w:b w:val="0"/>
                <w:sz w:val="18"/>
              </w:rPr>
              <w:t>Sentinel Bio (+5.0pp)</w:t>
            </w:r>
          </w:p>
        </w:tc>
        <w:tc>
          <w:tcPr>
            <w:tcW w:type="dxa" w:w="1440"/>
            <w:shd w:val="clear" w:color="auto" w:fill="d5a6bd"/>
          </w:tcPr>
          <w:p>
            <w:r>
              <w:rPr>
                <w:b w:val="0"/>
                <w:sz w:val="18"/>
              </w:rPr>
              <w:t>Longview AI (-4.8pp)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Relative risk reduction 10x down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7.4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7.4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1440"/>
            <w:shd w:val="clear" w:color="auto" w:fill="a4c2f4"/>
          </w:tcPr>
          <w:p>
            <w:r>
              <w:rPr>
                <w:b w:val="0"/>
                <w:sz w:val="18"/>
              </w:rPr>
              <w:t>GiveWell (+4.1pp)</w:t>
            </w:r>
          </w:p>
        </w:tc>
        <w:tc>
          <w:tcPr>
            <w:tcW w:type="dxa" w:w="1440"/>
            <w:shd w:val="clear" w:color="auto" w:fill="d5a6bd"/>
          </w:tcPr>
          <w:p>
            <w:r>
              <w:rPr>
                <w:b w:val="0"/>
                <w:sz w:val="18"/>
              </w:rPr>
              <w:t>Longview AI (-7.0pp)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8"/>
              </w:rPr>
              <w:t>No stellar expansion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6.0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5.9</w:t>
            </w:r>
          </w:p>
        </w:tc>
        <w:tc>
          <w:tcPr>
            <w:tcW w:type="dxa" w:w="1440"/>
          </w:tcPr>
          <w:p>
            <w:r>
              <w:rPr>
                <w:b w:val="0"/>
                <w:sz w:val="18"/>
              </w:rPr>
              <w:t>98%</w:t>
            </w:r>
          </w:p>
        </w:tc>
        <w:tc>
          <w:tcPr>
            <w:tcW w:type="dxa" w:w="1440"/>
            <w:shd w:val="clear" w:color="auto" w:fill="b6d7a8"/>
          </w:tcPr>
          <w:p>
            <w:r>
              <w:rPr>
                <w:b w:val="0"/>
                <w:sz w:val="18"/>
              </w:rPr>
              <w:t>EA AWF (+2.8pp)</w:t>
            </w:r>
          </w:p>
        </w:tc>
        <w:tc>
          <w:tcPr>
            <w:tcW w:type="dxa" w:w="1440"/>
            <w:shd w:val="clear" w:color="auto" w:fill="d5a6bd"/>
          </w:tcPr>
          <w:p>
            <w:r>
              <w:rPr>
                <w:b w:val="0"/>
                <w:sz w:val="18"/>
              </w:rPr>
              <w:t>Sentinel Bio (-3.9pp)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