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DFD" w:rsidRPr="003569C0" w:rsidRDefault="00E51DFD">
      <w:pPr>
        <w:pStyle w:val="DocumentProject"/>
        <w:framePr w:hSpace="0" w:wrap="auto" w:vAnchor="margin" w:yAlign="inline"/>
        <w:ind w:left="360"/>
        <w:rPr>
          <w:b w:val="0"/>
        </w:rPr>
      </w:pPr>
      <w:r w:rsidRPr="003569C0">
        <w:rPr>
          <w:b w:val="0"/>
        </w:rPr>
        <w:t>Methodology</w:t>
      </w:r>
    </w:p>
    <w:p w:rsidR="00E51DFD" w:rsidRPr="003569C0" w:rsidRDefault="003569C0">
      <w:pPr>
        <w:pStyle w:val="DocumentProject"/>
        <w:framePr w:hSpace="0" w:wrap="auto" w:vAnchor="margin" w:yAlign="inline"/>
        <w:ind w:left="360"/>
      </w:pPr>
      <w:r w:rsidRPr="003569C0">
        <w:t>Impact of the Recession</w:t>
      </w:r>
    </w:p>
    <w:p w:rsidR="00E51DFD" w:rsidRPr="003569C0" w:rsidRDefault="00E51DFD">
      <w:pPr>
        <w:pStyle w:val="DocumentClient"/>
        <w:framePr w:hSpace="0" w:wrap="auto" w:vAnchor="margin" w:yAlign="inline"/>
        <w:ind w:left="360"/>
      </w:pPr>
      <w:r w:rsidRPr="003569C0">
        <w:t>Prepared by Princeton Survey Research Associates International</w:t>
      </w:r>
      <w:r w:rsidRPr="003569C0">
        <w:br/>
        <w:t xml:space="preserve">for </w:t>
      </w:r>
      <w:r w:rsidR="00F16150" w:rsidRPr="003569C0">
        <w:t xml:space="preserve">the Pew </w:t>
      </w:r>
      <w:r w:rsidR="003569C0" w:rsidRPr="003569C0">
        <w:t>Social Trends &amp; Demographics Project</w:t>
      </w:r>
    </w:p>
    <w:p w:rsidR="00E51DFD" w:rsidRPr="003569C0" w:rsidRDefault="00BB6524">
      <w:pPr>
        <w:pStyle w:val="DocumentDate"/>
        <w:framePr w:hSpace="0" w:wrap="auto" w:vAnchor="margin" w:yAlign="inline"/>
        <w:spacing w:after="480"/>
        <w:ind w:left="360"/>
      </w:pPr>
      <w:r>
        <w:t>May</w:t>
      </w:r>
      <w:r w:rsidR="003569C0" w:rsidRPr="003569C0">
        <w:t xml:space="preserve"> 2010</w:t>
      </w:r>
    </w:p>
    <w:p w:rsidR="00E51DFD" w:rsidRPr="003569C0" w:rsidRDefault="00E51DFD">
      <w:pPr>
        <w:pStyle w:val="BodyofReport"/>
        <w:ind w:firstLine="0"/>
        <w:rPr>
          <w:b/>
          <w:bCs/>
        </w:rPr>
      </w:pPr>
      <w:r w:rsidRPr="003569C0">
        <w:rPr>
          <w:b/>
          <w:bCs/>
        </w:rPr>
        <w:t>SUMMARY</w:t>
      </w:r>
    </w:p>
    <w:p w:rsidR="00E51DFD" w:rsidRPr="003569C0" w:rsidRDefault="00E51DFD">
      <w:pPr>
        <w:pStyle w:val="BodyofReport"/>
        <w:ind w:firstLine="0"/>
      </w:pPr>
    </w:p>
    <w:p w:rsidR="00E51DFD" w:rsidRPr="003569C0" w:rsidRDefault="00E51DFD">
      <w:pPr>
        <w:pStyle w:val="BodyofReport"/>
      </w:pPr>
      <w:r w:rsidRPr="003569C0">
        <w:t xml:space="preserve">The </w:t>
      </w:r>
      <w:r w:rsidR="003569C0" w:rsidRPr="003569C0">
        <w:t>Impact of the Recession</w:t>
      </w:r>
      <w:r w:rsidR="00411CA2" w:rsidRPr="003569C0">
        <w:t xml:space="preserve"> </w:t>
      </w:r>
      <w:r w:rsidRPr="003569C0">
        <w:t xml:space="preserve">Survey, sponsored by </w:t>
      </w:r>
      <w:r w:rsidR="00411CA2" w:rsidRPr="003569C0">
        <w:t xml:space="preserve">the </w:t>
      </w:r>
      <w:r w:rsidR="00F16150" w:rsidRPr="003569C0">
        <w:t xml:space="preserve">Pew </w:t>
      </w:r>
      <w:r w:rsidR="003569C0" w:rsidRPr="003569C0">
        <w:t>Social &amp; Demographic Trends Project</w:t>
      </w:r>
      <w:r w:rsidRPr="003569C0">
        <w:t xml:space="preserve">, obtained telephone interviews with a nationally representative sample of </w:t>
      </w:r>
      <w:r w:rsidR="00F16150" w:rsidRPr="003569C0">
        <w:t>2,</w:t>
      </w:r>
      <w:r w:rsidR="003569C0" w:rsidRPr="003569C0">
        <w:t>967</w:t>
      </w:r>
      <w:r w:rsidRPr="003569C0">
        <w:t xml:space="preserve"> adults living in</w:t>
      </w:r>
      <w:r w:rsidR="00BF6DE2" w:rsidRPr="003569C0">
        <w:t xml:space="preserve"> the</w:t>
      </w:r>
      <w:r w:rsidRPr="003569C0">
        <w:t xml:space="preserve"> continental United States. </w:t>
      </w:r>
      <w:r w:rsidR="00D44672" w:rsidRPr="003569C0">
        <w:t xml:space="preserve">The survey was conducted by Princeton Survey Research </w:t>
      </w:r>
      <w:r w:rsidR="00074B6E">
        <w:t xml:space="preserve">Associates </w:t>
      </w:r>
      <w:r w:rsidR="00D44672" w:rsidRPr="003569C0">
        <w:t xml:space="preserve">International. Interviews </w:t>
      </w:r>
      <w:r w:rsidRPr="003569C0">
        <w:t xml:space="preserve">were </w:t>
      </w:r>
      <w:r w:rsidR="00EE1BB7" w:rsidRPr="003569C0">
        <w:t>done</w:t>
      </w:r>
      <w:r w:rsidRPr="003569C0">
        <w:t xml:space="preserve"> in English and Spanish by </w:t>
      </w:r>
      <w:r w:rsidR="00BF6DE2" w:rsidRPr="003569C0">
        <w:t>Princeton Data Source</w:t>
      </w:r>
      <w:r w:rsidRPr="003569C0">
        <w:t xml:space="preserve"> from </w:t>
      </w:r>
      <w:r w:rsidR="003569C0" w:rsidRPr="003569C0">
        <w:t>May 11-31, 2010</w:t>
      </w:r>
      <w:r w:rsidRPr="003569C0">
        <w:t>. Statistical results are weighted to correct known demographic discrepancies. The margin of sampling error for the complete set of weighted data is ±</w:t>
      </w:r>
      <w:r w:rsidR="00F86811">
        <w:t>2.2</w:t>
      </w:r>
      <w:r w:rsidR="00F16150" w:rsidRPr="003569C0">
        <w:t xml:space="preserve"> percentage points</w:t>
      </w:r>
      <w:r w:rsidRPr="003569C0">
        <w:t>.</w:t>
      </w:r>
    </w:p>
    <w:p w:rsidR="00E51DFD" w:rsidRPr="003569C0" w:rsidRDefault="00E51DFD">
      <w:pPr>
        <w:pStyle w:val="BodyofReport"/>
      </w:pPr>
      <w:r w:rsidRPr="003569C0">
        <w:t>Details on the design, execution and analysis of the survey are discussed below.</w:t>
      </w:r>
    </w:p>
    <w:p w:rsidR="00E51DFD" w:rsidRPr="003569C0" w:rsidRDefault="00E51DFD">
      <w:pPr>
        <w:pStyle w:val="BodyofReport"/>
        <w:ind w:firstLine="0"/>
        <w:rPr>
          <w:highlight w:val="yellow"/>
        </w:rPr>
      </w:pPr>
    </w:p>
    <w:p w:rsidR="00E51DFD" w:rsidRPr="00B75BEE" w:rsidRDefault="00E51DFD">
      <w:pPr>
        <w:pStyle w:val="Heading1"/>
        <w:rPr>
          <w:rFonts w:ascii="Times New Roman" w:hAnsi="Times New Roman"/>
          <w:caps/>
          <w:sz w:val="24"/>
        </w:rPr>
      </w:pPr>
      <w:r w:rsidRPr="00B75BEE">
        <w:rPr>
          <w:rFonts w:ascii="Times New Roman" w:hAnsi="Times New Roman"/>
          <w:caps/>
          <w:sz w:val="24"/>
        </w:rPr>
        <w:t>Design AND Data Collection Procedures</w:t>
      </w:r>
    </w:p>
    <w:p w:rsidR="00E51DFD" w:rsidRPr="00B75BEE" w:rsidRDefault="00E51DFD"/>
    <w:p w:rsidR="00E51DFD" w:rsidRPr="00B75BEE" w:rsidRDefault="00E51DFD">
      <w:pPr>
        <w:pStyle w:val="Heading4"/>
      </w:pPr>
      <w:r w:rsidRPr="00B75BEE">
        <w:t>Sample Design</w:t>
      </w:r>
    </w:p>
    <w:p w:rsidR="00E51DFD" w:rsidRPr="00B75BEE" w:rsidRDefault="00E51DFD">
      <w:pPr>
        <w:rPr>
          <w:b/>
          <w:bCs/>
        </w:rPr>
      </w:pPr>
    </w:p>
    <w:p w:rsidR="00BF6DE2" w:rsidRPr="00B75BEE" w:rsidRDefault="003569C0">
      <w:pPr>
        <w:pStyle w:val="BodyofReport"/>
      </w:pPr>
      <w:r w:rsidRPr="00B75BEE">
        <w:t>Seven separate sample segments</w:t>
      </w:r>
      <w:r w:rsidR="00BF6DE2" w:rsidRPr="00B75BEE">
        <w:t xml:space="preserve"> were used for data </w:t>
      </w:r>
      <w:r w:rsidR="00F86811" w:rsidRPr="00B75BEE">
        <w:t>collection</w:t>
      </w:r>
      <w:r w:rsidR="00E0341A" w:rsidRPr="00B75BEE">
        <w:t xml:space="preserve"> in order to obtain a</w:t>
      </w:r>
      <w:r w:rsidR="00BF6DE2" w:rsidRPr="00B75BEE">
        <w:t xml:space="preserve"> representative sample </w:t>
      </w:r>
      <w:r w:rsidR="00E0341A" w:rsidRPr="00B75BEE">
        <w:t>that</w:t>
      </w:r>
      <w:r w:rsidR="00BF6DE2" w:rsidRPr="00B75BEE">
        <w:t xml:space="preserve"> also oversample</w:t>
      </w:r>
      <w:r w:rsidR="00E0341A" w:rsidRPr="00B75BEE">
        <w:t>d</w:t>
      </w:r>
      <w:r w:rsidR="00BF6DE2" w:rsidRPr="00B75BEE">
        <w:t xml:space="preserve"> </w:t>
      </w:r>
      <w:r w:rsidRPr="00B75BEE">
        <w:t xml:space="preserve">two key demographic groups </w:t>
      </w:r>
      <w:r w:rsidR="006363F2" w:rsidRPr="00B75BEE">
        <w:t>–</w:t>
      </w:r>
      <w:r w:rsidRPr="00B75BEE">
        <w:t xml:space="preserve"> </w:t>
      </w:r>
      <w:r w:rsidR="006363F2" w:rsidRPr="00B75BEE">
        <w:t xml:space="preserve">those </w:t>
      </w:r>
      <w:r w:rsidR="001B3572" w:rsidRPr="00B75BEE">
        <w:t>who are unemployed but are able to work and those who are working part-time for economic reasons.</w:t>
      </w:r>
    </w:p>
    <w:p w:rsidR="00306FAD" w:rsidRDefault="00B75BEE">
      <w:pPr>
        <w:pStyle w:val="BodyofReport"/>
      </w:pPr>
      <w:r w:rsidRPr="00B75BEE">
        <w:t xml:space="preserve">The unemployed but able to work group (UEA) </w:t>
      </w:r>
      <w:r w:rsidR="00074B6E">
        <w:t>is</w:t>
      </w:r>
      <w:r w:rsidRPr="00B75BEE">
        <w:t xml:space="preserve"> defined as those who are NOT currently employed full- or part-time BUT would like a job and could start one now if it were offered to them. The working part-time for economic reasons group (PTE) </w:t>
      </w:r>
      <w:r w:rsidR="00074B6E">
        <w:t>is</w:t>
      </w:r>
      <w:r w:rsidRPr="00B75BEE">
        <w:t xml:space="preserve"> defined as people who are currently working part-time but are doing so only because their hours were cut back or they could not find full-time work and have to settle for part-time.</w:t>
      </w:r>
      <w:r w:rsidR="00306FAD">
        <w:t xml:space="preserve"> Table 1 shows the sample segment definitions along with the number of interviews in each.</w:t>
      </w:r>
    </w:p>
    <w:p w:rsidR="00B75BEE" w:rsidRDefault="00306FAD">
      <w:pPr>
        <w:pStyle w:val="BodyofReport"/>
      </w:pPr>
      <w:r>
        <w:br w:type="page"/>
      </w:r>
    </w:p>
    <w:p w:rsidR="00B75BEE" w:rsidRDefault="00B75BEE">
      <w:pPr>
        <w:pStyle w:val="BodyofReport"/>
      </w:pPr>
    </w:p>
    <w:tbl>
      <w:tblPr>
        <w:tblW w:w="5780" w:type="dxa"/>
        <w:jc w:val="center"/>
        <w:tblLook w:val="04A0"/>
      </w:tblPr>
      <w:tblGrid>
        <w:gridCol w:w="1005"/>
        <w:gridCol w:w="2893"/>
        <w:gridCol w:w="1393"/>
        <w:gridCol w:w="717"/>
      </w:tblGrid>
      <w:tr w:rsidR="00B75BEE" w:rsidRPr="00B75BEE" w:rsidTr="00B71150">
        <w:trPr>
          <w:trHeight w:val="300"/>
          <w:jc w:val="center"/>
        </w:trPr>
        <w:tc>
          <w:tcPr>
            <w:tcW w:w="5780" w:type="dxa"/>
            <w:gridSpan w:val="4"/>
            <w:tcBorders>
              <w:top w:val="nil"/>
              <w:left w:val="nil"/>
              <w:bottom w:val="single" w:sz="4" w:space="0" w:color="auto"/>
              <w:right w:val="nil"/>
            </w:tcBorders>
            <w:shd w:val="clear" w:color="auto" w:fill="auto"/>
            <w:noWrap/>
            <w:vAlign w:val="bottom"/>
            <w:hideMark/>
          </w:tcPr>
          <w:p w:rsidR="00B75BEE" w:rsidRPr="00B75BEE" w:rsidRDefault="00B75BEE" w:rsidP="00B75BEE">
            <w:pPr>
              <w:widowControl/>
              <w:rPr>
                <w:rFonts w:ascii="Calibri" w:hAnsi="Calibri"/>
                <w:b/>
                <w:bCs/>
                <w:snapToGrid/>
                <w:color w:val="000000"/>
                <w:sz w:val="22"/>
                <w:szCs w:val="22"/>
              </w:rPr>
            </w:pPr>
            <w:r w:rsidRPr="00B75BEE">
              <w:rPr>
                <w:rFonts w:ascii="Calibri" w:hAnsi="Calibri"/>
                <w:b/>
                <w:bCs/>
                <w:snapToGrid/>
                <w:color w:val="000000"/>
                <w:sz w:val="22"/>
                <w:szCs w:val="22"/>
              </w:rPr>
              <w:t>Table 1: Sample Design Segments</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u w:val="single"/>
              </w:rPr>
            </w:pPr>
            <w:r w:rsidRPr="00B75BEE">
              <w:rPr>
                <w:rFonts w:ascii="Calibri" w:hAnsi="Calibri"/>
                <w:snapToGrid/>
                <w:color w:val="000000"/>
                <w:sz w:val="22"/>
                <w:szCs w:val="22"/>
                <w:u w:val="single"/>
              </w:rPr>
              <w:t>Se</w:t>
            </w:r>
            <w:r w:rsidR="00B71150">
              <w:rPr>
                <w:rFonts w:ascii="Calibri" w:hAnsi="Calibri"/>
                <w:snapToGrid/>
                <w:color w:val="000000"/>
                <w:sz w:val="22"/>
                <w:szCs w:val="22"/>
                <w:u w:val="single"/>
              </w:rPr>
              <w:t>g</w:t>
            </w:r>
            <w:r w:rsidRPr="00B75BEE">
              <w:rPr>
                <w:rFonts w:ascii="Calibri" w:hAnsi="Calibri"/>
                <w:snapToGrid/>
                <w:color w:val="000000"/>
                <w:sz w:val="22"/>
                <w:szCs w:val="22"/>
                <w:u w:val="single"/>
              </w:rPr>
              <w:t>ment</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u w:val="single"/>
              </w:rPr>
            </w:pPr>
            <w:r w:rsidRPr="00B75BEE">
              <w:rPr>
                <w:rFonts w:ascii="Calibri" w:hAnsi="Calibri"/>
                <w:snapToGrid/>
                <w:color w:val="000000"/>
                <w:sz w:val="22"/>
                <w:szCs w:val="22"/>
                <w:u w:val="single"/>
              </w:rPr>
              <w:t>Sample Type</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u w:val="single"/>
              </w:rPr>
            </w:pPr>
            <w:r w:rsidRPr="00B75BEE">
              <w:rPr>
                <w:rFonts w:ascii="Calibri" w:hAnsi="Calibri"/>
                <w:snapToGrid/>
                <w:color w:val="000000"/>
                <w:sz w:val="22"/>
                <w:szCs w:val="22"/>
                <w:u w:val="single"/>
              </w:rPr>
              <w:t>Population</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u w:val="single"/>
              </w:rPr>
            </w:pPr>
            <w:r w:rsidRPr="00B75BEE">
              <w:rPr>
                <w:rFonts w:ascii="Calibri" w:hAnsi="Calibri"/>
                <w:snapToGrid/>
                <w:color w:val="000000"/>
                <w:sz w:val="22"/>
                <w:szCs w:val="22"/>
                <w:u w:val="single"/>
              </w:rPr>
              <w:t>n=</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1</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Landline RDD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All adults</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1,001</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2</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Landline RDD screened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Adults 18-64</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600</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3</w:t>
            </w:r>
          </w:p>
        </w:tc>
        <w:tc>
          <w:tcPr>
            <w:tcW w:w="2893" w:type="dxa"/>
            <w:tcBorders>
              <w:top w:val="nil"/>
              <w:left w:val="nil"/>
              <w:bottom w:val="nil"/>
              <w:right w:val="nil"/>
            </w:tcBorders>
            <w:shd w:val="clear" w:color="auto" w:fill="auto"/>
            <w:noWrap/>
            <w:vAlign w:val="bottom"/>
            <w:hideMark/>
          </w:tcPr>
          <w:p w:rsidR="00B75BEE" w:rsidRPr="00B75BEE" w:rsidRDefault="00B75BEE" w:rsidP="00B71150">
            <w:pPr>
              <w:widowControl/>
              <w:rPr>
                <w:rFonts w:ascii="Calibri" w:hAnsi="Calibri"/>
                <w:snapToGrid/>
                <w:color w:val="000000"/>
                <w:sz w:val="22"/>
                <w:szCs w:val="22"/>
              </w:rPr>
            </w:pPr>
            <w:r w:rsidRPr="00B75BEE">
              <w:rPr>
                <w:rFonts w:ascii="Calibri" w:hAnsi="Calibri"/>
                <w:snapToGrid/>
                <w:color w:val="000000"/>
                <w:sz w:val="22"/>
                <w:szCs w:val="22"/>
              </w:rPr>
              <w:t>Land</w:t>
            </w:r>
            <w:r w:rsidR="00B71150">
              <w:rPr>
                <w:rFonts w:ascii="Calibri" w:hAnsi="Calibri"/>
                <w:snapToGrid/>
                <w:color w:val="000000"/>
                <w:sz w:val="22"/>
                <w:szCs w:val="22"/>
              </w:rPr>
              <w:t>l</w:t>
            </w:r>
            <w:r w:rsidRPr="00B75BEE">
              <w:rPr>
                <w:rFonts w:ascii="Calibri" w:hAnsi="Calibri"/>
                <w:snapToGrid/>
                <w:color w:val="000000"/>
                <w:sz w:val="22"/>
                <w:szCs w:val="22"/>
              </w:rPr>
              <w:t>ine RDD screened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UEA or PTE</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96</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4</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Landline callback screened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UEA or PTE</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196</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5</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Cell RDD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All adults</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805</w:t>
            </w:r>
          </w:p>
        </w:tc>
      </w:tr>
      <w:tr w:rsidR="00B75BEE" w:rsidRPr="00B75BEE" w:rsidTr="00B71150">
        <w:trPr>
          <w:trHeight w:val="300"/>
          <w:jc w:val="center"/>
        </w:trPr>
        <w:tc>
          <w:tcPr>
            <w:tcW w:w="858"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6</w:t>
            </w:r>
          </w:p>
        </w:tc>
        <w:tc>
          <w:tcPr>
            <w:tcW w:w="28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Cell RDD screened</w:t>
            </w:r>
          </w:p>
        </w:tc>
        <w:tc>
          <w:tcPr>
            <w:tcW w:w="1393" w:type="dxa"/>
            <w:tcBorders>
              <w:top w:val="nil"/>
              <w:left w:val="nil"/>
              <w:bottom w:val="nil"/>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UEA or PTE</w:t>
            </w:r>
          </w:p>
        </w:tc>
        <w:tc>
          <w:tcPr>
            <w:tcW w:w="636" w:type="dxa"/>
            <w:tcBorders>
              <w:top w:val="nil"/>
              <w:left w:val="nil"/>
              <w:bottom w:val="nil"/>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119</w:t>
            </w:r>
          </w:p>
        </w:tc>
      </w:tr>
      <w:tr w:rsidR="00B75BEE" w:rsidRPr="00B75BEE" w:rsidTr="00B71150">
        <w:trPr>
          <w:trHeight w:val="300"/>
          <w:jc w:val="center"/>
        </w:trPr>
        <w:tc>
          <w:tcPr>
            <w:tcW w:w="858" w:type="dxa"/>
            <w:tcBorders>
              <w:top w:val="nil"/>
              <w:left w:val="nil"/>
              <w:bottom w:val="single" w:sz="4" w:space="0" w:color="auto"/>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7</w:t>
            </w:r>
          </w:p>
        </w:tc>
        <w:tc>
          <w:tcPr>
            <w:tcW w:w="2893" w:type="dxa"/>
            <w:tcBorders>
              <w:top w:val="nil"/>
              <w:left w:val="nil"/>
              <w:bottom w:val="single" w:sz="4" w:space="0" w:color="auto"/>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Cell callback screened</w:t>
            </w:r>
          </w:p>
        </w:tc>
        <w:tc>
          <w:tcPr>
            <w:tcW w:w="1393" w:type="dxa"/>
            <w:tcBorders>
              <w:top w:val="nil"/>
              <w:left w:val="nil"/>
              <w:bottom w:val="single" w:sz="4" w:space="0" w:color="auto"/>
              <w:right w:val="nil"/>
            </w:tcBorders>
            <w:shd w:val="clear" w:color="auto" w:fill="auto"/>
            <w:noWrap/>
            <w:vAlign w:val="bottom"/>
            <w:hideMark/>
          </w:tcPr>
          <w:p w:rsidR="00B75BEE" w:rsidRPr="00B75BEE" w:rsidRDefault="00B75BEE" w:rsidP="00B75BEE">
            <w:pPr>
              <w:widowControl/>
              <w:rPr>
                <w:rFonts w:ascii="Calibri" w:hAnsi="Calibri"/>
                <w:snapToGrid/>
                <w:color w:val="000000"/>
                <w:sz w:val="22"/>
                <w:szCs w:val="22"/>
              </w:rPr>
            </w:pPr>
            <w:r w:rsidRPr="00B75BEE">
              <w:rPr>
                <w:rFonts w:ascii="Calibri" w:hAnsi="Calibri"/>
                <w:snapToGrid/>
                <w:color w:val="000000"/>
                <w:sz w:val="22"/>
                <w:szCs w:val="22"/>
              </w:rPr>
              <w:t>UEA or PTE</w:t>
            </w:r>
          </w:p>
        </w:tc>
        <w:tc>
          <w:tcPr>
            <w:tcW w:w="636" w:type="dxa"/>
            <w:tcBorders>
              <w:top w:val="nil"/>
              <w:left w:val="nil"/>
              <w:bottom w:val="single" w:sz="4" w:space="0" w:color="auto"/>
              <w:right w:val="nil"/>
            </w:tcBorders>
            <w:shd w:val="clear" w:color="auto" w:fill="auto"/>
            <w:noWrap/>
            <w:vAlign w:val="bottom"/>
            <w:hideMark/>
          </w:tcPr>
          <w:p w:rsidR="00B75BEE" w:rsidRPr="00B75BEE" w:rsidRDefault="00B75BEE" w:rsidP="00B75BEE">
            <w:pPr>
              <w:widowControl/>
              <w:jc w:val="center"/>
              <w:rPr>
                <w:rFonts w:ascii="Calibri" w:hAnsi="Calibri"/>
                <w:snapToGrid/>
                <w:color w:val="000000"/>
                <w:sz w:val="22"/>
                <w:szCs w:val="22"/>
              </w:rPr>
            </w:pPr>
            <w:r w:rsidRPr="00B75BEE">
              <w:rPr>
                <w:rFonts w:ascii="Calibri" w:hAnsi="Calibri"/>
                <w:snapToGrid/>
                <w:color w:val="000000"/>
                <w:sz w:val="22"/>
                <w:szCs w:val="22"/>
              </w:rPr>
              <w:t>150</w:t>
            </w:r>
          </w:p>
        </w:tc>
      </w:tr>
    </w:tbl>
    <w:p w:rsidR="00B75BEE" w:rsidRDefault="00B75BEE">
      <w:pPr>
        <w:pStyle w:val="BodyofReport"/>
      </w:pPr>
    </w:p>
    <w:p w:rsidR="00B75BEE" w:rsidRPr="00B75BEE" w:rsidRDefault="00B75BEE">
      <w:pPr>
        <w:pStyle w:val="BodyofReport"/>
      </w:pPr>
    </w:p>
    <w:p w:rsidR="007B67F8" w:rsidRPr="003569C0" w:rsidRDefault="007B67F8" w:rsidP="007B67F8">
      <w:pPr>
        <w:pStyle w:val="BodyofReport"/>
      </w:pPr>
      <w:r>
        <w:t>Sample segments 1-3 were all landlin</w:t>
      </w:r>
      <w:r w:rsidRPr="007B67F8">
        <w:t xml:space="preserve">e </w:t>
      </w:r>
      <w:r w:rsidR="00074B6E">
        <w:t>random-digit dialing (</w:t>
      </w:r>
      <w:r w:rsidRPr="007B67F8">
        <w:t>RDD</w:t>
      </w:r>
      <w:r w:rsidR="00074B6E">
        <w:t>)</w:t>
      </w:r>
      <w:r w:rsidRPr="007B67F8">
        <w:t xml:space="preserve"> samples drawn using standard</w:t>
      </w:r>
      <w:r w:rsidR="00E51DFD" w:rsidRPr="007B67F8">
        <w:t xml:space="preserve"> </w:t>
      </w:r>
      <w:r w:rsidR="000C4E36" w:rsidRPr="007B67F8">
        <w:t xml:space="preserve">list-assisted </w:t>
      </w:r>
      <w:r w:rsidR="00E51DFD" w:rsidRPr="007B67F8">
        <w:t>me</w:t>
      </w:r>
      <w:r w:rsidR="00E0341A" w:rsidRPr="007B67F8">
        <w:t>thods, where telephone numbers we</w:t>
      </w:r>
      <w:r w:rsidR="00E51DFD" w:rsidRPr="007B67F8">
        <w:t xml:space="preserve">re </w:t>
      </w:r>
      <w:r w:rsidR="00F86811">
        <w:t xml:space="preserve">drawn </w:t>
      </w:r>
      <w:r w:rsidRPr="007B67F8">
        <w:t>with equal probabilities from all act</w:t>
      </w:r>
      <w:r w:rsidR="00074B6E">
        <w:t>ive blocks in the continental U</w:t>
      </w:r>
      <w:r w:rsidRPr="007B67F8">
        <w:t xml:space="preserve">S. </w:t>
      </w:r>
      <w:r w:rsidR="0087339B">
        <w:t>Cell s</w:t>
      </w:r>
      <w:r>
        <w:t xml:space="preserve">ample segments 5 and 6 </w:t>
      </w:r>
      <w:r w:rsidR="0087339B">
        <w:t>were</w:t>
      </w:r>
      <w:r w:rsidR="00074B6E">
        <w:t xml:space="preserve"> not list-assisted, but were </w:t>
      </w:r>
      <w:r w:rsidRPr="00740FB6">
        <w:t>drawn through a systematic sampling from dedicated wireless 100-blocks and shared service 100-blocks with no directory-listed landline numbers.</w:t>
      </w:r>
      <w:r w:rsidR="0087339B">
        <w:t xml:space="preserve"> The landline and cell callback samples </w:t>
      </w:r>
      <w:r w:rsidR="00F86811">
        <w:t xml:space="preserve">(segments 4 and 7) </w:t>
      </w:r>
      <w:r w:rsidR="0087339B">
        <w:t>were drawn from recent PSRAI surveys. Callback sample was identified</w:t>
      </w:r>
      <w:r w:rsidR="00306FAD">
        <w:t xml:space="preserve"> as those who were under age 65 and had</w:t>
      </w:r>
      <w:r w:rsidR="00074B6E">
        <w:t xml:space="preserve"> completed</w:t>
      </w:r>
      <w:r w:rsidR="00306FAD">
        <w:t xml:space="preserve"> less than four years of college</w:t>
      </w:r>
      <w:r w:rsidR="0087339B">
        <w:t>.</w:t>
      </w:r>
    </w:p>
    <w:p w:rsidR="00AB2ADD" w:rsidRPr="003569C0" w:rsidRDefault="00AB2ADD">
      <w:pPr>
        <w:pStyle w:val="BodyofReport"/>
        <w:rPr>
          <w:highlight w:val="yellow"/>
        </w:rPr>
      </w:pPr>
    </w:p>
    <w:p w:rsidR="00E51DFD" w:rsidRPr="000573D7" w:rsidRDefault="00E51DFD">
      <w:pPr>
        <w:pStyle w:val="Heading4"/>
        <w:spacing w:line="480" w:lineRule="auto"/>
        <w:rPr>
          <w:b w:val="0"/>
          <w:bCs w:val="0"/>
        </w:rPr>
      </w:pPr>
      <w:r w:rsidRPr="000573D7">
        <w:t>Questionnaire Development and Testing</w:t>
      </w:r>
    </w:p>
    <w:p w:rsidR="00E51DFD" w:rsidRPr="000573D7" w:rsidRDefault="00E51DFD">
      <w:pPr>
        <w:pStyle w:val="BodyofReport"/>
      </w:pPr>
      <w:r w:rsidRPr="000573D7">
        <w:t xml:space="preserve">The questionnaire was developed by </w:t>
      </w:r>
      <w:r w:rsidR="0002104A" w:rsidRPr="000573D7">
        <w:t xml:space="preserve">the </w:t>
      </w:r>
      <w:r w:rsidR="00C549C6" w:rsidRPr="000573D7">
        <w:t xml:space="preserve">Pew </w:t>
      </w:r>
      <w:r w:rsidR="000573D7" w:rsidRPr="000573D7">
        <w:t>Social Trends &amp; Demographics Project</w:t>
      </w:r>
      <w:r w:rsidRPr="000573D7">
        <w:t xml:space="preserve">. In order to improve the quality of the data, the questionnaire was pretested </w:t>
      </w:r>
      <w:r w:rsidR="000573D7">
        <w:t xml:space="preserve">twice </w:t>
      </w:r>
      <w:r w:rsidRPr="000573D7">
        <w:t xml:space="preserve">with a small number of respondents using </w:t>
      </w:r>
      <w:r w:rsidR="00702B74" w:rsidRPr="000573D7">
        <w:t>RDD</w:t>
      </w:r>
      <w:r w:rsidRPr="000573D7">
        <w:t xml:space="preserve"> telephone numbers. The </w:t>
      </w:r>
      <w:r w:rsidR="00E0341A" w:rsidRPr="000573D7">
        <w:t xml:space="preserve">monitored </w:t>
      </w:r>
      <w:r w:rsidRPr="000573D7">
        <w:t>pretest interviews were conducted using experienced interviewers who could best judge the quality of the answers given and the degree to which respondents understood the questions. Some final changes were made to the questionnaire based on the monitored pretest interviews.</w:t>
      </w:r>
    </w:p>
    <w:p w:rsidR="00E51DFD" w:rsidRPr="003569C0" w:rsidRDefault="00E51DFD">
      <w:pPr>
        <w:pStyle w:val="BodyofReport"/>
        <w:ind w:firstLine="0"/>
        <w:rPr>
          <w:highlight w:val="yellow"/>
        </w:rPr>
      </w:pPr>
    </w:p>
    <w:p w:rsidR="00E51DFD" w:rsidRPr="000573D7" w:rsidRDefault="00E51DFD" w:rsidP="005219D3">
      <w:pPr>
        <w:pStyle w:val="Heading4"/>
        <w:spacing w:line="480" w:lineRule="auto"/>
      </w:pPr>
      <w:r w:rsidRPr="000573D7">
        <w:t>Contact Procedures</w:t>
      </w:r>
    </w:p>
    <w:p w:rsidR="0002104A" w:rsidRPr="000573D7" w:rsidRDefault="00E51DFD">
      <w:pPr>
        <w:pStyle w:val="BodyofReport"/>
      </w:pPr>
      <w:r w:rsidRPr="000573D7">
        <w:t xml:space="preserve">Interviews were conducted from </w:t>
      </w:r>
      <w:r w:rsidR="000573D7" w:rsidRPr="000573D7">
        <w:t>May 11-31, 2010</w:t>
      </w:r>
      <w:r w:rsidR="00C549C6" w:rsidRPr="000573D7">
        <w:t>. As many as 7</w:t>
      </w:r>
      <w:r w:rsidRPr="000573D7">
        <w:t xml:space="preserve">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Each </w:t>
      </w:r>
      <w:r w:rsidR="0002104A" w:rsidRPr="000573D7">
        <w:t>phone number</w:t>
      </w:r>
      <w:r w:rsidRPr="000573D7">
        <w:t xml:space="preserve"> received at least one daytime call. </w:t>
      </w:r>
    </w:p>
    <w:p w:rsidR="000F7338" w:rsidRPr="00EB4745" w:rsidRDefault="0002104A">
      <w:pPr>
        <w:pStyle w:val="BodyofReport"/>
      </w:pPr>
      <w:r w:rsidRPr="00EB4745">
        <w:lastRenderedPageBreak/>
        <w:t>The introduction and screening procedures differed depending on the sample. For each contacted household in sample</w:t>
      </w:r>
      <w:r w:rsidR="000573D7" w:rsidRPr="00EB4745">
        <w:t xml:space="preserve"> segments 1-3</w:t>
      </w:r>
      <w:r w:rsidR="00E51DFD" w:rsidRPr="00EB4745">
        <w:t xml:space="preserve">, interviewers asked to speak with </w:t>
      </w:r>
      <w:r w:rsidR="004D0ADC" w:rsidRPr="00EB4745">
        <w:t xml:space="preserve">either </w:t>
      </w:r>
      <w:r w:rsidR="00E51DFD" w:rsidRPr="00EB4745">
        <w:t>the youngest male</w:t>
      </w:r>
      <w:r w:rsidR="004D0ADC" w:rsidRPr="00EB4745">
        <w:t xml:space="preserve"> or youngest female</w:t>
      </w:r>
      <w:r w:rsidR="00E51DFD" w:rsidRPr="00EB4745">
        <w:t xml:space="preserve"> currently at home</w:t>
      </w:r>
      <w:r w:rsidR="004D0ADC" w:rsidRPr="00EB4745">
        <w:t xml:space="preserve"> based on a random rotation</w:t>
      </w:r>
      <w:r w:rsidR="00E51DFD" w:rsidRPr="00EB4745">
        <w:t>. If no male</w:t>
      </w:r>
      <w:r w:rsidR="004D0ADC" w:rsidRPr="00EB4745">
        <w:t>/female</w:t>
      </w:r>
      <w:r w:rsidR="00E51DFD" w:rsidRPr="00EB4745">
        <w:t xml:space="preserve"> was available</w:t>
      </w:r>
      <w:r w:rsidR="004D0ADC" w:rsidRPr="00EB4745">
        <w:t xml:space="preserve"> at the time of the call</w:t>
      </w:r>
      <w:r w:rsidR="00E51DFD" w:rsidRPr="00EB4745">
        <w:t xml:space="preserve">, interviewers asked to speak with the </w:t>
      </w:r>
      <w:r w:rsidR="00190979" w:rsidRPr="00EB4745">
        <w:t>youngest</w:t>
      </w:r>
      <w:r w:rsidR="00E51DFD" w:rsidRPr="00EB4745">
        <w:t xml:space="preserve"> </w:t>
      </w:r>
      <w:r w:rsidR="004D0ADC" w:rsidRPr="00EB4745">
        <w:t>adult of the opposite sex.</w:t>
      </w:r>
      <w:r w:rsidR="00E51DFD" w:rsidRPr="00EB4745">
        <w:t xml:space="preserve"> This systematic respondent selection technique has been shown to produce samples that closely mirror the population in terms of age and gender</w:t>
      </w:r>
      <w:r w:rsidR="004D0ADC" w:rsidRPr="00EB4745">
        <w:t xml:space="preserve"> when combined with cell sample</w:t>
      </w:r>
      <w:r w:rsidR="00E51DFD" w:rsidRPr="00EB4745">
        <w:t>.</w:t>
      </w:r>
      <w:r w:rsidR="000F7338" w:rsidRPr="00EB4745">
        <w:t xml:space="preserve"> </w:t>
      </w:r>
    </w:p>
    <w:p w:rsidR="000573D7" w:rsidRDefault="000573D7">
      <w:pPr>
        <w:pStyle w:val="BodyofReport"/>
      </w:pPr>
      <w:r w:rsidRPr="00EB4745">
        <w:t>In sample segment 2, interviewers then asked if the person was age 18 to 64. If they were, they proceeded with the main interview. If</w:t>
      </w:r>
      <w:r w:rsidR="00EB4745" w:rsidRPr="00EB4745">
        <w:t xml:space="preserve"> not, the interviewers asked if any o</w:t>
      </w:r>
      <w:r w:rsidR="00074B6E">
        <w:t>ther household members were age</w:t>
      </w:r>
      <w:r w:rsidR="00EB4745" w:rsidRPr="00EB4745">
        <w:t xml:space="preserve"> 18</w:t>
      </w:r>
      <w:r w:rsidR="00074B6E">
        <w:t xml:space="preserve"> to 64 and, if there was an age-eligible household member,</w:t>
      </w:r>
      <w:r w:rsidR="00EB4745" w:rsidRPr="00EB4745">
        <w:t xml:space="preserve"> an interview was conducted with that person. If the household had no age-el</w:t>
      </w:r>
      <w:r w:rsidR="00074B6E">
        <w:t>i</w:t>
      </w:r>
      <w:r w:rsidR="00EB4745" w:rsidRPr="00EB4745">
        <w:t>gible people, that piece of sample was screened-out as ineligible.</w:t>
      </w:r>
    </w:p>
    <w:p w:rsidR="00EB4745" w:rsidRDefault="00EB4745">
      <w:pPr>
        <w:pStyle w:val="BodyofReport"/>
      </w:pPr>
      <w:r>
        <w:t>Sample assigned to segment 3 was administered the employment status screener which determined whether the person who answered the phone qualified as either unemployed and able to work (UEA) or employed part-time for economic reasons (PTE). Respondents who qualified for either of these groups completed the interviews. Those who did not qualify were screened-out as ineligible.</w:t>
      </w:r>
    </w:p>
    <w:p w:rsidR="00EB4745" w:rsidRDefault="00EB4745">
      <w:pPr>
        <w:pStyle w:val="BodyofReport"/>
      </w:pPr>
      <w:r>
        <w:t>For sample segment 4, interviewers started by asking to talk with the person in the household who had previously completed a telephone interview. The person was identified by age and gender. After the target respondent was on the phone, they were administered the employment status screener.</w:t>
      </w:r>
    </w:p>
    <w:p w:rsidR="004E77F5" w:rsidRDefault="00EB4745">
      <w:pPr>
        <w:pStyle w:val="BodyofReport"/>
      </w:pPr>
      <w:r>
        <w:t>Sample segment 5 included interviews with all adults on cell phones. This sample was administered a standard cell phone screener which simply confirmed that the person was an adult and in a safe place to talk before continuing with the main interview.</w:t>
      </w:r>
      <w:r w:rsidR="00D64D12">
        <w:t xml:space="preserve"> Sample segment 6 was administered the employment status screener after the standard cell phone screener.</w:t>
      </w:r>
      <w:r w:rsidR="004E77F5">
        <w:t xml:space="preserve"> </w:t>
      </w:r>
      <w:proofErr w:type="gramStart"/>
      <w:r w:rsidR="004E77F5">
        <w:t>Sample segment 7 included callback interviews with cell respondents.</w:t>
      </w:r>
      <w:proofErr w:type="gramEnd"/>
      <w:r w:rsidR="004E77F5">
        <w:t xml:space="preserve"> All qualified cell phone respondents were offered $5 to </w:t>
      </w:r>
      <w:r w:rsidR="000804AD">
        <w:t>complete</w:t>
      </w:r>
      <w:r w:rsidR="007140BA">
        <w:t xml:space="preserve"> an interview</w:t>
      </w:r>
      <w:r w:rsidR="004E77F5">
        <w:t>.</w:t>
      </w:r>
    </w:p>
    <w:p w:rsidR="00EB4745" w:rsidRPr="00EB4745" w:rsidRDefault="00EB4745">
      <w:pPr>
        <w:pStyle w:val="BodyofReport"/>
      </w:pPr>
    </w:p>
    <w:p w:rsidR="00E51DFD" w:rsidRPr="007140BA" w:rsidRDefault="00E51DFD">
      <w:pPr>
        <w:pStyle w:val="Heading1"/>
        <w:rPr>
          <w:rFonts w:ascii="Times New Roman" w:hAnsi="Times New Roman"/>
          <w:caps/>
          <w:sz w:val="24"/>
        </w:rPr>
      </w:pPr>
      <w:r w:rsidRPr="007140BA">
        <w:rPr>
          <w:rFonts w:ascii="Times New Roman" w:hAnsi="Times New Roman"/>
          <w:caps/>
          <w:sz w:val="24"/>
        </w:rPr>
        <w:t>Weighting and analysis</w:t>
      </w:r>
    </w:p>
    <w:p w:rsidR="00E51DFD" w:rsidRPr="007140BA" w:rsidRDefault="00E51DFD"/>
    <w:p w:rsidR="00663462" w:rsidRPr="007140BA" w:rsidRDefault="00E51DFD" w:rsidP="00663462">
      <w:pPr>
        <w:pStyle w:val="BodyofReport"/>
        <w:rPr>
          <w:snapToGrid w:val="0"/>
        </w:rPr>
      </w:pPr>
      <w:r w:rsidRPr="007140BA">
        <w:rPr>
          <w:snapToGrid w:val="0"/>
        </w:rPr>
        <w:t xml:space="preserve">Weighting is generally used in survey analysis to adjust for effects of the sample design and to compensate for patterns of nonresponse that might bias results. The weighting was accomplished in </w:t>
      </w:r>
      <w:r w:rsidR="00663462" w:rsidRPr="007140BA">
        <w:rPr>
          <w:snapToGrid w:val="0"/>
        </w:rPr>
        <w:t xml:space="preserve">multiple </w:t>
      </w:r>
      <w:r w:rsidR="00D87557" w:rsidRPr="007140BA">
        <w:rPr>
          <w:snapToGrid w:val="0"/>
        </w:rPr>
        <w:t>stages</w:t>
      </w:r>
      <w:r w:rsidR="00663462" w:rsidRPr="007140BA">
        <w:rPr>
          <w:snapToGrid w:val="0"/>
        </w:rPr>
        <w:t xml:space="preserve"> to account for the different sample </w:t>
      </w:r>
      <w:r w:rsidR="007140BA" w:rsidRPr="007140BA">
        <w:rPr>
          <w:snapToGrid w:val="0"/>
        </w:rPr>
        <w:t>segments</w:t>
      </w:r>
      <w:r w:rsidR="00663462" w:rsidRPr="007140BA">
        <w:rPr>
          <w:snapToGrid w:val="0"/>
        </w:rPr>
        <w:t xml:space="preserve"> as well as the oversampling of certain</w:t>
      </w:r>
      <w:r w:rsidR="007140BA" w:rsidRPr="007140BA">
        <w:rPr>
          <w:snapToGrid w:val="0"/>
        </w:rPr>
        <w:t xml:space="preserve"> groups. Weighting also balanced</w:t>
      </w:r>
      <w:r w:rsidR="00663462" w:rsidRPr="007140BA">
        <w:rPr>
          <w:snapToGrid w:val="0"/>
        </w:rPr>
        <w:t xml:space="preserve"> sample demographic distributions to match known population parameters.</w:t>
      </w:r>
    </w:p>
    <w:p w:rsidR="007140BA" w:rsidRPr="007140BA" w:rsidRDefault="007140BA">
      <w:pPr>
        <w:pStyle w:val="BodyofReport"/>
      </w:pPr>
      <w:r w:rsidRPr="007140BA">
        <w:lastRenderedPageBreak/>
        <w:t>The first stage of weighting co</w:t>
      </w:r>
      <w:r>
        <w:t>rrected for the oversampling in segments 2,</w:t>
      </w:r>
      <w:r w:rsidR="00074B6E">
        <w:t xml:space="preserve"> </w:t>
      </w:r>
      <w:r>
        <w:t>3,</w:t>
      </w:r>
      <w:r w:rsidR="00074B6E">
        <w:t xml:space="preserve"> </w:t>
      </w:r>
      <w:r>
        <w:t>4,</w:t>
      </w:r>
      <w:r w:rsidR="00074B6E">
        <w:t xml:space="preserve"> </w:t>
      </w:r>
      <w:r>
        <w:t>6 and 7.</w:t>
      </w:r>
      <w:r w:rsidR="00A1713C">
        <w:t xml:space="preserve"> This adjustment was computed separately for landline sample segments (2,</w:t>
      </w:r>
      <w:r w:rsidR="00074B6E">
        <w:t xml:space="preserve"> </w:t>
      </w:r>
      <w:r w:rsidR="00A1713C">
        <w:t>3 and 4) and cell sample segments (6 and 7).</w:t>
      </w:r>
      <w:r w:rsidR="00C67DD3">
        <w:t xml:space="preserve"> This adjustment is called SAMPWT in the dataset.</w:t>
      </w:r>
    </w:p>
    <w:p w:rsidR="00FB6864" w:rsidRPr="00A1713C" w:rsidRDefault="00A1713C" w:rsidP="00675DD6">
      <w:pPr>
        <w:pStyle w:val="BodyofReport"/>
      </w:pPr>
      <w:r w:rsidRPr="00A1713C">
        <w:t>W</w:t>
      </w:r>
      <w:r w:rsidR="000C28AF" w:rsidRPr="00A1713C">
        <w:t xml:space="preserve">e also made </w:t>
      </w:r>
      <w:r w:rsidR="00CC765F" w:rsidRPr="00A1713C">
        <w:t>two more adjustments before raking the data to population parameters.</w:t>
      </w:r>
      <w:r w:rsidR="00675DD6" w:rsidRPr="00A1713C">
        <w:t xml:space="preserve"> The Probability of Selection Adjustment (PSA) corrects for the fact that respondents in the landline sample have different probabilities of being sampled depending on how many adults live in the household. Since we only sample one person per household, adults who live with no other adults have a greater chance of being sample</w:t>
      </w:r>
      <w:r w:rsidR="00FB6864" w:rsidRPr="00A1713C">
        <w:t>d</w:t>
      </w:r>
      <w:r w:rsidR="00675DD6" w:rsidRPr="00A1713C">
        <w:t xml:space="preserve"> than adults who live </w:t>
      </w:r>
      <w:r w:rsidR="00FB6864" w:rsidRPr="00A1713C">
        <w:t>in multiple-adult households.</w:t>
      </w:r>
    </w:p>
    <w:p w:rsidR="00675DD6" w:rsidRPr="00A1713C" w:rsidRDefault="00A1713C" w:rsidP="00675DD6">
      <w:pPr>
        <w:pStyle w:val="BodyofReport"/>
      </w:pPr>
      <w:r w:rsidRPr="00A1713C">
        <w:t xml:space="preserve">The PSA was applied to all respondents in sample segments 1-3 where we were </w:t>
      </w:r>
      <w:r w:rsidR="00923DDC">
        <w:t xml:space="preserve">calling a household by landline and </w:t>
      </w:r>
      <w:r w:rsidRPr="00A1713C">
        <w:t>s</w:t>
      </w:r>
      <w:r w:rsidR="00923DDC">
        <w:t>electing one adult from within the</w:t>
      </w:r>
      <w:r w:rsidRPr="00A1713C">
        <w:t xml:space="preserve"> household</w:t>
      </w:r>
      <w:r w:rsidR="00923DDC">
        <w:t xml:space="preserve"> to complete the interview</w:t>
      </w:r>
      <w:r w:rsidRPr="00A1713C">
        <w:t xml:space="preserve">. </w:t>
      </w:r>
      <w:r w:rsidR="00675DD6" w:rsidRPr="00A1713C">
        <w:t>To compute the PSA, first define n</w:t>
      </w:r>
      <w:r w:rsidR="00675DD6" w:rsidRPr="00A1713C">
        <w:rPr>
          <w:vertAlign w:val="subscript"/>
        </w:rPr>
        <w:t>1</w:t>
      </w:r>
      <w:r w:rsidR="00675DD6" w:rsidRPr="00A1713C">
        <w:t xml:space="preserve"> as the number of </w:t>
      </w:r>
      <w:r w:rsidR="00BC275F" w:rsidRPr="00A1713C">
        <w:t>respondents</w:t>
      </w:r>
      <w:r w:rsidRPr="00A1713C">
        <w:t xml:space="preserve"> in</w:t>
      </w:r>
      <w:r w:rsidR="00074B6E">
        <w:t xml:space="preserve"> the landline sample</w:t>
      </w:r>
      <w:r w:rsidRPr="00A1713C">
        <w:t xml:space="preserve"> </w:t>
      </w:r>
      <w:r w:rsidR="00675DD6" w:rsidRPr="00A1713C">
        <w:t>who live in single-adults households and n</w:t>
      </w:r>
      <w:r w:rsidR="00675DD6" w:rsidRPr="00A1713C">
        <w:rPr>
          <w:vertAlign w:val="subscript"/>
        </w:rPr>
        <w:t>2</w:t>
      </w:r>
      <w:r w:rsidR="00675DD6" w:rsidRPr="00A1713C">
        <w:t xml:space="preserve"> as the number </w:t>
      </w:r>
      <w:r w:rsidR="00BC275F" w:rsidRPr="00A1713C">
        <w:t>of respondents</w:t>
      </w:r>
      <w:r w:rsidR="00675DD6" w:rsidRPr="00A1713C">
        <w:t xml:space="preserve"> in the landline sample that live in multi-adult households. The PSA equals:</w:t>
      </w:r>
    </w:p>
    <w:p w:rsidR="00675DD6" w:rsidRPr="003569C0" w:rsidRDefault="00675DD6" w:rsidP="00675DD6">
      <w:pPr>
        <w:pStyle w:val="BodyofReport"/>
        <w:rPr>
          <w:highlight w:val="yellow"/>
        </w:rPr>
      </w:pPr>
    </w:p>
    <w:p w:rsidR="00675DD6" w:rsidRPr="00A1713C" w:rsidRDefault="00F267F4" w:rsidP="00A1713C">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for landline respondents in single-adult households</m:t>
          </m:r>
        </m:oMath>
      </m:oMathPara>
    </w:p>
    <w:p w:rsidR="00675DD6" w:rsidRPr="00A1713C" w:rsidRDefault="00F267F4" w:rsidP="00A1713C">
      <w:pPr>
        <w:spacing w:before="240"/>
        <w:jc w:val="center"/>
      </w:pPr>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 xml:space="preserve"> for landline respondents in multiple-adult households</m:t>
          </m:r>
        </m:oMath>
      </m:oMathPara>
    </w:p>
    <w:p w:rsidR="00675DD6" w:rsidRPr="00B664F5" w:rsidRDefault="00B664F5" w:rsidP="00A1713C">
      <w:pPr>
        <w:pStyle w:val="BodyofReport"/>
        <w:spacing w:before="240"/>
        <w:jc w:val="center"/>
        <w:rPr>
          <w:szCs w:val="24"/>
        </w:rPr>
      </w:pPr>
      <m:oMathPara>
        <m:oMath>
          <m:r>
            <w:rPr>
              <w:rFonts w:ascii="Cambria Math" w:hAnsi="Cambria Math"/>
            </w:rPr>
            <m:t>1 for respondents in all other sample segments</m:t>
          </m:r>
        </m:oMath>
      </m:oMathPara>
    </w:p>
    <w:p w:rsidR="00CC765F" w:rsidRPr="003569C0" w:rsidRDefault="00CC765F" w:rsidP="00C82CD1">
      <w:pPr>
        <w:pStyle w:val="BodyofReport"/>
        <w:rPr>
          <w:highlight w:val="yellow"/>
        </w:rPr>
      </w:pPr>
    </w:p>
    <w:p w:rsidR="00675DD6" w:rsidRPr="00C67DD3" w:rsidRDefault="00675DD6" w:rsidP="00675DD6">
      <w:pPr>
        <w:pStyle w:val="BodyofReport"/>
      </w:pPr>
      <w:r w:rsidRPr="00C67DD3">
        <w:t xml:space="preserve">The </w:t>
      </w:r>
      <w:r w:rsidR="00373AE8" w:rsidRPr="00C67DD3">
        <w:t>final</w:t>
      </w:r>
      <w:r w:rsidRPr="00C67DD3">
        <w:t xml:space="preserve"> adjustment we made prior to raking the data is the Phone Use Adjustment (PUA) which corrects for the overlapping landline and cellular sample frames. </w:t>
      </w:r>
      <w:r w:rsidR="00C67DD3" w:rsidRPr="00C67DD3">
        <w:t xml:space="preserve">The PUA was applied to all cases in the dataset. </w:t>
      </w:r>
      <w:r w:rsidRPr="00C67DD3">
        <w:t>To compute the PUA, first define p</w:t>
      </w:r>
      <w:r w:rsidRPr="00C67DD3">
        <w:rPr>
          <w:vertAlign w:val="subscript"/>
        </w:rPr>
        <w:t>1</w:t>
      </w:r>
      <w:r w:rsidRPr="00C67DD3">
        <w:t xml:space="preserve"> as the number of respondents with only one type of phone – landline or cell </w:t>
      </w:r>
      <w:r w:rsidR="00373AE8" w:rsidRPr="00C67DD3">
        <w:t xml:space="preserve">- </w:t>
      </w:r>
      <w:r w:rsidRPr="00C67DD3">
        <w:t>and define p</w:t>
      </w:r>
      <w:r w:rsidRPr="00C67DD3">
        <w:rPr>
          <w:vertAlign w:val="subscript"/>
        </w:rPr>
        <w:t>2</w:t>
      </w:r>
      <w:r w:rsidRPr="00C67DD3">
        <w:t xml:space="preserve"> as the number of respon</w:t>
      </w:r>
      <w:r w:rsidR="00B664F5">
        <w:t>dents with both types of phones. T</w:t>
      </w:r>
      <w:r w:rsidRPr="00C67DD3">
        <w:t>he PUA equals:</w:t>
      </w:r>
    </w:p>
    <w:p w:rsidR="00675DD6" w:rsidRPr="003569C0" w:rsidRDefault="00675DD6" w:rsidP="00675DD6">
      <w:pPr>
        <w:rPr>
          <w:highlight w:val="yellow"/>
        </w:rPr>
      </w:pPr>
    </w:p>
    <w:p w:rsidR="00675DD6" w:rsidRPr="00C67DD3" w:rsidRDefault="00F267F4" w:rsidP="00C67DD3">
      <w:pPr>
        <w:pStyle w:val="BodyofReport"/>
        <w:ind w:firstLine="0"/>
        <w:jc w:val="center"/>
      </w:pPr>
      <m:oMathPara>
        <m:oMath>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sSub>
                <m:sSubPr>
                  <m:ctrlPr>
                    <w:rPr>
                      <w:rFonts w:ascii="Cambria Math" w:hAnsi="Cambria Math"/>
                      <w:i/>
                    </w:rPr>
                  </m:ctrlPr>
                </m:sSubPr>
                <m:e>
                  <m:r>
                    <w:rPr>
                      <w:rFonts w:ascii="Cambria Math" w:hAnsi="Cambria Math"/>
                    </w:rPr>
                    <m:t>2p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for respondents with one kind of phone</m:t>
          </m:r>
        </m:oMath>
      </m:oMathPara>
    </w:p>
    <w:p w:rsidR="00675DD6" w:rsidRPr="00C67DD3" w:rsidRDefault="00675DD6" w:rsidP="00C67DD3">
      <w:pPr>
        <w:pStyle w:val="BodyofReport"/>
        <w:ind w:firstLine="0"/>
        <w:jc w:val="center"/>
      </w:pPr>
    </w:p>
    <w:p w:rsidR="00675DD6" w:rsidRPr="00C67DD3" w:rsidRDefault="00F267F4" w:rsidP="00C67DD3">
      <w:pPr>
        <w:pStyle w:val="BodyofReport"/>
        <w:ind w:firstLine="0"/>
        <w:jc w:val="cente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sSub>
                <m:sSubPr>
                  <m:ctrlPr>
                    <w:rPr>
                      <w:rFonts w:ascii="Cambria Math" w:hAnsi="Cambria Math"/>
                      <w:i/>
                    </w:rPr>
                  </m:ctrlPr>
                </m:sSubPr>
                <m:e>
                  <m:r>
                    <w:rPr>
                      <w:rFonts w:ascii="Cambria Math" w:hAnsi="Cambria Math"/>
                    </w:rPr>
                    <m:t>2p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 xml:space="preserve"> for respondents with two kinds of phones</m:t>
          </m:r>
        </m:oMath>
      </m:oMathPara>
    </w:p>
    <w:p w:rsidR="00675DD6" w:rsidRPr="003569C0" w:rsidRDefault="00675DD6" w:rsidP="00C82CD1">
      <w:pPr>
        <w:pStyle w:val="BodyofReport"/>
        <w:rPr>
          <w:highlight w:val="yellow"/>
        </w:rPr>
      </w:pPr>
    </w:p>
    <w:p w:rsidR="00B664F5" w:rsidRDefault="00B664F5">
      <w:pPr>
        <w:widowControl/>
        <w:rPr>
          <w:snapToGrid/>
        </w:rPr>
      </w:pPr>
      <w:r>
        <w:br w:type="page"/>
      </w:r>
    </w:p>
    <w:p w:rsidR="009C26CE" w:rsidRPr="009C26CE" w:rsidRDefault="002E0692" w:rsidP="00C82CD1">
      <w:pPr>
        <w:pStyle w:val="BodyofReport"/>
      </w:pPr>
      <w:r w:rsidRPr="009C26CE">
        <w:lastRenderedPageBreak/>
        <w:t>At this point</w:t>
      </w:r>
      <w:r w:rsidR="00B664F5">
        <w:t>,</w:t>
      </w:r>
      <w:r w:rsidRPr="009C26CE">
        <w:t xml:space="preserve"> an interim weight was computed that was the product</w:t>
      </w:r>
      <w:r w:rsidR="009C26CE" w:rsidRPr="009C26CE">
        <w:t xml:space="preserve"> of the three sample adjustments - SAMPWT,</w:t>
      </w:r>
      <w:r w:rsidRPr="009C26CE">
        <w:t xml:space="preserve"> PUA and PSA. This interim weight was used as an input weight for the final stage of weighting – the demographic raking. The </w:t>
      </w:r>
      <w:r w:rsidR="00C67DD3" w:rsidRPr="009C26CE">
        <w:t>data was raked, by form, to current population parameters for:</w:t>
      </w:r>
      <w:r w:rsidR="00C455CB" w:rsidRPr="009C26CE">
        <w:t xml:space="preserve"> sex</w:t>
      </w:r>
      <w:r w:rsidR="0062404E" w:rsidRPr="009C26CE">
        <w:t xml:space="preserve"> by age</w:t>
      </w:r>
      <w:r w:rsidR="00C67DD3" w:rsidRPr="009C26CE">
        <w:t>;</w:t>
      </w:r>
      <w:r w:rsidR="00C455CB" w:rsidRPr="009C26CE">
        <w:t xml:space="preserve"> </w:t>
      </w:r>
      <w:r w:rsidR="0062404E" w:rsidRPr="009C26CE">
        <w:t xml:space="preserve">sex by </w:t>
      </w:r>
      <w:r w:rsidR="00C67DD3" w:rsidRPr="009C26CE">
        <w:t>education;</w:t>
      </w:r>
      <w:r w:rsidR="0062404E" w:rsidRPr="009C26CE">
        <w:t xml:space="preserve"> age by education</w:t>
      </w:r>
      <w:r w:rsidR="00C67DD3" w:rsidRPr="009C26CE">
        <w:t>;</w:t>
      </w:r>
      <w:r w:rsidR="00C455CB" w:rsidRPr="009C26CE">
        <w:t xml:space="preserve"> </w:t>
      </w:r>
      <w:r w:rsidR="00C67DD3" w:rsidRPr="009C26CE">
        <w:t>race/ethnicity; number of adults in the household; employment status; census region; population density</w:t>
      </w:r>
      <w:r w:rsidR="009C26CE" w:rsidRPr="009C26CE">
        <w:t xml:space="preserve"> and household telephone usage.</w:t>
      </w:r>
    </w:p>
    <w:p w:rsidR="00C455CB" w:rsidRPr="003569C0" w:rsidRDefault="009C26CE" w:rsidP="00C82CD1">
      <w:pPr>
        <w:pStyle w:val="BodyofReport"/>
        <w:rPr>
          <w:highlight w:val="yellow"/>
        </w:rPr>
      </w:pPr>
      <w:r w:rsidRPr="009C26CE">
        <w:t>The telephone usage parameter was derived from an analysis of recently available National Health Interview Survey data</w:t>
      </w:r>
      <w:r w:rsidRPr="009C26CE">
        <w:rPr>
          <w:rStyle w:val="FootnoteReference"/>
        </w:rPr>
        <w:footnoteReference w:id="1"/>
      </w:r>
      <w:r w:rsidRPr="009C26CE">
        <w:t>. The population density parameter is county-based and was derived from Census 2000 data. All other weighting parameters were derived from the</w:t>
      </w:r>
      <w:r w:rsidRPr="000309B2">
        <w:t xml:space="preserve"> Census Bureau’s 2009 Annual Social and Economic Supplement (ASEC)</w:t>
      </w:r>
      <w:r>
        <w:t>.</w:t>
      </w:r>
    </w:p>
    <w:p w:rsidR="0062404E" w:rsidRPr="009C26CE" w:rsidRDefault="00C455CB" w:rsidP="009C26CE">
      <w:pPr>
        <w:pStyle w:val="BodyofReport"/>
      </w:pPr>
      <w:r w:rsidRPr="009C26CE">
        <w:t>This stage of weighting, which incor</w:t>
      </w:r>
      <w:r w:rsidR="008D415B" w:rsidRPr="009C26CE">
        <w:t xml:space="preserve">porated each respondent's </w:t>
      </w:r>
      <w:r w:rsidR="0062404E" w:rsidRPr="009C26CE">
        <w:t>initial weighting adjustments</w:t>
      </w:r>
      <w:r w:rsidRPr="009C26CE">
        <w:t xml:space="preserve">, was accomplished using Sample Balancing, a special iterative sample weighting program that simultaneously balances the distributions of all variables using a statistical technique called the </w:t>
      </w:r>
      <w:r w:rsidRPr="009C26CE">
        <w:rPr>
          <w:i/>
          <w:iCs/>
        </w:rPr>
        <w:t>Deming Algorithm</w:t>
      </w:r>
      <w:r w:rsidR="008D415B" w:rsidRPr="009C26CE">
        <w:t xml:space="preserve">. The </w:t>
      </w:r>
      <w:r w:rsidR="006E6193" w:rsidRPr="009C26CE">
        <w:t>raking</w:t>
      </w:r>
      <w:r w:rsidRPr="009C26CE">
        <w:t xml:space="preserve"> </w:t>
      </w:r>
      <w:r w:rsidR="006E6193" w:rsidRPr="009C26CE">
        <w:t>corrects</w:t>
      </w:r>
      <w:r w:rsidRPr="009C26CE">
        <w:t xml:space="preserve"> for</w:t>
      </w:r>
      <w:r w:rsidR="006E6193" w:rsidRPr="009C26CE">
        <w:t xml:space="preserve"> differential</w:t>
      </w:r>
      <w:r w:rsidRPr="009C26CE">
        <w:t xml:space="preserve"> non-response that is related to particular demographic characteristics of the sample. This weight ensures that the demographic characteristics of </w:t>
      </w:r>
      <w:r w:rsidR="009C26CE" w:rsidRPr="009C26CE">
        <w:t>the sample</w:t>
      </w:r>
      <w:r w:rsidRPr="009C26CE">
        <w:t xml:space="preserve"> closely approximate the demographic</w:t>
      </w:r>
      <w:r w:rsidR="009C26CE" w:rsidRPr="009C26CE">
        <w:t xml:space="preserve"> characteristics of the </w:t>
      </w:r>
      <w:r w:rsidRPr="009C26CE">
        <w:t>population</w:t>
      </w:r>
      <w:r w:rsidR="0062404E" w:rsidRPr="009C26CE">
        <w:t xml:space="preserve">. </w:t>
      </w:r>
      <w:r w:rsidR="009C26CE" w:rsidRPr="009C26CE">
        <w:t>Table</w:t>
      </w:r>
      <w:r w:rsidR="00837168" w:rsidRPr="009C26CE">
        <w:t xml:space="preserve"> </w:t>
      </w:r>
      <w:r w:rsidR="009C26CE" w:rsidRPr="009C26CE">
        <w:t>2</w:t>
      </w:r>
      <w:r w:rsidR="00C95C3A" w:rsidRPr="009C26CE">
        <w:t xml:space="preserve"> compare</w:t>
      </w:r>
      <w:r w:rsidR="009C26CE" w:rsidRPr="009C26CE">
        <w:t>s</w:t>
      </w:r>
      <w:r w:rsidR="00C95C3A" w:rsidRPr="009C26CE">
        <w:t xml:space="preserve"> weighted and unweighted sample demographics to population parameters.</w:t>
      </w:r>
    </w:p>
    <w:p w:rsidR="00F342A5" w:rsidRPr="003569C0" w:rsidRDefault="00090193">
      <w:pPr>
        <w:pStyle w:val="BodyofReport"/>
        <w:rPr>
          <w:highlight w:val="yellow"/>
        </w:rPr>
      </w:pPr>
      <w:r w:rsidRPr="003569C0">
        <w:rPr>
          <w:highlight w:val="yellow"/>
        </w:rPr>
        <w:br w:type="page"/>
      </w:r>
    </w:p>
    <w:tbl>
      <w:tblPr>
        <w:tblW w:w="5605" w:type="dxa"/>
        <w:jc w:val="center"/>
        <w:tblLook w:val="04A0"/>
      </w:tblPr>
      <w:tblGrid>
        <w:gridCol w:w="2121"/>
        <w:gridCol w:w="1150"/>
        <w:gridCol w:w="1273"/>
        <w:gridCol w:w="1181"/>
      </w:tblGrid>
      <w:tr w:rsidR="00F342A5" w:rsidRPr="00F27618" w:rsidTr="00F342A5">
        <w:trPr>
          <w:trHeight w:val="255"/>
          <w:jc w:val="center"/>
        </w:trPr>
        <w:tc>
          <w:tcPr>
            <w:tcW w:w="5605" w:type="dxa"/>
            <w:gridSpan w:val="4"/>
            <w:tcBorders>
              <w:bottom w:val="single" w:sz="4" w:space="0" w:color="auto"/>
            </w:tcBorders>
            <w:shd w:val="clear" w:color="auto" w:fill="auto"/>
            <w:noWrap/>
            <w:vAlign w:val="bottom"/>
            <w:hideMark/>
          </w:tcPr>
          <w:p w:rsidR="00F342A5" w:rsidRPr="00F342A5" w:rsidRDefault="00F27618" w:rsidP="00F342A5">
            <w:pPr>
              <w:widowControl/>
              <w:rPr>
                <w:rFonts w:ascii="Calibri" w:hAnsi="Calibri" w:cs="Arial"/>
                <w:snapToGrid/>
                <w:sz w:val="20"/>
              </w:rPr>
            </w:pPr>
            <w:r w:rsidRPr="00F27618">
              <w:rPr>
                <w:rFonts w:ascii="Calibri" w:hAnsi="Calibri" w:cs="Arial"/>
                <w:b/>
                <w:bCs/>
                <w:snapToGrid/>
                <w:sz w:val="20"/>
              </w:rPr>
              <w:lastRenderedPageBreak/>
              <w:t>Table 2</w:t>
            </w:r>
            <w:r w:rsidR="00F342A5" w:rsidRPr="00F342A5">
              <w:rPr>
                <w:rFonts w:ascii="Calibri" w:hAnsi="Calibri" w:cs="Arial"/>
                <w:b/>
                <w:bCs/>
                <w:snapToGrid/>
                <w:sz w:val="20"/>
              </w:rPr>
              <w:t>: Sample Demographics </w:t>
            </w:r>
          </w:p>
        </w:tc>
      </w:tr>
      <w:tr w:rsidR="00F342A5" w:rsidRPr="00F342A5" w:rsidTr="00F342A5">
        <w:trPr>
          <w:trHeight w:val="255"/>
          <w:jc w:val="center"/>
        </w:trPr>
        <w:tc>
          <w:tcPr>
            <w:tcW w:w="2121" w:type="dxa"/>
            <w:tcBorders>
              <w:top w:val="single" w:sz="4" w:space="0" w:color="auto"/>
            </w:tcBorders>
            <w:shd w:val="clear" w:color="auto" w:fill="auto"/>
            <w:vAlign w:val="bottom"/>
            <w:hideMark/>
          </w:tcPr>
          <w:p w:rsidR="00F342A5" w:rsidRPr="00F342A5" w:rsidRDefault="00F342A5" w:rsidP="00F342A5">
            <w:pPr>
              <w:widowControl/>
              <w:jc w:val="right"/>
              <w:rPr>
                <w:rFonts w:ascii="Calibri" w:hAnsi="Calibri" w:cs="Arial"/>
                <w:snapToGrid/>
                <w:sz w:val="20"/>
                <w:u w:val="single"/>
              </w:rPr>
            </w:pPr>
          </w:p>
        </w:tc>
        <w:tc>
          <w:tcPr>
            <w:tcW w:w="1150" w:type="dxa"/>
            <w:tcBorders>
              <w:top w:val="single" w:sz="4" w:space="0" w:color="auto"/>
            </w:tcBorders>
            <w:shd w:val="clear" w:color="auto" w:fill="auto"/>
            <w:vAlign w:val="bottom"/>
            <w:hideMark/>
          </w:tcPr>
          <w:p w:rsidR="00F342A5" w:rsidRPr="00F342A5" w:rsidRDefault="00F342A5" w:rsidP="00F342A5">
            <w:pPr>
              <w:widowControl/>
              <w:jc w:val="center"/>
              <w:rPr>
                <w:rFonts w:ascii="Calibri" w:hAnsi="Calibri" w:cs="Arial"/>
                <w:snapToGrid/>
                <w:sz w:val="20"/>
                <w:u w:val="single"/>
              </w:rPr>
            </w:pPr>
            <w:r w:rsidRPr="00F342A5">
              <w:rPr>
                <w:rFonts w:ascii="Calibri" w:hAnsi="Calibri" w:cs="Arial"/>
                <w:snapToGrid/>
                <w:sz w:val="20"/>
                <w:u w:val="single"/>
              </w:rPr>
              <w:t>Parameter</w:t>
            </w:r>
          </w:p>
        </w:tc>
        <w:tc>
          <w:tcPr>
            <w:tcW w:w="1273" w:type="dxa"/>
            <w:tcBorders>
              <w:top w:val="single" w:sz="4" w:space="0" w:color="auto"/>
            </w:tcBorders>
            <w:shd w:val="clear" w:color="auto" w:fill="auto"/>
            <w:vAlign w:val="bottom"/>
            <w:hideMark/>
          </w:tcPr>
          <w:p w:rsidR="00F342A5" w:rsidRPr="00F342A5" w:rsidRDefault="00F342A5" w:rsidP="00F342A5">
            <w:pPr>
              <w:widowControl/>
              <w:jc w:val="center"/>
              <w:rPr>
                <w:rFonts w:ascii="Calibri" w:hAnsi="Calibri" w:cs="Arial"/>
                <w:snapToGrid/>
                <w:sz w:val="20"/>
                <w:u w:val="single"/>
              </w:rPr>
            </w:pPr>
            <w:r w:rsidRPr="00F342A5">
              <w:rPr>
                <w:rFonts w:ascii="Calibri" w:hAnsi="Calibri" w:cs="Arial"/>
                <w:snapToGrid/>
                <w:sz w:val="20"/>
                <w:u w:val="single"/>
              </w:rPr>
              <w:t>Unweighted</w:t>
            </w:r>
          </w:p>
        </w:tc>
        <w:tc>
          <w:tcPr>
            <w:tcW w:w="1061" w:type="dxa"/>
            <w:tcBorders>
              <w:top w:val="single" w:sz="4" w:space="0" w:color="auto"/>
            </w:tcBorders>
            <w:shd w:val="clear" w:color="auto" w:fill="auto"/>
            <w:vAlign w:val="bottom"/>
            <w:hideMark/>
          </w:tcPr>
          <w:p w:rsidR="00F342A5" w:rsidRPr="00F342A5" w:rsidRDefault="00F342A5" w:rsidP="00F342A5">
            <w:pPr>
              <w:widowControl/>
              <w:rPr>
                <w:rFonts w:ascii="Calibri" w:hAnsi="Calibri" w:cs="Arial"/>
                <w:snapToGrid/>
                <w:sz w:val="20"/>
                <w:u w:val="single"/>
              </w:rPr>
            </w:pPr>
            <w:r w:rsidRPr="00F342A5">
              <w:rPr>
                <w:rFonts w:ascii="Calibri" w:hAnsi="Calibri" w:cs="Arial"/>
                <w:snapToGrid/>
                <w:sz w:val="20"/>
                <w:u w:val="single"/>
              </w:rPr>
              <w:t>Weighted</w:t>
            </w:r>
          </w:p>
        </w:tc>
      </w:tr>
      <w:tr w:rsidR="00F342A5" w:rsidRPr="00F342A5" w:rsidTr="00F342A5">
        <w:trPr>
          <w:trHeight w:val="255"/>
          <w:jc w:val="center"/>
        </w:trPr>
        <w:tc>
          <w:tcPr>
            <w:tcW w:w="2121" w:type="dxa"/>
            <w:shd w:val="clear" w:color="auto" w:fill="auto"/>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Gender</w:t>
            </w:r>
          </w:p>
        </w:tc>
        <w:tc>
          <w:tcPr>
            <w:tcW w:w="1150" w:type="dxa"/>
            <w:shd w:val="clear" w:color="auto" w:fill="auto"/>
            <w:vAlign w:val="bottom"/>
            <w:hideMark/>
          </w:tcPr>
          <w:p w:rsidR="00F342A5" w:rsidRPr="00F342A5" w:rsidRDefault="00F342A5" w:rsidP="00F342A5">
            <w:pPr>
              <w:widowControl/>
              <w:jc w:val="center"/>
              <w:rPr>
                <w:rFonts w:ascii="Calibri" w:hAnsi="Calibri" w:cs="Arial"/>
                <w:b/>
                <w:bCs/>
                <w:snapToGrid/>
                <w:sz w:val="20"/>
              </w:rPr>
            </w:pPr>
            <w:r w:rsidRPr="00F342A5">
              <w:rPr>
                <w:rFonts w:ascii="Calibri" w:hAnsi="Calibri" w:cs="Arial"/>
                <w:b/>
                <w:bCs/>
                <w:snapToGrid/>
                <w:sz w:val="20"/>
              </w:rPr>
              <w:t> </w:t>
            </w:r>
          </w:p>
        </w:tc>
        <w:tc>
          <w:tcPr>
            <w:tcW w:w="1273" w:type="dxa"/>
            <w:shd w:val="clear" w:color="auto" w:fill="auto"/>
            <w:vAlign w:val="bottom"/>
            <w:hideMark/>
          </w:tcPr>
          <w:p w:rsidR="00F342A5" w:rsidRPr="00F342A5" w:rsidRDefault="00F342A5" w:rsidP="00F342A5">
            <w:pPr>
              <w:widowControl/>
              <w:jc w:val="center"/>
              <w:rPr>
                <w:rFonts w:ascii="Calibri" w:hAnsi="Calibri" w:cs="Arial"/>
                <w:b/>
                <w:bCs/>
                <w:snapToGrid/>
                <w:sz w:val="20"/>
              </w:rPr>
            </w:pPr>
            <w:r w:rsidRPr="00F342A5">
              <w:rPr>
                <w:rFonts w:ascii="Calibri" w:hAnsi="Calibri" w:cs="Arial"/>
                <w:b/>
                <w:bCs/>
                <w:snapToGrid/>
                <w:sz w:val="20"/>
              </w:rPr>
              <w:t> </w:t>
            </w:r>
          </w:p>
        </w:tc>
        <w:tc>
          <w:tcPr>
            <w:tcW w:w="1061" w:type="dxa"/>
            <w:shd w:val="clear" w:color="auto" w:fill="auto"/>
            <w:vAlign w:val="bottom"/>
            <w:hideMark/>
          </w:tcPr>
          <w:p w:rsidR="00F342A5" w:rsidRPr="00F342A5" w:rsidRDefault="00F342A5" w:rsidP="00F342A5">
            <w:pPr>
              <w:widowControl/>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Male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48.5%</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44.7%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48.3%</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Female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51.5%</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55.3%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51.7%</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Age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18-24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12.6%</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12.3%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12.2%</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25-34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17.8%</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13.5%</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16.9%</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35-44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18.2%</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14.4%</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17.0%</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45-54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19.6%</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21.6%</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19.5%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55-64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21.8%</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65+</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16.6%</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14.0%</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16.9%</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Education</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Less than HS Graduate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14.1%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9.7%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12.4%</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HS Graduate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34.7%</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32.0%</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33.9%</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Some College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24.1%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25.5%</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24.6%</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College Graduate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27.1%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31.9%</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28.3%</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Race/Ethnicity</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White/not Hispanic</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68.8%</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70.7%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68.8%</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Black/not Hispanic</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11.5%</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11.0%</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11.3%</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Hispanic</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13.7%</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10.2%</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12.5%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Other/not Hispanic</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6.0%</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6.1%</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Region</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Northeast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18.5%</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18.2%</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Midwest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22.0%</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24.0%</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22.6%</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South</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36.8%</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38.7%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37.5%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West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22.7%</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19.7%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21.7%</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County Pop. Density</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1 - Lowest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23.3%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20.9%</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2</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20.0%</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21.5%</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20.2%</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3</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20.1%</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21.3%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4</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20.2%</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18.9%</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20.0%</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5 - Highest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19.6%</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15.0%</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18.3%</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Phone Use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b/>
                <w:bCs/>
                <w:snapToGrid/>
                <w:sz w:val="20"/>
              </w:rPr>
            </w:pPr>
            <w:r w:rsidRPr="00F342A5">
              <w:rPr>
                <w:rFonts w:ascii="Calibri" w:hAnsi="Calibri" w:cs="Arial"/>
                <w:b/>
                <w:bCs/>
                <w:snapToGrid/>
                <w:sz w:val="20"/>
              </w:rPr>
              <w:t> </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 </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LLO</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11.7%</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10.3%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11.6%</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Dual - few,</w:t>
            </w:r>
            <w:r w:rsidRPr="00F27618">
              <w:rPr>
                <w:rFonts w:ascii="Calibri" w:hAnsi="Calibri" w:cs="Arial"/>
                <w:snapToGrid/>
                <w:sz w:val="20"/>
              </w:rPr>
              <w:t xml:space="preserve"> </w:t>
            </w:r>
            <w:r w:rsidRPr="00F342A5">
              <w:rPr>
                <w:rFonts w:ascii="Calibri" w:hAnsi="Calibri" w:cs="Arial"/>
                <w:snapToGrid/>
                <w:sz w:val="20"/>
              </w:rPr>
              <w:t>some cell</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47.3%</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54.4%</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47.2%</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Dual - most cell</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17.4%</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17.3%</w:t>
            </w:r>
          </w:p>
        </w:tc>
      </w:tr>
      <w:tr w:rsidR="00F342A5" w:rsidRPr="00F342A5" w:rsidTr="00F342A5">
        <w:trPr>
          <w:trHeight w:val="255"/>
          <w:jc w:val="center"/>
        </w:trPr>
        <w:tc>
          <w:tcPr>
            <w:tcW w:w="2121" w:type="dxa"/>
            <w:tcBorders>
              <w:bottom w:val="single" w:sz="4" w:space="0" w:color="auto"/>
            </w:tcBorders>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CPO</w:t>
            </w:r>
          </w:p>
        </w:tc>
        <w:tc>
          <w:tcPr>
            <w:tcW w:w="1150"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23.6%</w:t>
            </w:r>
          </w:p>
        </w:tc>
        <w:tc>
          <w:tcPr>
            <w:tcW w:w="1273"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15.9%</w:t>
            </w:r>
          </w:p>
        </w:tc>
        <w:tc>
          <w:tcPr>
            <w:tcW w:w="1061"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22.9%</w:t>
            </w:r>
          </w:p>
        </w:tc>
      </w:tr>
      <w:tr w:rsidR="00F342A5" w:rsidRPr="00F27618" w:rsidTr="00F342A5">
        <w:trPr>
          <w:trHeight w:val="255"/>
          <w:jc w:val="center"/>
        </w:trPr>
        <w:tc>
          <w:tcPr>
            <w:tcW w:w="2121" w:type="dxa"/>
            <w:tcBorders>
              <w:top w:val="single" w:sz="4" w:space="0" w:color="auto"/>
            </w:tcBorders>
            <w:shd w:val="clear" w:color="auto" w:fill="auto"/>
            <w:noWrap/>
            <w:vAlign w:val="bottom"/>
            <w:hideMark/>
          </w:tcPr>
          <w:p w:rsidR="00F342A5" w:rsidRPr="00F27618" w:rsidRDefault="00F342A5" w:rsidP="00F342A5">
            <w:pPr>
              <w:widowControl/>
              <w:jc w:val="right"/>
              <w:rPr>
                <w:rFonts w:ascii="Calibri" w:hAnsi="Calibri" w:cs="Arial"/>
                <w:snapToGrid/>
                <w:sz w:val="20"/>
              </w:rPr>
            </w:pPr>
          </w:p>
        </w:tc>
        <w:tc>
          <w:tcPr>
            <w:tcW w:w="1150" w:type="dxa"/>
            <w:tcBorders>
              <w:top w:val="single" w:sz="4" w:space="0" w:color="auto"/>
            </w:tcBorders>
            <w:shd w:val="clear" w:color="auto" w:fill="auto"/>
            <w:noWrap/>
            <w:vAlign w:val="bottom"/>
            <w:hideMark/>
          </w:tcPr>
          <w:p w:rsidR="00F342A5" w:rsidRPr="00F27618" w:rsidRDefault="00F342A5" w:rsidP="00F342A5">
            <w:pPr>
              <w:widowControl/>
              <w:jc w:val="center"/>
              <w:rPr>
                <w:rFonts w:ascii="Calibri" w:hAnsi="Calibri" w:cs="Arial"/>
                <w:snapToGrid/>
                <w:sz w:val="20"/>
              </w:rPr>
            </w:pPr>
          </w:p>
        </w:tc>
        <w:tc>
          <w:tcPr>
            <w:tcW w:w="1273" w:type="dxa"/>
            <w:tcBorders>
              <w:top w:val="single" w:sz="4" w:space="0" w:color="auto"/>
            </w:tcBorders>
            <w:shd w:val="clear" w:color="auto" w:fill="auto"/>
            <w:noWrap/>
            <w:vAlign w:val="bottom"/>
            <w:hideMark/>
          </w:tcPr>
          <w:p w:rsidR="00F342A5" w:rsidRPr="00F27618" w:rsidRDefault="00F342A5" w:rsidP="00F342A5">
            <w:pPr>
              <w:widowControl/>
              <w:jc w:val="center"/>
              <w:rPr>
                <w:rFonts w:ascii="Calibri" w:hAnsi="Calibri" w:cs="Arial"/>
                <w:snapToGrid/>
                <w:sz w:val="20"/>
              </w:rPr>
            </w:pPr>
          </w:p>
        </w:tc>
        <w:tc>
          <w:tcPr>
            <w:tcW w:w="1061" w:type="dxa"/>
            <w:tcBorders>
              <w:top w:val="single" w:sz="4" w:space="0" w:color="auto"/>
            </w:tcBorders>
            <w:shd w:val="clear" w:color="auto" w:fill="auto"/>
            <w:noWrap/>
            <w:vAlign w:val="bottom"/>
            <w:hideMark/>
          </w:tcPr>
          <w:p w:rsidR="00F342A5" w:rsidRPr="00F27618" w:rsidRDefault="00F342A5" w:rsidP="00F342A5">
            <w:pPr>
              <w:widowControl/>
              <w:jc w:val="center"/>
              <w:rPr>
                <w:rFonts w:ascii="Calibri" w:hAnsi="Calibri" w:cs="Arial"/>
                <w:i/>
                <w:snapToGrid/>
                <w:sz w:val="20"/>
              </w:rPr>
            </w:pPr>
            <w:r w:rsidRPr="00F27618">
              <w:rPr>
                <w:rFonts w:ascii="Calibri" w:hAnsi="Calibri" w:cs="Arial"/>
                <w:i/>
                <w:snapToGrid/>
                <w:sz w:val="20"/>
              </w:rPr>
              <w:t>Continued…</w:t>
            </w:r>
          </w:p>
        </w:tc>
      </w:tr>
    </w:tbl>
    <w:p w:rsidR="00F342A5" w:rsidRDefault="00F342A5"/>
    <w:p w:rsidR="00F342A5" w:rsidRDefault="00F342A5">
      <w:r>
        <w:br w:type="page"/>
      </w:r>
    </w:p>
    <w:tbl>
      <w:tblPr>
        <w:tblW w:w="5605" w:type="dxa"/>
        <w:jc w:val="center"/>
        <w:tblLook w:val="04A0"/>
      </w:tblPr>
      <w:tblGrid>
        <w:gridCol w:w="2121"/>
        <w:gridCol w:w="1150"/>
        <w:gridCol w:w="1273"/>
        <w:gridCol w:w="1061"/>
      </w:tblGrid>
      <w:tr w:rsidR="00F342A5" w:rsidRPr="00F27618" w:rsidTr="00F342A5">
        <w:trPr>
          <w:trHeight w:val="255"/>
          <w:jc w:val="center"/>
        </w:trPr>
        <w:tc>
          <w:tcPr>
            <w:tcW w:w="5605" w:type="dxa"/>
            <w:gridSpan w:val="4"/>
            <w:tcBorders>
              <w:bottom w:val="single" w:sz="4" w:space="0" w:color="auto"/>
            </w:tcBorders>
            <w:shd w:val="clear" w:color="auto" w:fill="auto"/>
            <w:noWrap/>
            <w:hideMark/>
          </w:tcPr>
          <w:p w:rsidR="00F342A5" w:rsidRPr="00F342A5" w:rsidRDefault="00F27618" w:rsidP="00F342A5">
            <w:pPr>
              <w:widowControl/>
              <w:rPr>
                <w:rFonts w:ascii="Calibri" w:hAnsi="Calibri" w:cs="Arial"/>
                <w:b/>
                <w:snapToGrid/>
                <w:sz w:val="20"/>
              </w:rPr>
            </w:pPr>
            <w:r w:rsidRPr="00F27618">
              <w:rPr>
                <w:rFonts w:ascii="Calibri" w:hAnsi="Calibri" w:cs="Arial"/>
                <w:b/>
                <w:snapToGrid/>
                <w:sz w:val="20"/>
              </w:rPr>
              <w:lastRenderedPageBreak/>
              <w:t>Table 2</w:t>
            </w:r>
            <w:r w:rsidR="00F342A5" w:rsidRPr="00F27618">
              <w:rPr>
                <w:rFonts w:ascii="Calibri" w:hAnsi="Calibri" w:cs="Arial"/>
                <w:b/>
                <w:snapToGrid/>
                <w:sz w:val="20"/>
              </w:rPr>
              <w:t xml:space="preserve">: Sample Demographics </w:t>
            </w:r>
            <w:r w:rsidR="00F342A5" w:rsidRPr="00F27618">
              <w:rPr>
                <w:rFonts w:ascii="Calibri" w:hAnsi="Calibri" w:cs="Arial"/>
                <w:b/>
                <w:i/>
                <w:snapToGrid/>
                <w:sz w:val="20"/>
              </w:rPr>
              <w:t>(continued…)</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u w:val="single"/>
              </w:rPr>
            </w:pPr>
            <w:r w:rsidRPr="00F27618">
              <w:rPr>
                <w:rFonts w:ascii="Calibri" w:hAnsi="Calibri" w:cs="Arial"/>
                <w:snapToGrid/>
                <w:sz w:val="20"/>
                <w:u w:val="single"/>
              </w:rPr>
              <w:t>Parameter</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u w:val="single"/>
              </w:rPr>
            </w:pPr>
            <w:r w:rsidRPr="00F27618">
              <w:rPr>
                <w:rFonts w:ascii="Calibri" w:hAnsi="Calibri" w:cs="Arial"/>
                <w:snapToGrid/>
                <w:sz w:val="20"/>
                <w:u w:val="single"/>
              </w:rPr>
              <w:t>Unweighted</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u w:val="single"/>
              </w:rPr>
            </w:pPr>
            <w:r w:rsidRPr="00F27618">
              <w:rPr>
                <w:rFonts w:ascii="Calibri" w:hAnsi="Calibri" w:cs="Arial"/>
                <w:snapToGrid/>
                <w:sz w:val="20"/>
                <w:u w:val="single"/>
              </w:rPr>
              <w:t>Weighted</w:t>
            </w:r>
          </w:p>
        </w:tc>
      </w:tr>
      <w:tr w:rsidR="00F342A5" w:rsidRPr="00F27618" w:rsidTr="00F342A5">
        <w:trPr>
          <w:trHeight w:val="255"/>
          <w:jc w:val="center"/>
        </w:trPr>
        <w:tc>
          <w:tcPr>
            <w:tcW w:w="2121" w:type="dxa"/>
            <w:shd w:val="clear" w:color="auto" w:fill="auto"/>
            <w:noWrap/>
            <w:vAlign w:val="bottom"/>
            <w:hideMark/>
          </w:tcPr>
          <w:p w:rsidR="00F342A5" w:rsidRPr="00F342A5" w:rsidRDefault="00F342A5" w:rsidP="00F27618">
            <w:pPr>
              <w:widowControl/>
              <w:jc w:val="right"/>
              <w:rPr>
                <w:rFonts w:ascii="Calibri" w:hAnsi="Calibri" w:cs="Arial"/>
                <w:snapToGrid/>
                <w:sz w:val="20"/>
                <w:u w:val="single"/>
              </w:rPr>
            </w:pPr>
            <w:r w:rsidRPr="00F342A5">
              <w:rPr>
                <w:rFonts w:ascii="Calibri" w:hAnsi="Calibri" w:cs="Arial"/>
                <w:snapToGrid/>
                <w:sz w:val="20"/>
                <w:u w:val="single"/>
              </w:rPr>
              <w:t># of adults in HH</w:t>
            </w:r>
          </w:p>
        </w:tc>
        <w:tc>
          <w:tcPr>
            <w:tcW w:w="1150" w:type="dxa"/>
            <w:shd w:val="clear" w:color="auto" w:fill="auto"/>
            <w:noWrap/>
            <w:vAlign w:val="bottom"/>
            <w:hideMark/>
          </w:tcPr>
          <w:p w:rsidR="00F342A5" w:rsidRPr="00F27618" w:rsidRDefault="00F342A5" w:rsidP="00F342A5">
            <w:pPr>
              <w:widowControl/>
              <w:jc w:val="center"/>
              <w:rPr>
                <w:rFonts w:ascii="Calibri" w:hAnsi="Calibri" w:cs="Arial"/>
                <w:snapToGrid/>
                <w:sz w:val="20"/>
              </w:rPr>
            </w:pPr>
          </w:p>
        </w:tc>
        <w:tc>
          <w:tcPr>
            <w:tcW w:w="1273" w:type="dxa"/>
            <w:shd w:val="clear" w:color="auto" w:fill="auto"/>
            <w:noWrap/>
            <w:vAlign w:val="bottom"/>
            <w:hideMark/>
          </w:tcPr>
          <w:p w:rsidR="00F342A5" w:rsidRPr="00F27618" w:rsidRDefault="00F342A5" w:rsidP="00F342A5">
            <w:pPr>
              <w:widowControl/>
              <w:jc w:val="center"/>
              <w:rPr>
                <w:rFonts w:ascii="Calibri" w:hAnsi="Calibri" w:cs="Arial"/>
                <w:snapToGrid/>
                <w:sz w:val="20"/>
              </w:rPr>
            </w:pPr>
          </w:p>
        </w:tc>
        <w:tc>
          <w:tcPr>
            <w:tcW w:w="1061" w:type="dxa"/>
            <w:shd w:val="clear" w:color="auto" w:fill="auto"/>
            <w:noWrap/>
            <w:vAlign w:val="bottom"/>
            <w:hideMark/>
          </w:tcPr>
          <w:p w:rsidR="00F342A5" w:rsidRPr="00F27618"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One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17.4%</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24.1%</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18.1%</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Two</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54.8%</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52.8%</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55.6%</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Three+</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27.8%</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23.2%</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26.3%</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u w:val="single"/>
              </w:rPr>
            </w:pPr>
            <w:r w:rsidRPr="00F342A5">
              <w:rPr>
                <w:rFonts w:ascii="Calibri" w:hAnsi="Calibri" w:cs="Arial"/>
                <w:snapToGrid/>
                <w:sz w:val="20"/>
                <w:u w:val="single"/>
              </w:rPr>
              <w:t>Employment Status</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Employed-FT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45.2%</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38.3%</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44.5%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Employed-PT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15.6%</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15.7%</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15.5%</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Employed-</w:t>
            </w:r>
            <w:proofErr w:type="spellStart"/>
            <w:r w:rsidRPr="00F342A5">
              <w:rPr>
                <w:rFonts w:ascii="Calibri" w:hAnsi="Calibri" w:cs="Arial"/>
                <w:snapToGrid/>
                <w:sz w:val="20"/>
              </w:rPr>
              <w:t>Undes</w:t>
            </w:r>
            <w:proofErr w:type="spellEnd"/>
            <w:r w:rsidRPr="00F342A5">
              <w:rPr>
                <w:rFonts w:ascii="Calibri" w:hAnsi="Calibri" w:cs="Arial"/>
                <w:snapToGrid/>
                <w:sz w:val="20"/>
              </w:rPr>
              <w:t>.</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missing</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3.5%</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3.2%</w:t>
            </w:r>
          </w:p>
        </w:tc>
      </w:tr>
      <w:tr w:rsidR="00F342A5" w:rsidRPr="00F342A5" w:rsidTr="00F342A5">
        <w:trPr>
          <w:trHeight w:val="255"/>
          <w:jc w:val="center"/>
        </w:trPr>
        <w:tc>
          <w:tcPr>
            <w:tcW w:w="2121" w:type="dxa"/>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Not employed</w:t>
            </w:r>
          </w:p>
        </w:tc>
        <w:tc>
          <w:tcPr>
            <w:tcW w:w="1150"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6.0%</w:t>
            </w:r>
          </w:p>
        </w:tc>
        <w:tc>
          <w:tcPr>
            <w:tcW w:w="1273"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18.4%</w:t>
            </w:r>
          </w:p>
        </w:tc>
        <w:tc>
          <w:tcPr>
            <w:tcW w:w="1061" w:type="dxa"/>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6.6%</w:t>
            </w:r>
          </w:p>
        </w:tc>
      </w:tr>
      <w:tr w:rsidR="00F342A5" w:rsidRPr="00F342A5" w:rsidTr="00F342A5">
        <w:trPr>
          <w:trHeight w:val="255"/>
          <w:jc w:val="center"/>
        </w:trPr>
        <w:tc>
          <w:tcPr>
            <w:tcW w:w="2121" w:type="dxa"/>
            <w:tcBorders>
              <w:bottom w:val="single" w:sz="4" w:space="0" w:color="auto"/>
            </w:tcBorders>
            <w:shd w:val="clear" w:color="auto" w:fill="auto"/>
            <w:noWrap/>
            <w:vAlign w:val="bottom"/>
            <w:hideMark/>
          </w:tcPr>
          <w:p w:rsidR="00F342A5" w:rsidRPr="00F342A5" w:rsidRDefault="00F342A5" w:rsidP="00F342A5">
            <w:pPr>
              <w:widowControl/>
              <w:jc w:val="right"/>
              <w:rPr>
                <w:rFonts w:ascii="Calibri" w:hAnsi="Calibri" w:cs="Arial"/>
                <w:snapToGrid/>
                <w:sz w:val="20"/>
              </w:rPr>
            </w:pPr>
            <w:r w:rsidRPr="00F342A5">
              <w:rPr>
                <w:rFonts w:ascii="Calibri" w:hAnsi="Calibri" w:cs="Arial"/>
                <w:snapToGrid/>
                <w:sz w:val="20"/>
              </w:rPr>
              <w:t>Not in labor force</w:t>
            </w:r>
          </w:p>
        </w:tc>
        <w:tc>
          <w:tcPr>
            <w:tcW w:w="1150"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33.2%</w:t>
            </w:r>
          </w:p>
        </w:tc>
        <w:tc>
          <w:tcPr>
            <w:tcW w:w="1273"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23.6%</w:t>
            </w:r>
          </w:p>
        </w:tc>
        <w:tc>
          <w:tcPr>
            <w:tcW w:w="1061" w:type="dxa"/>
            <w:tcBorders>
              <w:bottom w:val="single" w:sz="4" w:space="0" w:color="auto"/>
            </w:tcBorders>
            <w:shd w:val="clear" w:color="auto" w:fill="auto"/>
            <w:noWrap/>
            <w:vAlign w:val="bottom"/>
            <w:hideMark/>
          </w:tcPr>
          <w:p w:rsidR="00F342A5" w:rsidRPr="00F342A5" w:rsidRDefault="00F342A5" w:rsidP="00F342A5">
            <w:pPr>
              <w:widowControl/>
              <w:jc w:val="center"/>
              <w:rPr>
                <w:rFonts w:ascii="Calibri" w:hAnsi="Calibri" w:cs="Arial"/>
                <w:snapToGrid/>
                <w:sz w:val="20"/>
              </w:rPr>
            </w:pPr>
            <w:r w:rsidRPr="00F342A5">
              <w:rPr>
                <w:rFonts w:ascii="Calibri" w:hAnsi="Calibri" w:cs="Arial"/>
                <w:snapToGrid/>
                <w:sz w:val="20"/>
              </w:rPr>
              <w:t>29.7%</w:t>
            </w:r>
          </w:p>
        </w:tc>
      </w:tr>
    </w:tbl>
    <w:p w:rsidR="00E51DFD" w:rsidRPr="003569C0" w:rsidRDefault="00E51DFD">
      <w:pPr>
        <w:pStyle w:val="BodyofReport"/>
        <w:rPr>
          <w:highlight w:val="yellow"/>
        </w:rPr>
      </w:pPr>
    </w:p>
    <w:p w:rsidR="00E51DFD" w:rsidRPr="00F27618" w:rsidRDefault="00E51DFD">
      <w:pPr>
        <w:pStyle w:val="Heading1"/>
        <w:spacing w:line="480" w:lineRule="auto"/>
        <w:rPr>
          <w:rFonts w:ascii="Times New Roman" w:hAnsi="Times New Roman"/>
          <w:sz w:val="24"/>
        </w:rPr>
      </w:pPr>
      <w:r w:rsidRPr="00F27618">
        <w:rPr>
          <w:rFonts w:ascii="Times New Roman" w:hAnsi="Times New Roman"/>
          <w:sz w:val="24"/>
        </w:rPr>
        <w:t>Effects of Sample Design on Statistical Inference</w:t>
      </w:r>
    </w:p>
    <w:p w:rsidR="00E51DFD" w:rsidRPr="00F27618" w:rsidRDefault="00E51DFD">
      <w:pPr>
        <w:pStyle w:val="BodyofReport"/>
      </w:pPr>
      <w:r w:rsidRPr="00F27618">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r w:rsidRPr="00F27618">
        <w:rPr>
          <w:i/>
        </w:rPr>
        <w:t>deff</w:t>
      </w:r>
      <w:r w:rsidRPr="00F27618">
        <w:t xml:space="preserve"> represents the loss in statistical efficiency that results from a disproportionate sample design and systematic non-response. The total sample design effect for this survey is </w:t>
      </w:r>
      <w:r w:rsidR="00F27618" w:rsidRPr="00F27618">
        <w:t>1.46</w:t>
      </w:r>
      <w:r w:rsidRPr="00F27618">
        <w:t>.</w:t>
      </w:r>
    </w:p>
    <w:p w:rsidR="00E51DFD" w:rsidRPr="00F27618" w:rsidRDefault="00E51DFD">
      <w:pPr>
        <w:pStyle w:val="BodyofReport"/>
      </w:pPr>
      <w:r w:rsidRPr="00F27618">
        <w:t xml:space="preserve">PSRAI calculates the composite design effect for a sample of size </w:t>
      </w:r>
      <w:r w:rsidRPr="00F27618">
        <w:rPr>
          <w:i/>
        </w:rPr>
        <w:t>n</w:t>
      </w:r>
      <w:r w:rsidRPr="00F27618">
        <w:t xml:space="preserve">, with each case having a weight, </w:t>
      </w:r>
      <w:proofErr w:type="spellStart"/>
      <w:proofErr w:type="gramStart"/>
      <w:r w:rsidRPr="00F27618">
        <w:rPr>
          <w:i/>
        </w:rPr>
        <w:t>w</w:t>
      </w:r>
      <w:r w:rsidRPr="00F27618">
        <w:rPr>
          <w:i/>
          <w:vertAlign w:val="subscript"/>
        </w:rPr>
        <w:t>i</w:t>
      </w:r>
      <w:proofErr w:type="spellEnd"/>
      <w:proofErr w:type="gramEnd"/>
      <w:r w:rsidRPr="00F27618">
        <w:t xml:space="preserve"> as:</w:t>
      </w:r>
    </w:p>
    <w:p w:rsidR="00E51DFD" w:rsidRPr="00F27618" w:rsidRDefault="00E51DFD">
      <w:pPr>
        <w:pStyle w:val="BodyofReport"/>
      </w:pPr>
    </w:p>
    <w:p w:rsidR="00E51DFD" w:rsidRPr="00F27618" w:rsidRDefault="00F267F4">
      <w:pPr>
        <w:jc w:val="center"/>
      </w:pPr>
      <w:r w:rsidRPr="00F267F4">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7.9pt;margin-top:.1pt;width:91.8pt;height:70.7pt;z-index:251656192" fillcolor="window">
            <v:imagedata r:id="rId8" o:title=""/>
            <w10:wrap type="square"/>
          </v:shape>
          <o:OLEObject Type="Embed" ProgID="Equation.3" ShapeID="_x0000_s1030" DrawAspect="Content" ObjectID="_1378044624" r:id="rId9"/>
        </w:pict>
      </w:r>
    </w:p>
    <w:p w:rsidR="00E51DFD" w:rsidRPr="00F27618" w:rsidRDefault="00F267F4">
      <w:pPr>
        <w:pStyle w:val="BodyofReport"/>
      </w:pPr>
      <w:r w:rsidRPr="00F267F4">
        <w:rPr>
          <w:noProof/>
          <w:sz w:val="20"/>
        </w:rPr>
        <w:pict>
          <v:shapetype id="_x0000_t202" coordsize="21600,21600" o:spt="202" path="m,l,21600r21600,l21600,xe">
            <v:stroke joinstyle="miter"/>
            <v:path gradientshapeok="t" o:connecttype="rect"/>
          </v:shapetype>
          <v:shape id="_x0000_s1031" type="#_x0000_t202" style="position:absolute;left:0;text-align:left;margin-left:361.3pt;margin-top:8.95pt;width:75.95pt;height:26.4pt;z-index:251657216" stroked="f">
            <v:textbox>
              <w:txbxContent>
                <w:p w:rsidR="00B32240" w:rsidRDefault="00B32240">
                  <w:pPr>
                    <w:rPr>
                      <w:i/>
                      <w:iCs/>
                    </w:rPr>
                  </w:pPr>
                  <w:proofErr w:type="gramStart"/>
                  <w:r>
                    <w:rPr>
                      <w:i/>
                      <w:iCs/>
                    </w:rPr>
                    <w:t>formula</w:t>
                  </w:r>
                  <w:proofErr w:type="gramEnd"/>
                  <w:r>
                    <w:rPr>
                      <w:i/>
                      <w:iCs/>
                    </w:rPr>
                    <w:t xml:space="preserve"> 1</w:t>
                  </w:r>
                </w:p>
              </w:txbxContent>
            </v:textbox>
            <w10:wrap type="topAndBottom"/>
          </v:shape>
        </w:pict>
      </w:r>
    </w:p>
    <w:p w:rsidR="00E51DFD" w:rsidRPr="00F27618" w:rsidRDefault="00E51DFD">
      <w:pPr>
        <w:pStyle w:val="BodyofReport"/>
      </w:pPr>
    </w:p>
    <w:p w:rsidR="00E51DFD" w:rsidRPr="00F27618" w:rsidRDefault="00E51DFD">
      <w:pPr>
        <w:pStyle w:val="BodyofReport"/>
      </w:pPr>
    </w:p>
    <w:p w:rsidR="00E51DFD" w:rsidRPr="00F27618" w:rsidRDefault="00E51DFD">
      <w:pPr>
        <w:pStyle w:val="BodyofReport"/>
      </w:pPr>
    </w:p>
    <w:p w:rsidR="00E51DFD" w:rsidRPr="00F27618" w:rsidRDefault="00E51DFD">
      <w:pPr>
        <w:pStyle w:val="BodyofReport"/>
        <w:keepNext/>
        <w:widowControl w:val="0"/>
      </w:pPr>
      <w:r w:rsidRPr="00F27618">
        <w:t xml:space="preserve">In a wide range of situations, the adjusted </w:t>
      </w:r>
      <w:r w:rsidRPr="00F27618">
        <w:rPr>
          <w:i/>
          <w:iCs/>
        </w:rPr>
        <w:t>standard error</w:t>
      </w:r>
      <w:r w:rsidRPr="00F27618">
        <w:t xml:space="preserve"> of a statistic should be calculated by multiplying the usual formula by the square root of the design effect (√</w:t>
      </w:r>
      <w:r w:rsidRPr="00F27618">
        <w:rPr>
          <w:i/>
          <w:iCs/>
        </w:rPr>
        <w:t xml:space="preserve">deff </w:t>
      </w:r>
      <w:r w:rsidRPr="00F27618">
        <w:t>). Thus, the formula for computing the 95% confidence interval around a percentage is:</w:t>
      </w:r>
    </w:p>
    <w:p w:rsidR="00E51DFD" w:rsidRPr="003569C0" w:rsidRDefault="00F267F4">
      <w:pPr>
        <w:keepNext/>
        <w:rPr>
          <w:highlight w:val="yellow"/>
        </w:rPr>
      </w:pPr>
      <w:r w:rsidRPr="00F267F4">
        <w:rPr>
          <w:noProof/>
          <w:sz w:val="20"/>
          <w:highlight w:val="yellow"/>
        </w:rPr>
        <w:pict>
          <v:shape id="_x0000_s1032" type="#_x0000_t75" style="position:absolute;margin-left:156.7pt;margin-top:13.85pt;width:149.3pt;height:40.3pt;z-index:251658240" fillcolor="window">
            <v:imagedata r:id="rId10" o:title=""/>
            <w10:wrap type="square"/>
          </v:shape>
          <o:OLEObject Type="Embed" ProgID="Equation.3" ShapeID="_x0000_s1032" DrawAspect="Content" ObjectID="_1378044625" r:id="rId11"/>
        </w:pict>
      </w:r>
    </w:p>
    <w:p w:rsidR="00E51DFD" w:rsidRPr="003569C0" w:rsidRDefault="00F267F4">
      <w:pPr>
        <w:keepNext/>
        <w:ind w:firstLine="720"/>
        <w:jc w:val="center"/>
        <w:rPr>
          <w:highlight w:val="yellow"/>
        </w:rPr>
      </w:pPr>
      <w:r w:rsidRPr="00F267F4">
        <w:rPr>
          <w:noProof/>
          <w:sz w:val="20"/>
          <w:highlight w:val="yellow"/>
        </w:rPr>
        <w:pict>
          <v:shape id="_x0000_s1033" type="#_x0000_t202" style="position:absolute;left:0;text-align:left;margin-left:361.45pt;margin-top:4.3pt;width:76pt;height:26.4pt;z-index:251659264" stroked="f">
            <v:textbox>
              <w:txbxContent>
                <w:p w:rsidR="00B32240" w:rsidRDefault="00B32240">
                  <w:pPr>
                    <w:rPr>
                      <w:i/>
                      <w:iCs/>
                    </w:rPr>
                  </w:pPr>
                  <w:proofErr w:type="gramStart"/>
                  <w:r>
                    <w:rPr>
                      <w:i/>
                      <w:iCs/>
                    </w:rPr>
                    <w:t>formula</w:t>
                  </w:r>
                  <w:proofErr w:type="gramEnd"/>
                  <w:r>
                    <w:rPr>
                      <w:i/>
                      <w:iCs/>
                    </w:rPr>
                    <w:t xml:space="preserve"> 2</w:t>
                  </w:r>
                </w:p>
              </w:txbxContent>
            </v:textbox>
            <w10:wrap type="topAndBottom"/>
          </v:shape>
        </w:pict>
      </w:r>
    </w:p>
    <w:p w:rsidR="00E51DFD" w:rsidRPr="003569C0" w:rsidRDefault="00E51DFD">
      <w:pPr>
        <w:pStyle w:val="BodyofReport"/>
        <w:ind w:firstLine="0"/>
        <w:rPr>
          <w:highlight w:val="yellow"/>
        </w:rPr>
      </w:pPr>
    </w:p>
    <w:p w:rsidR="00E51DFD" w:rsidRPr="003569C0" w:rsidRDefault="00E51DFD">
      <w:pPr>
        <w:pStyle w:val="BodyofReport"/>
        <w:ind w:firstLine="0"/>
        <w:rPr>
          <w:highlight w:val="yellow"/>
        </w:rPr>
      </w:pPr>
    </w:p>
    <w:p w:rsidR="00E51DFD" w:rsidRPr="003569C0" w:rsidRDefault="00E51DFD">
      <w:pPr>
        <w:pStyle w:val="BodyofReport"/>
        <w:ind w:firstLine="0"/>
        <w:rPr>
          <w:highlight w:val="yellow"/>
        </w:rPr>
      </w:pPr>
    </w:p>
    <w:p w:rsidR="00E51DFD" w:rsidRPr="00F27618" w:rsidRDefault="00E51DFD">
      <w:pPr>
        <w:pStyle w:val="BodyofReport"/>
        <w:ind w:firstLine="0"/>
      </w:pPr>
      <w:r w:rsidRPr="00F27618">
        <w:lastRenderedPageBreak/>
        <w:t xml:space="preserve">where </w:t>
      </w:r>
      <w:r w:rsidRPr="00F27618">
        <w:rPr>
          <w:position w:val="-10"/>
        </w:rPr>
        <w:object w:dxaOrig="240" w:dyaOrig="320">
          <v:shape id="_x0000_i1027" type="#_x0000_t75" style="width:12pt;height:15.6pt" o:ole="" fillcolor="window">
            <v:imagedata r:id="rId12" o:title=""/>
          </v:shape>
          <o:OLEObject Type="Embed" ProgID="Equation.3" ShapeID="_x0000_i1027" DrawAspect="Content" ObjectID="_1378044623" r:id="rId13"/>
        </w:object>
      </w:r>
      <w:r w:rsidRPr="00F27618">
        <w:t xml:space="preserve"> is the sample estimate and </w:t>
      </w:r>
      <w:r w:rsidRPr="00F27618">
        <w:rPr>
          <w:i/>
        </w:rPr>
        <w:t>n</w:t>
      </w:r>
      <w:r w:rsidRPr="00F27618">
        <w:t xml:space="preserve"> is the unweighted number of sample cases in the group being considered.</w:t>
      </w:r>
    </w:p>
    <w:p w:rsidR="00DA521E" w:rsidRPr="00F27618" w:rsidRDefault="00E51DFD">
      <w:pPr>
        <w:pStyle w:val="BodyofReport"/>
        <w:ind w:firstLine="0"/>
      </w:pPr>
      <w:r w:rsidRPr="00F27618">
        <w:tab/>
        <w:t xml:space="preserve">The survey’s </w:t>
      </w:r>
      <w:r w:rsidRPr="00F27618">
        <w:rPr>
          <w:i/>
          <w:iCs/>
        </w:rPr>
        <w:t>margin of error</w:t>
      </w:r>
      <w:r w:rsidRPr="00F27618">
        <w:t xml:space="preserve"> is the largest 95% confidence interval for any estimated proportion based on the total sample— the one around 50%. For example, the margin of error for the entire sample is ±</w:t>
      </w:r>
      <w:r w:rsidR="00F27618" w:rsidRPr="00F27618">
        <w:t>2.2 percentage points</w:t>
      </w:r>
      <w:r w:rsidRPr="00F27618">
        <w:t xml:space="preserve">. This means that in 95 out </w:t>
      </w:r>
      <w:r w:rsidR="00B664F5">
        <w:t xml:space="preserve">of </w:t>
      </w:r>
      <w:r w:rsidRPr="00F27618">
        <w:t xml:space="preserve">every 100 samples drawn using the same methodology, estimated proportions based on the entire sample will be no more than </w:t>
      </w:r>
      <w:r w:rsidR="00AF6F6F" w:rsidRPr="00F27618">
        <w:t>2.</w:t>
      </w:r>
      <w:r w:rsidR="00F27618" w:rsidRPr="00F27618">
        <w:t>2</w:t>
      </w:r>
      <w:r w:rsidRPr="00F27618">
        <w:t xml:space="preserve"> percentage points away from their true values in the population. It is important to remember that sampling fluctuations are only one possible source of error in a survey estimate. Other sources, such as responde</w:t>
      </w:r>
      <w:r w:rsidR="00B664F5">
        <w:t>nt selection bias, question</w:t>
      </w:r>
      <w:r w:rsidRPr="00F27618">
        <w:t xml:space="preserve"> w</w:t>
      </w:r>
      <w:r w:rsidR="00B664F5">
        <w:t>ording and reporting inaccuracy</w:t>
      </w:r>
      <w:r w:rsidRPr="00F27618">
        <w:t xml:space="preserve"> may contribute additional error of greater or lesser magnitude. </w:t>
      </w:r>
      <w:r w:rsidR="00F27618">
        <w:t>Table 3</w:t>
      </w:r>
      <w:r w:rsidR="007600C8" w:rsidRPr="00F27618">
        <w:t xml:space="preserve"> shows design effects and margins of error for key subgroups</w:t>
      </w:r>
      <w:r w:rsidRPr="00F27618">
        <w:t>.</w:t>
      </w:r>
    </w:p>
    <w:p w:rsidR="00E51DFD" w:rsidRPr="003569C0" w:rsidRDefault="00E51DFD">
      <w:pPr>
        <w:pStyle w:val="BodyofReport"/>
        <w:ind w:firstLine="0"/>
        <w:rPr>
          <w:highlight w:val="yellow"/>
        </w:rPr>
      </w:pPr>
    </w:p>
    <w:tbl>
      <w:tblPr>
        <w:tblW w:w="8182" w:type="dxa"/>
        <w:jc w:val="center"/>
        <w:tblLook w:val="04A0"/>
      </w:tblPr>
      <w:tblGrid>
        <w:gridCol w:w="3030"/>
        <w:gridCol w:w="1086"/>
        <w:gridCol w:w="1199"/>
        <w:gridCol w:w="2867"/>
      </w:tblGrid>
      <w:tr w:rsidR="00910210" w:rsidRPr="00026786" w:rsidTr="00910210">
        <w:trPr>
          <w:trHeight w:val="300"/>
          <w:jc w:val="center"/>
        </w:trPr>
        <w:tc>
          <w:tcPr>
            <w:tcW w:w="8182" w:type="dxa"/>
            <w:gridSpan w:val="4"/>
            <w:tcBorders>
              <w:top w:val="nil"/>
              <w:left w:val="nil"/>
              <w:bottom w:val="single" w:sz="4" w:space="0" w:color="auto"/>
              <w:right w:val="nil"/>
            </w:tcBorders>
            <w:shd w:val="clear" w:color="auto" w:fill="auto"/>
            <w:noWrap/>
            <w:vAlign w:val="bottom"/>
          </w:tcPr>
          <w:p w:rsidR="00910210" w:rsidRPr="00026786" w:rsidRDefault="00F27618" w:rsidP="00910210">
            <w:pPr>
              <w:widowControl/>
              <w:rPr>
                <w:rFonts w:ascii="Calibri" w:hAnsi="Calibri"/>
                <w:b/>
                <w:bCs/>
                <w:snapToGrid/>
                <w:color w:val="000000"/>
                <w:sz w:val="22"/>
                <w:szCs w:val="22"/>
              </w:rPr>
            </w:pPr>
            <w:r w:rsidRPr="00026786">
              <w:rPr>
                <w:rFonts w:ascii="Calibri" w:hAnsi="Calibri"/>
                <w:b/>
                <w:bCs/>
                <w:snapToGrid/>
                <w:color w:val="000000"/>
                <w:sz w:val="22"/>
                <w:szCs w:val="22"/>
              </w:rPr>
              <w:t>Table 3</w:t>
            </w:r>
            <w:r w:rsidR="00910210" w:rsidRPr="00026786">
              <w:rPr>
                <w:rFonts w:ascii="Calibri" w:hAnsi="Calibri"/>
                <w:b/>
                <w:bCs/>
                <w:snapToGrid/>
                <w:color w:val="000000"/>
                <w:sz w:val="22"/>
                <w:szCs w:val="22"/>
              </w:rPr>
              <w:t>: Design Effects and Margins of Sampling Error</w:t>
            </w:r>
          </w:p>
        </w:tc>
      </w:tr>
      <w:tr w:rsidR="00910210" w:rsidRPr="00026786" w:rsidTr="00910210">
        <w:trPr>
          <w:trHeight w:val="300"/>
          <w:jc w:val="center"/>
        </w:trPr>
        <w:tc>
          <w:tcPr>
            <w:tcW w:w="3030" w:type="dxa"/>
            <w:tcBorders>
              <w:top w:val="nil"/>
              <w:left w:val="nil"/>
              <w:bottom w:val="single" w:sz="4" w:space="0" w:color="auto"/>
              <w:right w:val="nil"/>
            </w:tcBorders>
            <w:shd w:val="clear" w:color="auto" w:fill="auto"/>
            <w:noWrap/>
            <w:vAlign w:val="bottom"/>
          </w:tcPr>
          <w:p w:rsidR="00910210" w:rsidRPr="00026786" w:rsidRDefault="00910210" w:rsidP="00910210">
            <w:pPr>
              <w:widowControl/>
              <w:rPr>
                <w:rFonts w:ascii="Calibri" w:hAnsi="Calibri"/>
                <w:snapToGrid/>
                <w:color w:val="000000"/>
                <w:sz w:val="22"/>
                <w:szCs w:val="22"/>
              </w:rPr>
            </w:pPr>
            <w:r w:rsidRPr="00026786">
              <w:rPr>
                <w:rFonts w:ascii="Calibri" w:hAnsi="Calibri"/>
                <w:snapToGrid/>
                <w:color w:val="000000"/>
                <w:sz w:val="22"/>
                <w:szCs w:val="22"/>
              </w:rPr>
              <w:t> </w:t>
            </w:r>
          </w:p>
        </w:tc>
        <w:tc>
          <w:tcPr>
            <w:tcW w:w="1086" w:type="dxa"/>
            <w:tcBorders>
              <w:top w:val="nil"/>
              <w:left w:val="nil"/>
              <w:bottom w:val="single" w:sz="4" w:space="0" w:color="auto"/>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r w:rsidRPr="00026786">
              <w:rPr>
                <w:rFonts w:ascii="Calibri" w:hAnsi="Calibri"/>
                <w:snapToGrid/>
                <w:color w:val="000000"/>
                <w:sz w:val="22"/>
                <w:szCs w:val="22"/>
              </w:rPr>
              <w:t>Sample Size</w:t>
            </w:r>
          </w:p>
        </w:tc>
        <w:tc>
          <w:tcPr>
            <w:tcW w:w="1199" w:type="dxa"/>
            <w:tcBorders>
              <w:top w:val="nil"/>
              <w:left w:val="nil"/>
              <w:bottom w:val="single" w:sz="4" w:space="0" w:color="auto"/>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r w:rsidRPr="00026786">
              <w:rPr>
                <w:rFonts w:ascii="Calibri" w:hAnsi="Calibri"/>
                <w:snapToGrid/>
                <w:color w:val="000000"/>
                <w:sz w:val="22"/>
                <w:szCs w:val="22"/>
              </w:rPr>
              <w:t>Design Effect</w:t>
            </w:r>
          </w:p>
        </w:tc>
        <w:tc>
          <w:tcPr>
            <w:tcW w:w="2867" w:type="dxa"/>
            <w:tcBorders>
              <w:top w:val="nil"/>
              <w:left w:val="nil"/>
              <w:bottom w:val="single" w:sz="4" w:space="0" w:color="auto"/>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r w:rsidRPr="00026786">
              <w:rPr>
                <w:rFonts w:ascii="Calibri" w:hAnsi="Calibri"/>
                <w:snapToGrid/>
                <w:color w:val="000000"/>
                <w:sz w:val="22"/>
                <w:szCs w:val="22"/>
              </w:rPr>
              <w:t>Margin of Error</w:t>
            </w:r>
          </w:p>
        </w:tc>
      </w:tr>
      <w:tr w:rsidR="00910210" w:rsidRPr="00026786" w:rsidTr="00910210">
        <w:trPr>
          <w:trHeight w:val="300"/>
          <w:jc w:val="center"/>
        </w:trPr>
        <w:tc>
          <w:tcPr>
            <w:tcW w:w="3030" w:type="dxa"/>
            <w:tcBorders>
              <w:top w:val="nil"/>
              <w:left w:val="nil"/>
              <w:bottom w:val="nil"/>
              <w:right w:val="nil"/>
            </w:tcBorders>
            <w:shd w:val="clear" w:color="auto" w:fill="auto"/>
            <w:noWrap/>
            <w:vAlign w:val="bottom"/>
          </w:tcPr>
          <w:p w:rsidR="00910210" w:rsidRPr="00026786" w:rsidRDefault="00910210" w:rsidP="00910210">
            <w:pPr>
              <w:widowControl/>
              <w:rPr>
                <w:rFonts w:ascii="Calibri" w:hAnsi="Calibri"/>
                <w:snapToGrid/>
                <w:color w:val="000000"/>
                <w:sz w:val="22"/>
                <w:szCs w:val="22"/>
              </w:rPr>
            </w:pPr>
            <w:r w:rsidRPr="00026786">
              <w:rPr>
                <w:rFonts w:ascii="Calibri" w:hAnsi="Calibri"/>
                <w:snapToGrid/>
                <w:color w:val="000000"/>
                <w:sz w:val="22"/>
                <w:szCs w:val="22"/>
              </w:rPr>
              <w:t>Total Sample</w:t>
            </w:r>
          </w:p>
        </w:tc>
        <w:tc>
          <w:tcPr>
            <w:tcW w:w="1086"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2,967</w:t>
            </w:r>
          </w:p>
        </w:tc>
        <w:tc>
          <w:tcPr>
            <w:tcW w:w="1199"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1.46</w:t>
            </w:r>
          </w:p>
        </w:tc>
        <w:tc>
          <w:tcPr>
            <w:tcW w:w="2867"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2.2</w:t>
            </w:r>
            <w:r w:rsidR="00910210" w:rsidRPr="00026786">
              <w:rPr>
                <w:rFonts w:ascii="Calibri" w:hAnsi="Calibri"/>
                <w:snapToGrid/>
                <w:color w:val="000000"/>
                <w:sz w:val="22"/>
                <w:szCs w:val="22"/>
              </w:rPr>
              <w:t xml:space="preserve"> percentage points</w:t>
            </w:r>
          </w:p>
        </w:tc>
      </w:tr>
      <w:tr w:rsidR="00910210" w:rsidRPr="00026786" w:rsidTr="00910210">
        <w:trPr>
          <w:trHeight w:val="300"/>
          <w:jc w:val="center"/>
        </w:trPr>
        <w:tc>
          <w:tcPr>
            <w:tcW w:w="3030" w:type="dxa"/>
            <w:tcBorders>
              <w:top w:val="nil"/>
              <w:left w:val="nil"/>
              <w:bottom w:val="nil"/>
              <w:right w:val="nil"/>
            </w:tcBorders>
            <w:shd w:val="clear" w:color="auto" w:fill="auto"/>
            <w:noWrap/>
            <w:vAlign w:val="bottom"/>
          </w:tcPr>
          <w:p w:rsidR="00910210" w:rsidRPr="00026786" w:rsidRDefault="00910210" w:rsidP="00910210">
            <w:pPr>
              <w:widowControl/>
              <w:rPr>
                <w:rFonts w:ascii="Calibri" w:hAnsi="Calibri"/>
                <w:snapToGrid/>
                <w:color w:val="000000"/>
                <w:sz w:val="22"/>
                <w:szCs w:val="22"/>
              </w:rPr>
            </w:pPr>
          </w:p>
        </w:tc>
        <w:tc>
          <w:tcPr>
            <w:tcW w:w="1086" w:type="dxa"/>
            <w:tcBorders>
              <w:top w:val="nil"/>
              <w:left w:val="nil"/>
              <w:bottom w:val="nil"/>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p>
        </w:tc>
        <w:tc>
          <w:tcPr>
            <w:tcW w:w="1199" w:type="dxa"/>
            <w:tcBorders>
              <w:top w:val="nil"/>
              <w:left w:val="nil"/>
              <w:bottom w:val="nil"/>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p>
        </w:tc>
        <w:tc>
          <w:tcPr>
            <w:tcW w:w="2867" w:type="dxa"/>
            <w:tcBorders>
              <w:top w:val="nil"/>
              <w:left w:val="nil"/>
              <w:bottom w:val="nil"/>
              <w:right w:val="nil"/>
            </w:tcBorders>
            <w:shd w:val="clear" w:color="auto" w:fill="auto"/>
            <w:noWrap/>
            <w:vAlign w:val="bottom"/>
          </w:tcPr>
          <w:p w:rsidR="00910210" w:rsidRPr="00026786" w:rsidRDefault="00910210" w:rsidP="00910210">
            <w:pPr>
              <w:widowControl/>
              <w:jc w:val="center"/>
              <w:rPr>
                <w:rFonts w:ascii="Calibri" w:hAnsi="Calibri"/>
                <w:snapToGrid/>
                <w:color w:val="000000"/>
                <w:sz w:val="22"/>
                <w:szCs w:val="22"/>
              </w:rPr>
            </w:pPr>
          </w:p>
        </w:tc>
      </w:tr>
      <w:tr w:rsidR="00F27618" w:rsidRPr="00026786" w:rsidTr="00910210">
        <w:trPr>
          <w:trHeight w:val="300"/>
          <w:jc w:val="center"/>
        </w:trPr>
        <w:tc>
          <w:tcPr>
            <w:tcW w:w="3030" w:type="dxa"/>
            <w:tcBorders>
              <w:top w:val="nil"/>
              <w:left w:val="nil"/>
              <w:bottom w:val="nil"/>
              <w:right w:val="nil"/>
            </w:tcBorders>
            <w:shd w:val="clear" w:color="auto" w:fill="auto"/>
            <w:noWrap/>
            <w:vAlign w:val="bottom"/>
          </w:tcPr>
          <w:p w:rsidR="00F27618" w:rsidRPr="00026786" w:rsidRDefault="00F27618" w:rsidP="00910210">
            <w:pPr>
              <w:widowControl/>
              <w:rPr>
                <w:rFonts w:ascii="Calibri" w:hAnsi="Calibri"/>
                <w:snapToGrid/>
                <w:color w:val="000000"/>
                <w:sz w:val="22"/>
                <w:szCs w:val="22"/>
              </w:rPr>
            </w:pPr>
            <w:r w:rsidRPr="00026786">
              <w:rPr>
                <w:rFonts w:ascii="Calibri" w:hAnsi="Calibri"/>
                <w:snapToGrid/>
                <w:color w:val="000000"/>
                <w:sz w:val="22"/>
                <w:szCs w:val="22"/>
              </w:rPr>
              <w:t>Form 1</w:t>
            </w:r>
          </w:p>
        </w:tc>
        <w:tc>
          <w:tcPr>
            <w:tcW w:w="1086"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1,484</w:t>
            </w:r>
          </w:p>
        </w:tc>
        <w:tc>
          <w:tcPr>
            <w:tcW w:w="1199"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1.43</w:t>
            </w:r>
          </w:p>
        </w:tc>
        <w:tc>
          <w:tcPr>
            <w:tcW w:w="2867"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3.0</w:t>
            </w:r>
            <w:r w:rsidR="00F27618" w:rsidRPr="00026786">
              <w:rPr>
                <w:rFonts w:ascii="Calibri" w:hAnsi="Calibri"/>
                <w:snapToGrid/>
                <w:color w:val="000000"/>
                <w:sz w:val="22"/>
                <w:szCs w:val="22"/>
              </w:rPr>
              <w:t xml:space="preserve"> percentage points</w:t>
            </w:r>
          </w:p>
        </w:tc>
      </w:tr>
      <w:tr w:rsidR="00F27618" w:rsidRPr="00026786" w:rsidTr="00910210">
        <w:trPr>
          <w:trHeight w:val="300"/>
          <w:jc w:val="center"/>
        </w:trPr>
        <w:tc>
          <w:tcPr>
            <w:tcW w:w="3030" w:type="dxa"/>
            <w:tcBorders>
              <w:top w:val="nil"/>
              <w:left w:val="nil"/>
              <w:bottom w:val="nil"/>
              <w:right w:val="nil"/>
            </w:tcBorders>
            <w:shd w:val="clear" w:color="auto" w:fill="auto"/>
            <w:noWrap/>
            <w:vAlign w:val="bottom"/>
          </w:tcPr>
          <w:p w:rsidR="00F27618" w:rsidRPr="00026786" w:rsidRDefault="00F27618" w:rsidP="00910210">
            <w:pPr>
              <w:widowControl/>
              <w:rPr>
                <w:rFonts w:ascii="Calibri" w:hAnsi="Calibri"/>
                <w:snapToGrid/>
                <w:color w:val="000000"/>
                <w:sz w:val="22"/>
                <w:szCs w:val="22"/>
              </w:rPr>
            </w:pPr>
            <w:r w:rsidRPr="00026786">
              <w:rPr>
                <w:rFonts w:ascii="Calibri" w:hAnsi="Calibri"/>
                <w:snapToGrid/>
                <w:color w:val="000000"/>
                <w:sz w:val="22"/>
                <w:szCs w:val="22"/>
              </w:rPr>
              <w:t>Form 2</w:t>
            </w:r>
          </w:p>
        </w:tc>
        <w:tc>
          <w:tcPr>
            <w:tcW w:w="1086"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1,483</w:t>
            </w:r>
          </w:p>
        </w:tc>
        <w:tc>
          <w:tcPr>
            <w:tcW w:w="1199"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1.49</w:t>
            </w:r>
          </w:p>
        </w:tc>
        <w:tc>
          <w:tcPr>
            <w:tcW w:w="2867" w:type="dxa"/>
            <w:tcBorders>
              <w:top w:val="nil"/>
              <w:left w:val="nil"/>
              <w:bottom w:val="nil"/>
              <w:right w:val="nil"/>
            </w:tcBorders>
            <w:shd w:val="clear" w:color="auto" w:fill="auto"/>
            <w:noWrap/>
            <w:vAlign w:val="bottom"/>
          </w:tcPr>
          <w:p w:rsidR="00F27618"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3.1</w:t>
            </w:r>
            <w:r w:rsidR="00F27618" w:rsidRPr="00026786">
              <w:rPr>
                <w:rFonts w:ascii="Calibri" w:hAnsi="Calibri"/>
                <w:snapToGrid/>
                <w:color w:val="000000"/>
                <w:sz w:val="22"/>
                <w:szCs w:val="22"/>
              </w:rPr>
              <w:t xml:space="preserve"> percentage points</w:t>
            </w:r>
          </w:p>
        </w:tc>
      </w:tr>
      <w:tr w:rsidR="00F27618" w:rsidRPr="00026786" w:rsidTr="00910210">
        <w:trPr>
          <w:trHeight w:val="300"/>
          <w:jc w:val="center"/>
        </w:trPr>
        <w:tc>
          <w:tcPr>
            <w:tcW w:w="3030" w:type="dxa"/>
            <w:tcBorders>
              <w:top w:val="nil"/>
              <w:left w:val="nil"/>
              <w:bottom w:val="nil"/>
              <w:right w:val="nil"/>
            </w:tcBorders>
            <w:shd w:val="clear" w:color="auto" w:fill="auto"/>
            <w:noWrap/>
            <w:vAlign w:val="bottom"/>
          </w:tcPr>
          <w:p w:rsidR="00F27618" w:rsidRPr="00026786" w:rsidRDefault="00F27618" w:rsidP="00910210">
            <w:pPr>
              <w:widowControl/>
              <w:rPr>
                <w:rFonts w:ascii="Calibri" w:hAnsi="Calibri"/>
                <w:snapToGrid/>
                <w:color w:val="000000"/>
                <w:sz w:val="22"/>
                <w:szCs w:val="22"/>
              </w:rPr>
            </w:pPr>
          </w:p>
        </w:tc>
        <w:tc>
          <w:tcPr>
            <w:tcW w:w="1086" w:type="dxa"/>
            <w:tcBorders>
              <w:top w:val="nil"/>
              <w:left w:val="nil"/>
              <w:bottom w:val="nil"/>
              <w:right w:val="nil"/>
            </w:tcBorders>
            <w:shd w:val="clear" w:color="auto" w:fill="auto"/>
            <w:noWrap/>
            <w:vAlign w:val="bottom"/>
          </w:tcPr>
          <w:p w:rsidR="00F27618" w:rsidRPr="00026786" w:rsidRDefault="00F27618" w:rsidP="00910210">
            <w:pPr>
              <w:widowControl/>
              <w:jc w:val="center"/>
              <w:rPr>
                <w:rFonts w:ascii="Calibri" w:hAnsi="Calibri"/>
                <w:snapToGrid/>
                <w:color w:val="000000"/>
                <w:sz w:val="22"/>
                <w:szCs w:val="22"/>
              </w:rPr>
            </w:pPr>
          </w:p>
        </w:tc>
        <w:tc>
          <w:tcPr>
            <w:tcW w:w="1199" w:type="dxa"/>
            <w:tcBorders>
              <w:top w:val="nil"/>
              <w:left w:val="nil"/>
              <w:bottom w:val="nil"/>
              <w:right w:val="nil"/>
            </w:tcBorders>
            <w:shd w:val="clear" w:color="auto" w:fill="auto"/>
            <w:noWrap/>
            <w:vAlign w:val="bottom"/>
          </w:tcPr>
          <w:p w:rsidR="00F27618" w:rsidRPr="00026786" w:rsidRDefault="00F27618" w:rsidP="00910210">
            <w:pPr>
              <w:widowControl/>
              <w:jc w:val="center"/>
              <w:rPr>
                <w:rFonts w:ascii="Calibri" w:hAnsi="Calibri"/>
                <w:snapToGrid/>
                <w:color w:val="000000"/>
                <w:sz w:val="22"/>
                <w:szCs w:val="22"/>
              </w:rPr>
            </w:pPr>
          </w:p>
        </w:tc>
        <w:tc>
          <w:tcPr>
            <w:tcW w:w="2867" w:type="dxa"/>
            <w:tcBorders>
              <w:top w:val="nil"/>
              <w:left w:val="nil"/>
              <w:bottom w:val="nil"/>
              <w:right w:val="nil"/>
            </w:tcBorders>
            <w:shd w:val="clear" w:color="auto" w:fill="auto"/>
            <w:noWrap/>
            <w:vAlign w:val="bottom"/>
          </w:tcPr>
          <w:p w:rsidR="00F27618" w:rsidRPr="00026786" w:rsidRDefault="00F27618" w:rsidP="00910210">
            <w:pPr>
              <w:widowControl/>
              <w:jc w:val="center"/>
              <w:rPr>
                <w:rFonts w:ascii="Calibri" w:hAnsi="Calibri"/>
                <w:snapToGrid/>
                <w:color w:val="000000"/>
                <w:sz w:val="22"/>
                <w:szCs w:val="22"/>
              </w:rPr>
            </w:pPr>
          </w:p>
        </w:tc>
      </w:tr>
      <w:tr w:rsidR="00910210" w:rsidRPr="00026786" w:rsidTr="00910210">
        <w:trPr>
          <w:trHeight w:val="300"/>
          <w:jc w:val="center"/>
        </w:trPr>
        <w:tc>
          <w:tcPr>
            <w:tcW w:w="3030" w:type="dxa"/>
            <w:tcBorders>
              <w:top w:val="nil"/>
              <w:left w:val="nil"/>
              <w:bottom w:val="nil"/>
              <w:right w:val="nil"/>
            </w:tcBorders>
            <w:shd w:val="clear" w:color="auto" w:fill="auto"/>
            <w:noWrap/>
            <w:vAlign w:val="bottom"/>
          </w:tcPr>
          <w:p w:rsidR="00910210" w:rsidRPr="00026786" w:rsidRDefault="00F27618" w:rsidP="00910210">
            <w:pPr>
              <w:widowControl/>
              <w:rPr>
                <w:rFonts w:ascii="Calibri" w:hAnsi="Calibri"/>
                <w:snapToGrid/>
                <w:color w:val="000000"/>
                <w:sz w:val="22"/>
                <w:szCs w:val="22"/>
              </w:rPr>
            </w:pPr>
            <w:r w:rsidRPr="00026786">
              <w:rPr>
                <w:rFonts w:ascii="Calibri" w:hAnsi="Calibri"/>
                <w:snapToGrid/>
                <w:color w:val="000000"/>
                <w:sz w:val="22"/>
                <w:szCs w:val="22"/>
              </w:rPr>
              <w:t>UEA</w:t>
            </w:r>
          </w:p>
        </w:tc>
        <w:tc>
          <w:tcPr>
            <w:tcW w:w="1086"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753</w:t>
            </w:r>
          </w:p>
        </w:tc>
        <w:tc>
          <w:tcPr>
            <w:tcW w:w="1199"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1.51</w:t>
            </w:r>
          </w:p>
        </w:tc>
        <w:tc>
          <w:tcPr>
            <w:tcW w:w="2867" w:type="dxa"/>
            <w:tcBorders>
              <w:top w:val="nil"/>
              <w:left w:val="nil"/>
              <w:bottom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4.4</w:t>
            </w:r>
            <w:r w:rsidR="00910210" w:rsidRPr="00026786">
              <w:rPr>
                <w:rFonts w:ascii="Calibri" w:hAnsi="Calibri"/>
                <w:snapToGrid/>
                <w:color w:val="000000"/>
                <w:sz w:val="22"/>
                <w:szCs w:val="22"/>
              </w:rPr>
              <w:t xml:space="preserve"> percentage points</w:t>
            </w:r>
          </w:p>
        </w:tc>
      </w:tr>
      <w:tr w:rsidR="00910210" w:rsidRPr="00026786" w:rsidTr="00B664F5">
        <w:trPr>
          <w:trHeight w:val="300"/>
          <w:jc w:val="center"/>
        </w:trPr>
        <w:tc>
          <w:tcPr>
            <w:tcW w:w="3030" w:type="dxa"/>
            <w:tcBorders>
              <w:top w:val="nil"/>
              <w:left w:val="nil"/>
              <w:right w:val="nil"/>
            </w:tcBorders>
            <w:shd w:val="clear" w:color="auto" w:fill="auto"/>
            <w:noWrap/>
            <w:vAlign w:val="bottom"/>
          </w:tcPr>
          <w:p w:rsidR="00910210" w:rsidRPr="00026786" w:rsidRDefault="00F27618" w:rsidP="00910210">
            <w:pPr>
              <w:widowControl/>
              <w:rPr>
                <w:rFonts w:ascii="Calibri" w:hAnsi="Calibri"/>
                <w:snapToGrid/>
                <w:color w:val="000000"/>
                <w:sz w:val="22"/>
                <w:szCs w:val="22"/>
              </w:rPr>
            </w:pPr>
            <w:r w:rsidRPr="00026786">
              <w:rPr>
                <w:rFonts w:ascii="Calibri" w:hAnsi="Calibri"/>
                <w:snapToGrid/>
                <w:color w:val="000000"/>
                <w:sz w:val="22"/>
                <w:szCs w:val="22"/>
              </w:rPr>
              <w:t>PTE</w:t>
            </w:r>
          </w:p>
        </w:tc>
        <w:tc>
          <w:tcPr>
            <w:tcW w:w="1086" w:type="dxa"/>
            <w:tcBorders>
              <w:top w:val="nil"/>
              <w:left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180</w:t>
            </w:r>
          </w:p>
        </w:tc>
        <w:tc>
          <w:tcPr>
            <w:tcW w:w="1199" w:type="dxa"/>
            <w:tcBorders>
              <w:top w:val="nil"/>
              <w:left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1.25</w:t>
            </w:r>
          </w:p>
        </w:tc>
        <w:tc>
          <w:tcPr>
            <w:tcW w:w="2867" w:type="dxa"/>
            <w:tcBorders>
              <w:top w:val="nil"/>
              <w:left w:val="nil"/>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8.2</w:t>
            </w:r>
            <w:r w:rsidR="00910210" w:rsidRPr="00026786">
              <w:rPr>
                <w:rFonts w:ascii="Calibri" w:hAnsi="Calibri"/>
                <w:snapToGrid/>
                <w:color w:val="000000"/>
                <w:sz w:val="22"/>
                <w:szCs w:val="22"/>
              </w:rPr>
              <w:t xml:space="preserve"> percentage points</w:t>
            </w:r>
          </w:p>
        </w:tc>
      </w:tr>
      <w:tr w:rsidR="00910210" w:rsidRPr="00026786" w:rsidTr="00B664F5">
        <w:trPr>
          <w:trHeight w:val="300"/>
          <w:jc w:val="center"/>
        </w:trPr>
        <w:tc>
          <w:tcPr>
            <w:tcW w:w="3030" w:type="dxa"/>
            <w:tcBorders>
              <w:top w:val="nil"/>
              <w:left w:val="nil"/>
              <w:bottom w:val="single" w:sz="4" w:space="0" w:color="auto"/>
              <w:right w:val="nil"/>
            </w:tcBorders>
            <w:shd w:val="clear" w:color="auto" w:fill="auto"/>
            <w:noWrap/>
            <w:vAlign w:val="bottom"/>
          </w:tcPr>
          <w:p w:rsidR="00910210" w:rsidRPr="00026786" w:rsidRDefault="00F27618" w:rsidP="00910210">
            <w:pPr>
              <w:widowControl/>
              <w:rPr>
                <w:rFonts w:ascii="Calibri" w:hAnsi="Calibri"/>
                <w:snapToGrid/>
                <w:color w:val="000000"/>
                <w:sz w:val="22"/>
                <w:szCs w:val="22"/>
              </w:rPr>
            </w:pPr>
            <w:r w:rsidRPr="00026786">
              <w:rPr>
                <w:rFonts w:ascii="Calibri" w:hAnsi="Calibri"/>
                <w:snapToGrid/>
                <w:color w:val="000000"/>
                <w:sz w:val="22"/>
                <w:szCs w:val="22"/>
              </w:rPr>
              <w:t>CWU</w:t>
            </w:r>
            <w:r w:rsidR="00B664F5" w:rsidRPr="00B664F5">
              <w:rPr>
                <w:rFonts w:ascii="Calibri" w:hAnsi="Calibri"/>
                <w:snapToGrid/>
                <w:color w:val="000000"/>
                <w:sz w:val="22"/>
                <w:szCs w:val="22"/>
                <w:vertAlign w:val="subscript"/>
              </w:rPr>
              <w:t>1</w:t>
            </w:r>
          </w:p>
        </w:tc>
        <w:tc>
          <w:tcPr>
            <w:tcW w:w="1086" w:type="dxa"/>
            <w:tcBorders>
              <w:top w:val="nil"/>
              <w:left w:val="nil"/>
              <w:bottom w:val="single" w:sz="4" w:space="0" w:color="auto"/>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264</w:t>
            </w:r>
          </w:p>
        </w:tc>
        <w:tc>
          <w:tcPr>
            <w:tcW w:w="1199" w:type="dxa"/>
            <w:tcBorders>
              <w:top w:val="nil"/>
              <w:left w:val="nil"/>
              <w:bottom w:val="single" w:sz="4" w:space="0" w:color="auto"/>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1.24</w:t>
            </w:r>
          </w:p>
        </w:tc>
        <w:tc>
          <w:tcPr>
            <w:tcW w:w="2867" w:type="dxa"/>
            <w:tcBorders>
              <w:top w:val="nil"/>
              <w:left w:val="nil"/>
              <w:bottom w:val="single" w:sz="4" w:space="0" w:color="auto"/>
              <w:right w:val="nil"/>
            </w:tcBorders>
            <w:shd w:val="clear" w:color="auto" w:fill="auto"/>
            <w:noWrap/>
            <w:vAlign w:val="bottom"/>
          </w:tcPr>
          <w:p w:rsidR="00910210" w:rsidRPr="00026786" w:rsidRDefault="00026786" w:rsidP="00910210">
            <w:pPr>
              <w:widowControl/>
              <w:jc w:val="center"/>
              <w:rPr>
                <w:rFonts w:ascii="Calibri" w:hAnsi="Calibri"/>
                <w:snapToGrid/>
                <w:color w:val="000000"/>
                <w:sz w:val="22"/>
                <w:szCs w:val="22"/>
              </w:rPr>
            </w:pPr>
            <w:r w:rsidRPr="00026786">
              <w:rPr>
                <w:rFonts w:ascii="Calibri" w:hAnsi="Calibri"/>
                <w:snapToGrid/>
                <w:color w:val="000000"/>
                <w:sz w:val="22"/>
                <w:szCs w:val="22"/>
              </w:rPr>
              <w:t>6.7</w:t>
            </w:r>
            <w:r w:rsidR="00910210" w:rsidRPr="00026786">
              <w:rPr>
                <w:rFonts w:ascii="Calibri" w:hAnsi="Calibri"/>
                <w:snapToGrid/>
                <w:color w:val="000000"/>
                <w:sz w:val="22"/>
                <w:szCs w:val="22"/>
              </w:rPr>
              <w:t xml:space="preserve"> percentage points</w:t>
            </w:r>
          </w:p>
        </w:tc>
      </w:tr>
      <w:tr w:rsidR="00B664F5" w:rsidRPr="00026786" w:rsidTr="00B664F5">
        <w:trPr>
          <w:trHeight w:val="300"/>
          <w:jc w:val="center"/>
        </w:trPr>
        <w:tc>
          <w:tcPr>
            <w:tcW w:w="8182" w:type="dxa"/>
            <w:gridSpan w:val="4"/>
            <w:tcBorders>
              <w:top w:val="single" w:sz="4" w:space="0" w:color="auto"/>
              <w:left w:val="nil"/>
              <w:right w:val="nil"/>
            </w:tcBorders>
            <w:shd w:val="clear" w:color="auto" w:fill="auto"/>
            <w:noWrap/>
          </w:tcPr>
          <w:p w:rsidR="00B664F5" w:rsidRPr="00026786" w:rsidRDefault="00B664F5" w:rsidP="00B664F5">
            <w:pPr>
              <w:widowControl/>
              <w:rPr>
                <w:rFonts w:ascii="Calibri" w:hAnsi="Calibri"/>
                <w:snapToGrid/>
                <w:color w:val="000000"/>
                <w:sz w:val="22"/>
                <w:szCs w:val="22"/>
              </w:rPr>
            </w:pPr>
            <w:r w:rsidRPr="00B664F5">
              <w:rPr>
                <w:rFonts w:ascii="Calibri" w:hAnsi="Calibri"/>
                <w:snapToGrid/>
                <w:color w:val="000000"/>
                <w:sz w:val="22"/>
                <w:szCs w:val="22"/>
                <w:vertAlign w:val="superscript"/>
              </w:rPr>
              <w:t>1</w:t>
            </w:r>
            <w:r>
              <w:rPr>
                <w:rFonts w:ascii="Calibri" w:hAnsi="Calibri"/>
                <w:snapToGrid/>
                <w:color w:val="000000"/>
                <w:sz w:val="22"/>
                <w:szCs w:val="22"/>
              </w:rPr>
              <w:t xml:space="preserve"> Currently Working but Unemployed at some point since the recession started.</w:t>
            </w:r>
          </w:p>
        </w:tc>
      </w:tr>
    </w:tbl>
    <w:p w:rsidR="00910210" w:rsidRPr="003569C0" w:rsidRDefault="00910210">
      <w:pPr>
        <w:pStyle w:val="BodyofReport"/>
        <w:ind w:firstLine="0"/>
        <w:rPr>
          <w:highlight w:val="yellow"/>
        </w:rPr>
      </w:pPr>
    </w:p>
    <w:p w:rsidR="00E51DFD" w:rsidRPr="00B32240" w:rsidRDefault="00B32240">
      <w:pPr>
        <w:pStyle w:val="Heading1"/>
        <w:rPr>
          <w:rFonts w:ascii="Times New Roman" w:hAnsi="Times New Roman"/>
          <w:caps/>
          <w:sz w:val="24"/>
        </w:rPr>
      </w:pPr>
      <w:r>
        <w:rPr>
          <w:rFonts w:ascii="Times New Roman" w:hAnsi="Times New Roman"/>
          <w:caps/>
          <w:sz w:val="24"/>
          <w:highlight w:val="yellow"/>
        </w:rPr>
        <w:br w:type="page"/>
      </w:r>
      <w:r w:rsidR="00E51DFD" w:rsidRPr="00B32240">
        <w:rPr>
          <w:rFonts w:ascii="Times New Roman" w:hAnsi="Times New Roman"/>
          <w:caps/>
          <w:sz w:val="24"/>
        </w:rPr>
        <w:lastRenderedPageBreak/>
        <w:t>Response Rate</w:t>
      </w:r>
    </w:p>
    <w:p w:rsidR="00E51DFD" w:rsidRPr="00B32240" w:rsidRDefault="00E51DFD"/>
    <w:p w:rsidR="00E51DFD" w:rsidRPr="00B32240" w:rsidRDefault="00EF4E13">
      <w:pPr>
        <w:pStyle w:val="BodyofReport"/>
      </w:pPr>
      <w:r w:rsidRPr="00B32240">
        <w:t>Table</w:t>
      </w:r>
      <w:r w:rsidR="00B32240" w:rsidRPr="00B32240">
        <w:t xml:space="preserve"> 4</w:t>
      </w:r>
      <w:r w:rsidR="001F3A26" w:rsidRPr="00B32240">
        <w:t xml:space="preserve"> report</w:t>
      </w:r>
      <w:r w:rsidR="004801BB" w:rsidRPr="00B32240">
        <w:t>s</w:t>
      </w:r>
      <w:r w:rsidR="00E51DFD" w:rsidRPr="00B32240">
        <w:t xml:space="preserve"> the disposition of all sampled telephone numbers ever dialed from the original telephone number sample</w:t>
      </w:r>
      <w:r w:rsidR="001F3A26" w:rsidRPr="00B32240">
        <w:t>s</w:t>
      </w:r>
      <w:r w:rsidR="00E51DFD" w:rsidRPr="00B32240">
        <w:t xml:space="preserve">. The response rate estimates the fraction of all eligible </w:t>
      </w:r>
      <w:r w:rsidR="00C95C3A" w:rsidRPr="00B32240">
        <w:t>sample that was</w:t>
      </w:r>
      <w:r w:rsidR="00E51DFD" w:rsidRPr="00B32240">
        <w:t xml:space="preserve"> ultimately interviewed. At PSRAI it is calculated by taking the product of three component rates:</w:t>
      </w:r>
      <w:r w:rsidR="00E51DFD" w:rsidRPr="00B32240">
        <w:rPr>
          <w:rStyle w:val="FootnoteReference"/>
        </w:rPr>
        <w:footnoteReference w:id="2"/>
      </w:r>
    </w:p>
    <w:p w:rsidR="00E51DFD" w:rsidRPr="00B32240" w:rsidRDefault="00E51DFD">
      <w:pPr>
        <w:pStyle w:val="BodyofReport"/>
        <w:numPr>
          <w:ilvl w:val="0"/>
          <w:numId w:val="1"/>
        </w:numPr>
        <w:spacing w:line="360" w:lineRule="auto"/>
      </w:pPr>
      <w:r w:rsidRPr="00B32240">
        <w:t>Contact rate – the proportion of working numbers where a request for interview was made</w:t>
      </w:r>
      <w:r w:rsidRPr="00B32240">
        <w:rPr>
          <w:rStyle w:val="FootnoteReference"/>
        </w:rPr>
        <w:footnoteReference w:id="3"/>
      </w:r>
    </w:p>
    <w:p w:rsidR="00E51DFD" w:rsidRPr="00B32240" w:rsidRDefault="00E51DFD">
      <w:pPr>
        <w:pStyle w:val="BodyofReport"/>
        <w:numPr>
          <w:ilvl w:val="0"/>
          <w:numId w:val="1"/>
        </w:numPr>
        <w:spacing w:line="360" w:lineRule="auto"/>
      </w:pPr>
      <w:r w:rsidRPr="00B32240">
        <w:t>Cooperation rate – the proportion of contacted numbers where a consent for interview was at least initially</w:t>
      </w:r>
      <w:r w:rsidR="001F3A26" w:rsidRPr="00B32240">
        <w:t xml:space="preserve"> obtained, versus those refused</w:t>
      </w:r>
    </w:p>
    <w:p w:rsidR="00E51DFD" w:rsidRPr="00B32240" w:rsidRDefault="00E51DFD">
      <w:pPr>
        <w:pStyle w:val="BodyofReport"/>
        <w:numPr>
          <w:ilvl w:val="0"/>
          <w:numId w:val="1"/>
        </w:numPr>
        <w:spacing w:line="360" w:lineRule="auto"/>
      </w:pPr>
      <w:r w:rsidRPr="00B32240">
        <w:t>Completion rate – the proportion of initially cooperating and eligible inte</w:t>
      </w:r>
      <w:r w:rsidR="001F3A26" w:rsidRPr="00B32240">
        <w:t>rviews that were completed</w:t>
      </w:r>
    </w:p>
    <w:p w:rsidR="00B32240" w:rsidRPr="00B32240" w:rsidRDefault="00B32240" w:rsidP="00B32240">
      <w:pPr>
        <w:pStyle w:val="BodyofReport"/>
        <w:spacing w:line="360" w:lineRule="auto"/>
      </w:pPr>
      <w:r w:rsidRPr="00B32240">
        <w:t>The final response rate for all sample segment</w:t>
      </w:r>
      <w:r w:rsidR="00976D27">
        <w:t>s</w:t>
      </w:r>
      <w:r w:rsidRPr="00B32240">
        <w:t xml:space="preserve"> combined was 16.5 percent.</w:t>
      </w:r>
    </w:p>
    <w:p w:rsidR="004801BB" w:rsidRPr="003569C0" w:rsidRDefault="004801BB" w:rsidP="004801BB">
      <w:pPr>
        <w:pStyle w:val="BodyofReport"/>
        <w:spacing w:line="360" w:lineRule="auto"/>
        <w:rPr>
          <w:highlight w:val="yellow"/>
        </w:rPr>
      </w:pPr>
    </w:p>
    <w:p w:rsidR="00B32240" w:rsidRDefault="00B32240">
      <w:pPr>
        <w:pStyle w:val="BodyofReport"/>
        <w:spacing w:line="360" w:lineRule="auto"/>
        <w:ind w:firstLine="0"/>
        <w:rPr>
          <w:highlight w:val="yellow"/>
        </w:rPr>
        <w:sectPr w:rsidR="00B32240" w:rsidSect="004038DF">
          <w:footerReference w:type="even" r:id="rId14"/>
          <w:footerReference w:type="default" r:id="rId15"/>
          <w:endnotePr>
            <w:numFmt w:val="decimal"/>
          </w:endnotePr>
          <w:pgSz w:w="12240" w:h="15840"/>
          <w:pgMar w:top="1440" w:right="1440" w:bottom="1440" w:left="1440" w:header="1440" w:footer="1440" w:gutter="0"/>
          <w:cols w:space="720"/>
          <w:noEndnote/>
          <w:titlePg/>
          <w:docGrid w:linePitch="360"/>
        </w:sectPr>
      </w:pPr>
    </w:p>
    <w:tbl>
      <w:tblPr>
        <w:tblW w:w="13151" w:type="dxa"/>
        <w:tblInd w:w="93" w:type="dxa"/>
        <w:tblLook w:val="04A0"/>
      </w:tblPr>
      <w:tblGrid>
        <w:gridCol w:w="1185"/>
        <w:gridCol w:w="1031"/>
        <w:gridCol w:w="1031"/>
        <w:gridCol w:w="1249"/>
        <w:gridCol w:w="1063"/>
        <w:gridCol w:w="932"/>
        <w:gridCol w:w="1063"/>
        <w:gridCol w:w="1063"/>
        <w:gridCol w:w="4534"/>
      </w:tblGrid>
      <w:tr w:rsidR="00B32240" w:rsidRPr="000C461F" w:rsidTr="00B32240">
        <w:trPr>
          <w:trHeight w:val="255"/>
        </w:trPr>
        <w:tc>
          <w:tcPr>
            <w:tcW w:w="3247" w:type="dxa"/>
            <w:gridSpan w:val="3"/>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lastRenderedPageBreak/>
              <w:t>Table 4: Sample Disposition</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r>
      <w:tr w:rsidR="00B32240" w:rsidRPr="000C461F" w:rsidTr="000C461F">
        <w:trPr>
          <w:trHeight w:val="728"/>
        </w:trPr>
        <w:tc>
          <w:tcPr>
            <w:tcW w:w="1185"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Combined</w:t>
            </w:r>
          </w:p>
        </w:tc>
        <w:tc>
          <w:tcPr>
            <w:tcW w:w="1031"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Landline fresh</w:t>
            </w:r>
          </w:p>
        </w:tc>
        <w:tc>
          <w:tcPr>
            <w:tcW w:w="1031"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Landline screen for 18-64</w:t>
            </w:r>
          </w:p>
        </w:tc>
        <w:tc>
          <w:tcPr>
            <w:tcW w:w="1249"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Landline screen for UEA/PTE</w:t>
            </w:r>
          </w:p>
        </w:tc>
        <w:tc>
          <w:tcPr>
            <w:tcW w:w="1063"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LL CB screen for UEA/PTE</w:t>
            </w:r>
          </w:p>
        </w:tc>
        <w:tc>
          <w:tcPr>
            <w:tcW w:w="932"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Cell Fresh</w:t>
            </w:r>
          </w:p>
        </w:tc>
        <w:tc>
          <w:tcPr>
            <w:tcW w:w="1063"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Cell screen for UEA/PTE</w:t>
            </w:r>
          </w:p>
        </w:tc>
        <w:tc>
          <w:tcPr>
            <w:tcW w:w="1063"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jc w:val="center"/>
              <w:rPr>
                <w:rFonts w:ascii="Calibri" w:hAnsi="Calibri" w:cs="Arial"/>
                <w:snapToGrid/>
                <w:sz w:val="20"/>
              </w:rPr>
            </w:pPr>
            <w:r w:rsidRPr="000C461F">
              <w:rPr>
                <w:rFonts w:ascii="Calibri" w:hAnsi="Calibri" w:cs="Arial"/>
                <w:snapToGrid/>
                <w:sz w:val="20"/>
              </w:rPr>
              <w:t>Cell CB screen for UEA/PTE</w:t>
            </w:r>
          </w:p>
        </w:tc>
        <w:tc>
          <w:tcPr>
            <w:tcW w:w="4534" w:type="dxa"/>
            <w:tcBorders>
              <w:top w:val="nil"/>
              <w:left w:val="nil"/>
              <w:bottom w:val="single" w:sz="4" w:space="0" w:color="auto"/>
              <w:right w:val="nil"/>
            </w:tcBorders>
            <w:shd w:val="clear" w:color="auto" w:fill="auto"/>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w:t>
            </w:r>
          </w:p>
        </w:tc>
      </w:tr>
      <w:tr w:rsidR="00B32240" w:rsidRPr="000C461F" w:rsidTr="00B32240">
        <w:trPr>
          <w:trHeight w:val="255"/>
        </w:trPr>
        <w:tc>
          <w:tcPr>
            <w:tcW w:w="1185" w:type="dxa"/>
            <w:tcBorders>
              <w:top w:val="single" w:sz="4" w:space="0" w:color="auto"/>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80864</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25251</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18093</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6951</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4541</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15695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7338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2995</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 xml:space="preserve">T </w:t>
            </w:r>
            <w:r w:rsidRPr="000C461F">
              <w:rPr>
                <w:rFonts w:ascii="Calibri" w:hAnsi="Calibri" w:cs="Arial"/>
                <w:snapToGrid/>
                <w:sz w:val="20"/>
              </w:rPr>
              <w:t>Total Numbers Dialed</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3754</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1559</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1126</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442</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108</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320</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163</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36</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OF</w:t>
            </w:r>
            <w:r w:rsidRPr="000C461F">
              <w:rPr>
                <w:rFonts w:ascii="Calibri" w:hAnsi="Calibri" w:cs="Arial"/>
                <w:snapToGrid/>
                <w:sz w:val="20"/>
              </w:rPr>
              <w:t xml:space="preserve"> Non-residential</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2026</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998</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707</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265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27</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OF</w:t>
            </w:r>
            <w:r w:rsidRPr="000C461F">
              <w:rPr>
                <w:rFonts w:ascii="Calibri" w:hAnsi="Calibri" w:cs="Arial"/>
                <w:snapToGrid/>
                <w:sz w:val="20"/>
              </w:rPr>
              <w:t xml:space="preserve"> Computer/Fax</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21</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OF</w:t>
            </w:r>
            <w:r w:rsidRPr="000C461F">
              <w:rPr>
                <w:rFonts w:ascii="Calibri" w:hAnsi="Calibri" w:cs="Arial"/>
                <w:snapToGrid/>
                <w:sz w:val="20"/>
              </w:rPr>
              <w:t xml:space="preserve"> Cell phone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33635</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12280</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8699</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3318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402</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5744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2788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404</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OF</w:t>
            </w:r>
            <w:r w:rsidRPr="000C461F">
              <w:rPr>
                <w:rFonts w:ascii="Calibri" w:hAnsi="Calibri" w:cs="Arial"/>
                <w:snapToGrid/>
                <w:sz w:val="20"/>
              </w:rPr>
              <w:t xml:space="preserve"> Other not working</w:t>
            </w:r>
          </w:p>
        </w:tc>
      </w:tr>
      <w:tr w:rsidR="00B32240" w:rsidRPr="000C461F" w:rsidTr="00B32240">
        <w:trPr>
          <w:trHeight w:val="255"/>
        </w:trPr>
        <w:tc>
          <w:tcPr>
            <w:tcW w:w="1185"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1013</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131</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302</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137</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101</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227</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95</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22</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UH</w:t>
            </w:r>
            <w:r w:rsidRPr="000C461F">
              <w:rPr>
                <w:rFonts w:ascii="Calibri" w:hAnsi="Calibri" w:cs="Arial"/>
                <w:snapToGrid/>
                <w:sz w:val="20"/>
              </w:rPr>
              <w:t xml:space="preserve"> Additional projected not working</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40416</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10269</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7257</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2786</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3904</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9391</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4278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2533</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Working numbers</w:t>
            </w:r>
          </w:p>
        </w:tc>
      </w:tr>
      <w:tr w:rsidR="00B32240" w:rsidRPr="000C461F" w:rsidTr="00B32240">
        <w:trPr>
          <w:trHeight w:val="255"/>
        </w:trPr>
        <w:tc>
          <w:tcPr>
            <w:tcW w:w="1185"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50.0%</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40.7%</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40.1%</w:t>
            </w:r>
          </w:p>
        </w:tc>
        <w:tc>
          <w:tcPr>
            <w:tcW w:w="1249"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40.1%</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86.0%</w:t>
            </w:r>
          </w:p>
        </w:tc>
        <w:tc>
          <w:tcPr>
            <w:tcW w:w="932"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59.8%</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58.3%</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84.6%</w:t>
            </w:r>
          </w:p>
        </w:tc>
        <w:tc>
          <w:tcPr>
            <w:tcW w:w="4534" w:type="dxa"/>
            <w:tcBorders>
              <w:top w:val="nil"/>
              <w:left w:val="nil"/>
              <w:bottom w:val="nil"/>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Working Rate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338</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44</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101</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46</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34</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76</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32</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UH</w:t>
            </w:r>
            <w:r w:rsidRPr="000C461F">
              <w:rPr>
                <w:rFonts w:ascii="Calibri" w:hAnsi="Calibri" w:cs="Arial"/>
                <w:snapToGrid/>
                <w:sz w:val="20"/>
              </w:rPr>
              <w:t xml:space="preserve"> No Answer / Busy</w:t>
            </w:r>
          </w:p>
        </w:tc>
      </w:tr>
      <w:tr w:rsidR="00B32240" w:rsidRPr="000C461F" w:rsidTr="00B32240">
        <w:trPr>
          <w:trHeight w:val="28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6233</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487</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577</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324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825</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2349</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985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686</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UO</w:t>
            </w:r>
            <w:r w:rsidRPr="000C461F">
              <w:rPr>
                <w:rFonts w:ascii="Calibri" w:hAnsi="Calibri" w:cs="Arial"/>
                <w:b/>
                <w:bCs/>
                <w:snapToGrid/>
                <w:sz w:val="20"/>
                <w:vertAlign w:val="subscript"/>
              </w:rPr>
              <w:t>NC</w:t>
            </w:r>
            <w:r w:rsidRPr="000C461F">
              <w:rPr>
                <w:rFonts w:ascii="Calibri" w:hAnsi="Calibri" w:cs="Arial"/>
                <w:snapToGrid/>
                <w:sz w:val="20"/>
              </w:rPr>
              <w:t xml:space="preserve"> Voice Mail</w:t>
            </w:r>
          </w:p>
        </w:tc>
      </w:tr>
      <w:tr w:rsidR="00B32240" w:rsidRPr="000C461F" w:rsidTr="00B32240">
        <w:trPr>
          <w:trHeight w:val="285"/>
        </w:trPr>
        <w:tc>
          <w:tcPr>
            <w:tcW w:w="1185"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1466</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47</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297</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666</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293</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112</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UO</w:t>
            </w:r>
            <w:r w:rsidRPr="000C461F">
              <w:rPr>
                <w:rFonts w:ascii="Calibri" w:hAnsi="Calibri" w:cs="Arial"/>
                <w:b/>
                <w:bCs/>
                <w:snapToGrid/>
                <w:sz w:val="20"/>
                <w:vertAlign w:val="subscript"/>
              </w:rPr>
              <w:t>NC</w:t>
            </w:r>
            <w:r w:rsidRPr="000C461F">
              <w:rPr>
                <w:rFonts w:ascii="Calibri" w:hAnsi="Calibri" w:cs="Arial"/>
                <w:snapToGrid/>
                <w:sz w:val="20"/>
              </w:rPr>
              <w:t xml:space="preserve"> Other Non-Contact</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32379</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9698</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6532</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2405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2748</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6300</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2968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1728</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Contacted numbers</w:t>
            </w:r>
          </w:p>
        </w:tc>
      </w:tr>
      <w:tr w:rsidR="00B32240" w:rsidRPr="000C461F" w:rsidTr="00B32240">
        <w:trPr>
          <w:trHeight w:val="255"/>
        </w:trPr>
        <w:tc>
          <w:tcPr>
            <w:tcW w:w="1185"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80.1%</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94.4%</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90.0%</w:t>
            </w:r>
          </w:p>
        </w:tc>
        <w:tc>
          <w:tcPr>
            <w:tcW w:w="1249"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86.3%</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70.4%</w:t>
            </w:r>
          </w:p>
        </w:tc>
        <w:tc>
          <w:tcPr>
            <w:tcW w:w="932"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67.1%</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69.4%</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68.2%</w:t>
            </w:r>
          </w:p>
        </w:tc>
        <w:tc>
          <w:tcPr>
            <w:tcW w:w="4534" w:type="dxa"/>
            <w:tcBorders>
              <w:top w:val="nil"/>
              <w:left w:val="nil"/>
              <w:bottom w:val="nil"/>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Contact Rate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r>
      <w:tr w:rsidR="00B32240" w:rsidRPr="000C461F" w:rsidTr="00B32240">
        <w:trPr>
          <w:trHeight w:val="28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10810</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5351</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3054</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1144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418</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554</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128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161</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UO</w:t>
            </w:r>
            <w:r w:rsidRPr="000C461F">
              <w:rPr>
                <w:rFonts w:ascii="Calibri" w:hAnsi="Calibri" w:cs="Arial"/>
                <w:b/>
                <w:bCs/>
                <w:snapToGrid/>
                <w:sz w:val="20"/>
                <w:vertAlign w:val="subscript"/>
              </w:rPr>
              <w:t>R</w:t>
            </w:r>
            <w:r w:rsidRPr="000C461F">
              <w:rPr>
                <w:rFonts w:ascii="Calibri" w:hAnsi="Calibri" w:cs="Arial"/>
                <w:snapToGrid/>
                <w:sz w:val="20"/>
              </w:rPr>
              <w:t xml:space="preserve"> Callback</w:t>
            </w:r>
          </w:p>
        </w:tc>
      </w:tr>
      <w:tr w:rsidR="00B32240" w:rsidRPr="000C461F" w:rsidTr="00B32240">
        <w:trPr>
          <w:trHeight w:val="285"/>
        </w:trPr>
        <w:tc>
          <w:tcPr>
            <w:tcW w:w="1185"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14781</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3241</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2485</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848</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1189</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4341</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1965</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712</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UO</w:t>
            </w:r>
            <w:r w:rsidRPr="000C461F">
              <w:rPr>
                <w:rFonts w:ascii="Calibri" w:hAnsi="Calibri" w:cs="Arial"/>
                <w:b/>
                <w:bCs/>
                <w:snapToGrid/>
                <w:sz w:val="20"/>
                <w:vertAlign w:val="subscript"/>
              </w:rPr>
              <w:t>R</w:t>
            </w:r>
            <w:r w:rsidRPr="000C461F">
              <w:rPr>
                <w:rFonts w:ascii="Calibri" w:hAnsi="Calibri" w:cs="Arial"/>
                <w:snapToGrid/>
                <w:sz w:val="20"/>
              </w:rPr>
              <w:t xml:space="preserve"> Refusal</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6788</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1106</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993</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413</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1141</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1405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875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855</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Cooperating numbers</w:t>
            </w:r>
          </w:p>
        </w:tc>
      </w:tr>
      <w:tr w:rsidR="00B32240" w:rsidRPr="000C461F" w:rsidTr="00B32240">
        <w:trPr>
          <w:trHeight w:val="255"/>
        </w:trPr>
        <w:tc>
          <w:tcPr>
            <w:tcW w:w="1185"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21.0%</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11.4%</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15.2%</w:t>
            </w:r>
          </w:p>
        </w:tc>
        <w:tc>
          <w:tcPr>
            <w:tcW w:w="1249"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17.2%</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41.5%</w:t>
            </w:r>
          </w:p>
        </w:tc>
        <w:tc>
          <w:tcPr>
            <w:tcW w:w="932"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22.3%</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29.5%</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49.5%</w:t>
            </w:r>
          </w:p>
        </w:tc>
        <w:tc>
          <w:tcPr>
            <w:tcW w:w="4534" w:type="dxa"/>
            <w:tcBorders>
              <w:top w:val="nil"/>
              <w:left w:val="nil"/>
              <w:bottom w:val="nil"/>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Cooperation Rate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208</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72</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47</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40</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16</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IN1</w:t>
            </w:r>
            <w:r w:rsidRPr="000C461F">
              <w:rPr>
                <w:rFonts w:ascii="Calibri" w:hAnsi="Calibri" w:cs="Arial"/>
                <w:snapToGrid/>
                <w:sz w:val="20"/>
              </w:rPr>
              <w:t xml:space="preserve"> Language Barrier</w:t>
            </w:r>
          </w:p>
        </w:tc>
      </w:tr>
      <w:tr w:rsidR="00B32240" w:rsidRPr="000C461F" w:rsidTr="00B32240">
        <w:trPr>
          <w:trHeight w:val="255"/>
        </w:trPr>
        <w:tc>
          <w:tcPr>
            <w:tcW w:w="1185"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3558</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0</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342</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291</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941</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547</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738</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699</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IN2</w:t>
            </w:r>
            <w:r w:rsidRPr="000C461F">
              <w:rPr>
                <w:rFonts w:ascii="Calibri" w:hAnsi="Calibri" w:cs="Arial"/>
                <w:snapToGrid/>
                <w:sz w:val="20"/>
              </w:rPr>
              <w:t xml:space="preserve"> Child's phone/Screen out for age/UEA/PTE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3022</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1034</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604</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97</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197</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818</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121</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151</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Eligible numbers</w:t>
            </w:r>
          </w:p>
        </w:tc>
      </w:tr>
      <w:tr w:rsidR="00B32240" w:rsidRPr="000C461F" w:rsidTr="00B32240">
        <w:trPr>
          <w:trHeight w:val="255"/>
        </w:trPr>
        <w:tc>
          <w:tcPr>
            <w:tcW w:w="1185"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44.5%</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93.5%</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60.8%</w:t>
            </w:r>
          </w:p>
        </w:tc>
        <w:tc>
          <w:tcPr>
            <w:tcW w:w="1249"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23.5%</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17.3%</w:t>
            </w:r>
          </w:p>
        </w:tc>
        <w:tc>
          <w:tcPr>
            <w:tcW w:w="932"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58.2%</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13.8%</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17.7%</w:t>
            </w:r>
          </w:p>
        </w:tc>
        <w:tc>
          <w:tcPr>
            <w:tcW w:w="4534" w:type="dxa"/>
            <w:tcBorders>
              <w:top w:val="nil"/>
              <w:left w:val="nil"/>
              <w:bottom w:val="nil"/>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Eligibility Rate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r>
      <w:tr w:rsidR="00B32240" w:rsidRPr="000C461F" w:rsidTr="00B32240">
        <w:trPr>
          <w:trHeight w:val="255"/>
        </w:trPr>
        <w:tc>
          <w:tcPr>
            <w:tcW w:w="1185"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55</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33</w:t>
            </w:r>
          </w:p>
        </w:tc>
        <w:tc>
          <w:tcPr>
            <w:tcW w:w="1031"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4</w:t>
            </w:r>
          </w:p>
        </w:tc>
        <w:tc>
          <w:tcPr>
            <w:tcW w:w="1249"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w:t>
            </w:r>
          </w:p>
        </w:tc>
        <w:tc>
          <w:tcPr>
            <w:tcW w:w="932"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13</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w:t>
            </w:r>
          </w:p>
        </w:tc>
        <w:tc>
          <w:tcPr>
            <w:tcW w:w="1063"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w:t>
            </w:r>
          </w:p>
        </w:tc>
        <w:tc>
          <w:tcPr>
            <w:tcW w:w="4534" w:type="dxa"/>
            <w:tcBorders>
              <w:top w:val="nil"/>
              <w:left w:val="nil"/>
              <w:bottom w:val="single" w:sz="4" w:space="0" w:color="auto"/>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R</w:t>
            </w:r>
            <w:r w:rsidRPr="000C461F">
              <w:rPr>
                <w:rFonts w:ascii="Calibri" w:hAnsi="Calibri" w:cs="Arial"/>
                <w:snapToGrid/>
                <w:sz w:val="20"/>
              </w:rPr>
              <w:t xml:space="preserve"> Break-off</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2967</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1001</w:t>
            </w: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600</w:t>
            </w: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96</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196</w:t>
            </w: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805</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119</w:t>
            </w: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150</w:t>
            </w: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b/>
                <w:bCs/>
                <w:snapToGrid/>
                <w:sz w:val="20"/>
              </w:rPr>
            </w:pPr>
            <w:r w:rsidRPr="000C461F">
              <w:rPr>
                <w:rFonts w:ascii="Calibri" w:hAnsi="Calibri" w:cs="Arial"/>
                <w:b/>
                <w:bCs/>
                <w:snapToGrid/>
                <w:sz w:val="20"/>
              </w:rPr>
              <w:t>I</w:t>
            </w:r>
            <w:r w:rsidRPr="000C461F">
              <w:rPr>
                <w:rFonts w:ascii="Calibri" w:hAnsi="Calibri" w:cs="Arial"/>
                <w:snapToGrid/>
                <w:sz w:val="20"/>
              </w:rPr>
              <w:t xml:space="preserve"> Completes</w:t>
            </w:r>
          </w:p>
        </w:tc>
      </w:tr>
      <w:tr w:rsidR="00B32240" w:rsidRPr="000C461F" w:rsidTr="00B32240">
        <w:trPr>
          <w:trHeight w:val="255"/>
        </w:trPr>
        <w:tc>
          <w:tcPr>
            <w:tcW w:w="1185"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98.2%</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96.8%</w:t>
            </w:r>
          </w:p>
        </w:tc>
        <w:tc>
          <w:tcPr>
            <w:tcW w:w="1031"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99.3%</w:t>
            </w:r>
          </w:p>
        </w:tc>
        <w:tc>
          <w:tcPr>
            <w:tcW w:w="1249"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99.0%</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99.5%</w:t>
            </w:r>
          </w:p>
        </w:tc>
        <w:tc>
          <w:tcPr>
            <w:tcW w:w="932"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98.4%</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98.3%</w:t>
            </w:r>
          </w:p>
        </w:tc>
        <w:tc>
          <w:tcPr>
            <w:tcW w:w="1063" w:type="dxa"/>
            <w:tcBorders>
              <w:top w:val="nil"/>
              <w:left w:val="nil"/>
              <w:bottom w:val="nil"/>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99.3%</w:t>
            </w:r>
          </w:p>
        </w:tc>
        <w:tc>
          <w:tcPr>
            <w:tcW w:w="4534" w:type="dxa"/>
            <w:tcBorders>
              <w:top w:val="nil"/>
              <w:left w:val="nil"/>
              <w:bottom w:val="nil"/>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Completion Rate</w:t>
            </w:r>
          </w:p>
        </w:tc>
      </w:tr>
      <w:tr w:rsidR="00B32240" w:rsidRPr="000C461F" w:rsidTr="00B32240">
        <w:trPr>
          <w:trHeight w:val="255"/>
        </w:trPr>
        <w:tc>
          <w:tcPr>
            <w:tcW w:w="1185"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31"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249"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932"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1063" w:type="dxa"/>
            <w:tcBorders>
              <w:top w:val="nil"/>
              <w:left w:val="nil"/>
              <w:bottom w:val="nil"/>
              <w:right w:val="nil"/>
            </w:tcBorders>
            <w:shd w:val="clear" w:color="auto" w:fill="auto"/>
            <w:noWrap/>
            <w:vAlign w:val="bottom"/>
            <w:hideMark/>
          </w:tcPr>
          <w:p w:rsidR="00B32240" w:rsidRPr="000C461F" w:rsidRDefault="00B32240" w:rsidP="00B32240">
            <w:pPr>
              <w:widowControl/>
              <w:jc w:val="right"/>
              <w:rPr>
                <w:rFonts w:ascii="Calibri" w:hAnsi="Calibri" w:cs="Arial"/>
                <w:snapToGrid/>
                <w:sz w:val="20"/>
              </w:rPr>
            </w:pPr>
          </w:p>
        </w:tc>
        <w:tc>
          <w:tcPr>
            <w:tcW w:w="4534" w:type="dxa"/>
            <w:tcBorders>
              <w:top w:val="nil"/>
              <w:left w:val="nil"/>
              <w:bottom w:val="nil"/>
              <w:right w:val="nil"/>
            </w:tcBorders>
            <w:shd w:val="clear" w:color="auto" w:fill="auto"/>
            <w:noWrap/>
            <w:vAlign w:val="bottom"/>
            <w:hideMark/>
          </w:tcPr>
          <w:p w:rsidR="00B32240" w:rsidRPr="000C461F" w:rsidRDefault="00B32240" w:rsidP="00B32240">
            <w:pPr>
              <w:widowControl/>
              <w:rPr>
                <w:rFonts w:ascii="Calibri" w:hAnsi="Calibri" w:cs="Arial"/>
                <w:snapToGrid/>
                <w:sz w:val="20"/>
              </w:rPr>
            </w:pPr>
          </w:p>
        </w:tc>
      </w:tr>
      <w:tr w:rsidR="00B32240" w:rsidRPr="000C461F" w:rsidTr="005F217F">
        <w:trPr>
          <w:trHeight w:val="68"/>
        </w:trPr>
        <w:tc>
          <w:tcPr>
            <w:tcW w:w="1185"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16.5%</w:t>
            </w:r>
          </w:p>
        </w:tc>
        <w:tc>
          <w:tcPr>
            <w:tcW w:w="1031"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10.4%</w:t>
            </w:r>
          </w:p>
        </w:tc>
        <w:tc>
          <w:tcPr>
            <w:tcW w:w="1031"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13.6%</w:t>
            </w:r>
          </w:p>
        </w:tc>
        <w:tc>
          <w:tcPr>
            <w:tcW w:w="1249"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14.7%</w:t>
            </w:r>
          </w:p>
        </w:tc>
        <w:tc>
          <w:tcPr>
            <w:tcW w:w="1063"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29.1%</w:t>
            </w:r>
          </w:p>
        </w:tc>
        <w:tc>
          <w:tcPr>
            <w:tcW w:w="932"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14.7%</w:t>
            </w:r>
          </w:p>
        </w:tc>
        <w:tc>
          <w:tcPr>
            <w:tcW w:w="1063"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20.1%</w:t>
            </w:r>
          </w:p>
        </w:tc>
        <w:tc>
          <w:tcPr>
            <w:tcW w:w="1063"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jc w:val="right"/>
              <w:rPr>
                <w:rFonts w:ascii="Calibri" w:hAnsi="Calibri" w:cs="Arial"/>
                <w:snapToGrid/>
                <w:sz w:val="20"/>
              </w:rPr>
            </w:pPr>
            <w:r w:rsidRPr="000C461F">
              <w:rPr>
                <w:rFonts w:ascii="Calibri" w:hAnsi="Calibri" w:cs="Arial"/>
                <w:snapToGrid/>
                <w:sz w:val="20"/>
              </w:rPr>
              <w:t>33.5%</w:t>
            </w:r>
          </w:p>
        </w:tc>
        <w:tc>
          <w:tcPr>
            <w:tcW w:w="4534" w:type="dxa"/>
            <w:tcBorders>
              <w:top w:val="nil"/>
              <w:left w:val="nil"/>
              <w:bottom w:val="single" w:sz="4" w:space="0" w:color="auto"/>
              <w:right w:val="nil"/>
            </w:tcBorders>
            <w:shd w:val="clear" w:color="000000" w:fill="C0C0C0"/>
            <w:noWrap/>
            <w:vAlign w:val="bottom"/>
            <w:hideMark/>
          </w:tcPr>
          <w:p w:rsidR="00B32240" w:rsidRPr="000C461F" w:rsidRDefault="00B32240" w:rsidP="00B32240">
            <w:pPr>
              <w:widowControl/>
              <w:rPr>
                <w:rFonts w:ascii="Calibri" w:hAnsi="Calibri" w:cs="Arial"/>
                <w:snapToGrid/>
                <w:sz w:val="20"/>
              </w:rPr>
            </w:pPr>
            <w:r w:rsidRPr="000C461F">
              <w:rPr>
                <w:rFonts w:ascii="Calibri" w:hAnsi="Calibri" w:cs="Arial"/>
                <w:snapToGrid/>
                <w:sz w:val="20"/>
              </w:rPr>
              <w:t>Response Rate</w:t>
            </w:r>
          </w:p>
        </w:tc>
      </w:tr>
    </w:tbl>
    <w:p w:rsidR="001C31FE" w:rsidRPr="003569C0" w:rsidRDefault="001C31FE" w:rsidP="005F217F">
      <w:pPr>
        <w:pStyle w:val="BodyofReport"/>
        <w:spacing w:line="360" w:lineRule="auto"/>
        <w:ind w:firstLine="0"/>
        <w:rPr>
          <w:highlight w:val="yellow"/>
        </w:rPr>
      </w:pPr>
    </w:p>
    <w:sectPr w:rsidR="001C31FE" w:rsidRPr="003569C0" w:rsidSect="00B32240">
      <w:endnotePr>
        <w:numFmt w:val="decimal"/>
      </w:endnotePr>
      <w:pgSz w:w="15840" w:h="12240" w:orient="landscape"/>
      <w:pgMar w:top="1440" w:right="1440" w:bottom="1440" w:left="1440" w:header="1440" w:footer="144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F3E" w:rsidRDefault="00DA1F3E">
      <w:r>
        <w:separator/>
      </w:r>
    </w:p>
  </w:endnote>
  <w:endnote w:type="continuationSeparator" w:id="0">
    <w:p w:rsidR="00DA1F3E" w:rsidRDefault="00DA1F3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240" w:rsidRDefault="00F267F4">
    <w:pPr>
      <w:pStyle w:val="Footer"/>
      <w:framePr w:wrap="around" w:vAnchor="text" w:hAnchor="margin" w:xAlign="right" w:y="1"/>
      <w:rPr>
        <w:rStyle w:val="PageNumber"/>
      </w:rPr>
    </w:pPr>
    <w:r>
      <w:rPr>
        <w:rStyle w:val="PageNumber"/>
      </w:rPr>
      <w:fldChar w:fldCharType="begin"/>
    </w:r>
    <w:r w:rsidR="00B32240">
      <w:rPr>
        <w:rStyle w:val="PageNumber"/>
      </w:rPr>
      <w:instrText xml:space="preserve">PAGE  </w:instrText>
    </w:r>
    <w:r>
      <w:rPr>
        <w:rStyle w:val="PageNumber"/>
      </w:rPr>
      <w:fldChar w:fldCharType="end"/>
    </w:r>
  </w:p>
  <w:p w:rsidR="00B32240" w:rsidRDefault="00B3224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240" w:rsidRDefault="00F267F4">
    <w:pPr>
      <w:pStyle w:val="Footer"/>
      <w:framePr w:wrap="around" w:vAnchor="text" w:hAnchor="margin" w:xAlign="right" w:y="1"/>
      <w:rPr>
        <w:rStyle w:val="PageNumber"/>
      </w:rPr>
    </w:pPr>
    <w:r>
      <w:rPr>
        <w:rStyle w:val="PageNumber"/>
      </w:rPr>
      <w:fldChar w:fldCharType="begin"/>
    </w:r>
    <w:r w:rsidR="00B32240">
      <w:rPr>
        <w:rStyle w:val="PageNumber"/>
      </w:rPr>
      <w:instrText xml:space="preserve">PAGE  </w:instrText>
    </w:r>
    <w:r>
      <w:rPr>
        <w:rStyle w:val="PageNumber"/>
      </w:rPr>
      <w:fldChar w:fldCharType="separate"/>
    </w:r>
    <w:r w:rsidR="005F217F">
      <w:rPr>
        <w:rStyle w:val="PageNumber"/>
        <w:noProof/>
      </w:rPr>
      <w:t>9</w:t>
    </w:r>
    <w:r>
      <w:rPr>
        <w:rStyle w:val="PageNumber"/>
      </w:rPr>
      <w:fldChar w:fldCharType="end"/>
    </w:r>
  </w:p>
  <w:p w:rsidR="00B32240" w:rsidRDefault="00B3224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F3E" w:rsidRDefault="00DA1F3E">
      <w:r>
        <w:separator/>
      </w:r>
    </w:p>
  </w:footnote>
  <w:footnote w:type="continuationSeparator" w:id="0">
    <w:p w:rsidR="00DA1F3E" w:rsidRDefault="00DA1F3E">
      <w:r>
        <w:continuationSeparator/>
      </w:r>
    </w:p>
  </w:footnote>
  <w:footnote w:id="1">
    <w:p w:rsidR="00B32240" w:rsidRDefault="00B32240" w:rsidP="009C26CE">
      <w:pPr>
        <w:pStyle w:val="FootnoteText"/>
      </w:pPr>
      <w:r>
        <w:rPr>
          <w:rStyle w:val="FootnoteReference"/>
        </w:rPr>
        <w:footnoteRef/>
      </w:r>
      <w:r>
        <w:t xml:space="preserve"> Blumberg SJ, Luke JV. Wireless substitution: Early release of estimates from the National Health Interview Survey, July-December, 2008. </w:t>
      </w:r>
      <w:proofErr w:type="gramStart"/>
      <w:r>
        <w:t>National Center for Health Statistics.</w:t>
      </w:r>
      <w:proofErr w:type="gramEnd"/>
      <w:r>
        <w:t xml:space="preserve"> May 2009.</w:t>
      </w:r>
    </w:p>
  </w:footnote>
  <w:footnote w:id="2">
    <w:p w:rsidR="00B32240" w:rsidRDefault="00B32240">
      <w:pPr>
        <w:pStyle w:val="FootnoteText"/>
      </w:pPr>
      <w:r>
        <w:rPr>
          <w:rStyle w:val="FootnoteReference"/>
        </w:rPr>
        <w:footnoteRef/>
      </w:r>
      <w:r>
        <w:t xml:space="preserve"> PSRAI’s disposition codes and reporting are consistent with the American Association for Public Opinion Research standards.</w:t>
      </w:r>
    </w:p>
  </w:footnote>
  <w:footnote w:id="3">
    <w:p w:rsidR="00B32240" w:rsidRDefault="00B32240">
      <w:pPr>
        <w:pStyle w:val="FootnoteText"/>
      </w:pPr>
      <w:r>
        <w:rPr>
          <w:rStyle w:val="FootnoteReference"/>
        </w:rPr>
        <w:footnoteRef/>
      </w:r>
      <w:r>
        <w:t xml:space="preserve"> PSRAI assumes that 75 percent of cases that result in a constant disposition of “No answer” or “Busy” are actually not working numbers.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stylePaneFormatFilter w:val="3F01"/>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rsids>
    <w:rsidRoot w:val="00D44672"/>
    <w:rsid w:val="0002104A"/>
    <w:rsid w:val="00023842"/>
    <w:rsid w:val="00026786"/>
    <w:rsid w:val="000412A2"/>
    <w:rsid w:val="000573D7"/>
    <w:rsid w:val="00070E07"/>
    <w:rsid w:val="0007184D"/>
    <w:rsid w:val="00074B6E"/>
    <w:rsid w:val="000804AD"/>
    <w:rsid w:val="00090193"/>
    <w:rsid w:val="000C28AF"/>
    <w:rsid w:val="000C461F"/>
    <w:rsid w:val="000C4E36"/>
    <w:rsid w:val="000F26C3"/>
    <w:rsid w:val="000F6120"/>
    <w:rsid w:val="000F7338"/>
    <w:rsid w:val="00111706"/>
    <w:rsid w:val="00130280"/>
    <w:rsid w:val="001362BA"/>
    <w:rsid w:val="00190979"/>
    <w:rsid w:val="00192741"/>
    <w:rsid w:val="001B3572"/>
    <w:rsid w:val="001C31FE"/>
    <w:rsid w:val="001C71AB"/>
    <w:rsid w:val="001D2280"/>
    <w:rsid w:val="001F3A26"/>
    <w:rsid w:val="002667BC"/>
    <w:rsid w:val="002A65D6"/>
    <w:rsid w:val="002E0692"/>
    <w:rsid w:val="002E502D"/>
    <w:rsid w:val="00306FAD"/>
    <w:rsid w:val="00310C09"/>
    <w:rsid w:val="003505FC"/>
    <w:rsid w:val="003569C0"/>
    <w:rsid w:val="003722A1"/>
    <w:rsid w:val="00373AE8"/>
    <w:rsid w:val="003858B4"/>
    <w:rsid w:val="003902DD"/>
    <w:rsid w:val="003A5D4F"/>
    <w:rsid w:val="003A68C0"/>
    <w:rsid w:val="003D549E"/>
    <w:rsid w:val="004038DF"/>
    <w:rsid w:val="00411CA2"/>
    <w:rsid w:val="00456E5B"/>
    <w:rsid w:val="0046253A"/>
    <w:rsid w:val="00472367"/>
    <w:rsid w:val="004801BB"/>
    <w:rsid w:val="004D0ADC"/>
    <w:rsid w:val="004D1E08"/>
    <w:rsid w:val="004D59F8"/>
    <w:rsid w:val="004E2AA4"/>
    <w:rsid w:val="004E49E3"/>
    <w:rsid w:val="004E77F5"/>
    <w:rsid w:val="005022A4"/>
    <w:rsid w:val="00510501"/>
    <w:rsid w:val="005219D3"/>
    <w:rsid w:val="00551108"/>
    <w:rsid w:val="005B5160"/>
    <w:rsid w:val="005F217F"/>
    <w:rsid w:val="0060289D"/>
    <w:rsid w:val="00606D26"/>
    <w:rsid w:val="00610F8D"/>
    <w:rsid w:val="00621ACB"/>
    <w:rsid w:val="0062404E"/>
    <w:rsid w:val="00631383"/>
    <w:rsid w:val="00635942"/>
    <w:rsid w:val="006363F2"/>
    <w:rsid w:val="00663462"/>
    <w:rsid w:val="00675DD6"/>
    <w:rsid w:val="00696461"/>
    <w:rsid w:val="006A0F4C"/>
    <w:rsid w:val="006A2BB5"/>
    <w:rsid w:val="006C1AB4"/>
    <w:rsid w:val="006C2CB5"/>
    <w:rsid w:val="006E6193"/>
    <w:rsid w:val="006E65B7"/>
    <w:rsid w:val="006F3C2C"/>
    <w:rsid w:val="00702B74"/>
    <w:rsid w:val="007140BA"/>
    <w:rsid w:val="00750AD5"/>
    <w:rsid w:val="007600C8"/>
    <w:rsid w:val="007B0299"/>
    <w:rsid w:val="007B67F8"/>
    <w:rsid w:val="007B750B"/>
    <w:rsid w:val="007D31ED"/>
    <w:rsid w:val="007D4577"/>
    <w:rsid w:val="007E3290"/>
    <w:rsid w:val="00802416"/>
    <w:rsid w:val="00813481"/>
    <w:rsid w:val="00827269"/>
    <w:rsid w:val="00835534"/>
    <w:rsid w:val="00837168"/>
    <w:rsid w:val="0085524B"/>
    <w:rsid w:val="00862092"/>
    <w:rsid w:val="00863EBF"/>
    <w:rsid w:val="0087339B"/>
    <w:rsid w:val="008853F6"/>
    <w:rsid w:val="008D415B"/>
    <w:rsid w:val="00910210"/>
    <w:rsid w:val="00923DDC"/>
    <w:rsid w:val="0097199A"/>
    <w:rsid w:val="00976D27"/>
    <w:rsid w:val="009C26CE"/>
    <w:rsid w:val="009C614A"/>
    <w:rsid w:val="009D3B08"/>
    <w:rsid w:val="00A1713C"/>
    <w:rsid w:val="00A23A70"/>
    <w:rsid w:val="00A27C5C"/>
    <w:rsid w:val="00A65166"/>
    <w:rsid w:val="00A84300"/>
    <w:rsid w:val="00AB1463"/>
    <w:rsid w:val="00AB2ADD"/>
    <w:rsid w:val="00AE246D"/>
    <w:rsid w:val="00AF6F6F"/>
    <w:rsid w:val="00B32240"/>
    <w:rsid w:val="00B664F5"/>
    <w:rsid w:val="00B71150"/>
    <w:rsid w:val="00B75BEE"/>
    <w:rsid w:val="00B76E3B"/>
    <w:rsid w:val="00BA31E1"/>
    <w:rsid w:val="00BB6524"/>
    <w:rsid w:val="00BB7DA7"/>
    <w:rsid w:val="00BC275F"/>
    <w:rsid w:val="00BE3833"/>
    <w:rsid w:val="00BF6DE2"/>
    <w:rsid w:val="00C455CB"/>
    <w:rsid w:val="00C549C6"/>
    <w:rsid w:val="00C65DB8"/>
    <w:rsid w:val="00C67DD3"/>
    <w:rsid w:val="00C82CD1"/>
    <w:rsid w:val="00C95C3A"/>
    <w:rsid w:val="00CA07D3"/>
    <w:rsid w:val="00CB1363"/>
    <w:rsid w:val="00CC5024"/>
    <w:rsid w:val="00CC765F"/>
    <w:rsid w:val="00D22D54"/>
    <w:rsid w:val="00D3221E"/>
    <w:rsid w:val="00D44672"/>
    <w:rsid w:val="00D64D12"/>
    <w:rsid w:val="00D87557"/>
    <w:rsid w:val="00DA1F3E"/>
    <w:rsid w:val="00DA521E"/>
    <w:rsid w:val="00DC18FA"/>
    <w:rsid w:val="00DC38C3"/>
    <w:rsid w:val="00E0341A"/>
    <w:rsid w:val="00E2253A"/>
    <w:rsid w:val="00E36A27"/>
    <w:rsid w:val="00E51DFD"/>
    <w:rsid w:val="00E67CA9"/>
    <w:rsid w:val="00E7389C"/>
    <w:rsid w:val="00E9014B"/>
    <w:rsid w:val="00EB4745"/>
    <w:rsid w:val="00EE1BB7"/>
    <w:rsid w:val="00EF4E13"/>
    <w:rsid w:val="00F06E65"/>
    <w:rsid w:val="00F11BB4"/>
    <w:rsid w:val="00F11F75"/>
    <w:rsid w:val="00F147AF"/>
    <w:rsid w:val="00F16150"/>
    <w:rsid w:val="00F267F4"/>
    <w:rsid w:val="00F27618"/>
    <w:rsid w:val="00F342A5"/>
    <w:rsid w:val="00F86811"/>
    <w:rsid w:val="00FA5833"/>
    <w:rsid w:val="00FB6864"/>
    <w:rsid w:val="00FF10D3"/>
    <w:rsid w:val="00FF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38DF"/>
    <w:pPr>
      <w:widowControl w:val="0"/>
    </w:pPr>
    <w:rPr>
      <w:snapToGrid w:val="0"/>
      <w:sz w:val="24"/>
    </w:rPr>
  </w:style>
  <w:style w:type="paragraph" w:styleId="Heading1">
    <w:name w:val="heading 1"/>
    <w:basedOn w:val="Normal"/>
    <w:next w:val="Normal"/>
    <w:qFormat/>
    <w:rsid w:val="004038DF"/>
    <w:pPr>
      <w:keepNext/>
      <w:spacing w:before="240" w:after="60"/>
      <w:outlineLvl w:val="0"/>
    </w:pPr>
    <w:rPr>
      <w:rFonts w:ascii="Arial" w:hAnsi="Arial"/>
      <w:b/>
      <w:kern w:val="28"/>
      <w:sz w:val="28"/>
    </w:rPr>
  </w:style>
  <w:style w:type="paragraph" w:styleId="Heading2">
    <w:name w:val="heading 2"/>
    <w:basedOn w:val="Normal"/>
    <w:next w:val="Normal"/>
    <w:qFormat/>
    <w:rsid w:val="004038DF"/>
    <w:pPr>
      <w:keepNext/>
      <w:spacing w:before="240" w:after="60"/>
      <w:outlineLvl w:val="1"/>
    </w:pPr>
    <w:rPr>
      <w:rFonts w:ascii="Arial" w:hAnsi="Arial"/>
      <w:b/>
      <w:i/>
    </w:rPr>
  </w:style>
  <w:style w:type="paragraph" w:styleId="Heading3">
    <w:name w:val="heading 3"/>
    <w:basedOn w:val="Normal"/>
    <w:next w:val="Normal"/>
    <w:qFormat/>
    <w:rsid w:val="004038DF"/>
    <w:pPr>
      <w:keepNext/>
      <w:jc w:val="right"/>
      <w:outlineLvl w:val="2"/>
    </w:pPr>
    <w:rPr>
      <w:rFonts w:ascii="Arial" w:hAnsi="Arial"/>
      <w:b/>
      <w:color w:val="000000"/>
      <w:sz w:val="20"/>
    </w:rPr>
  </w:style>
  <w:style w:type="paragraph" w:styleId="Heading4">
    <w:name w:val="heading 4"/>
    <w:basedOn w:val="Normal"/>
    <w:next w:val="Normal"/>
    <w:qFormat/>
    <w:rsid w:val="004038DF"/>
    <w:pPr>
      <w:keepNext/>
      <w:outlineLvl w:val="3"/>
    </w:pPr>
    <w:rPr>
      <w:b/>
      <w:bCs/>
    </w:rPr>
  </w:style>
  <w:style w:type="paragraph" w:styleId="Heading5">
    <w:name w:val="heading 5"/>
    <w:basedOn w:val="Normal"/>
    <w:next w:val="Normal"/>
    <w:qFormat/>
    <w:rsid w:val="004038DF"/>
    <w:pPr>
      <w:keepNext/>
      <w:outlineLvl w:val="4"/>
    </w:pPr>
    <w:rPr>
      <w:rFonts w:ascii="Arial" w:hAnsi="Arial" w:cs="Arial"/>
      <w:b/>
      <w:bCs/>
      <w:sz w:val="20"/>
    </w:rPr>
  </w:style>
  <w:style w:type="paragraph" w:styleId="Heading6">
    <w:name w:val="heading 6"/>
    <w:basedOn w:val="Normal"/>
    <w:next w:val="Normal"/>
    <w:qFormat/>
    <w:rsid w:val="004038DF"/>
    <w:pPr>
      <w:keepNext/>
      <w:ind w:right="73"/>
      <w:jc w:val="right"/>
      <w:outlineLvl w:val="5"/>
    </w:pPr>
    <w:rPr>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038DF"/>
    <w:rPr>
      <w:rFonts w:ascii="Times New Roman" w:hAnsi="Times New Roman"/>
      <w:sz w:val="20"/>
      <w:vertAlign w:val="superscript"/>
    </w:rPr>
  </w:style>
  <w:style w:type="paragraph" w:styleId="Title">
    <w:name w:val="Title"/>
    <w:basedOn w:val="Normal"/>
    <w:qFormat/>
    <w:rsid w:val="004038DF"/>
    <w:pPr>
      <w:jc w:val="center"/>
    </w:pPr>
    <w:rPr>
      <w:rFonts w:ascii="Arial" w:hAnsi="Arial"/>
      <w:b/>
      <w:sz w:val="40"/>
    </w:rPr>
  </w:style>
  <w:style w:type="paragraph" w:styleId="FootnoteText">
    <w:name w:val="footnote text"/>
    <w:basedOn w:val="Normal"/>
    <w:semiHidden/>
    <w:rsid w:val="004038DF"/>
    <w:pPr>
      <w:keepLines/>
    </w:pPr>
    <w:rPr>
      <w:sz w:val="20"/>
    </w:rPr>
  </w:style>
  <w:style w:type="paragraph" w:customStyle="1" w:styleId="BodyofReport">
    <w:name w:val="Body of Report"/>
    <w:basedOn w:val="Normal"/>
    <w:rsid w:val="004038DF"/>
    <w:pPr>
      <w:widowControl/>
      <w:spacing w:line="312" w:lineRule="auto"/>
      <w:ind w:firstLine="720"/>
    </w:pPr>
    <w:rPr>
      <w:snapToGrid/>
    </w:rPr>
  </w:style>
  <w:style w:type="paragraph" w:styleId="Subtitle">
    <w:name w:val="Subtitle"/>
    <w:basedOn w:val="Normal"/>
    <w:qFormat/>
    <w:rsid w:val="004038DF"/>
    <w:pPr>
      <w:spacing w:after="60"/>
      <w:jc w:val="center"/>
      <w:outlineLvl w:val="1"/>
    </w:pPr>
    <w:rPr>
      <w:rFonts w:ascii="Arial" w:hAnsi="Arial"/>
      <w:sz w:val="32"/>
    </w:rPr>
  </w:style>
  <w:style w:type="paragraph" w:styleId="Header">
    <w:name w:val="header"/>
    <w:basedOn w:val="Normal"/>
    <w:rsid w:val="004038DF"/>
    <w:pPr>
      <w:tabs>
        <w:tab w:val="center" w:pos="4320"/>
        <w:tab w:val="right" w:pos="8640"/>
      </w:tabs>
    </w:pPr>
  </w:style>
  <w:style w:type="paragraph" w:styleId="Footer">
    <w:name w:val="footer"/>
    <w:basedOn w:val="Normal"/>
    <w:rsid w:val="004038DF"/>
    <w:pPr>
      <w:tabs>
        <w:tab w:val="center" w:pos="4320"/>
        <w:tab w:val="right" w:pos="8640"/>
      </w:tabs>
    </w:pPr>
  </w:style>
  <w:style w:type="character" w:styleId="PageNumber">
    <w:name w:val="page number"/>
    <w:basedOn w:val="DefaultParagraphFont"/>
    <w:rsid w:val="004038DF"/>
  </w:style>
  <w:style w:type="paragraph" w:styleId="PlainText">
    <w:name w:val="Plain Text"/>
    <w:basedOn w:val="Normal"/>
    <w:rsid w:val="004038DF"/>
    <w:pPr>
      <w:widowControl/>
    </w:pPr>
    <w:rPr>
      <w:rFonts w:ascii="Courier New" w:hAnsi="Courier New"/>
      <w:snapToGrid/>
      <w:sz w:val="20"/>
    </w:rPr>
  </w:style>
  <w:style w:type="character" w:styleId="CommentReference">
    <w:name w:val="annotation reference"/>
    <w:basedOn w:val="DefaultParagraphFont"/>
    <w:semiHidden/>
    <w:rsid w:val="004038DF"/>
    <w:rPr>
      <w:sz w:val="16"/>
      <w:szCs w:val="16"/>
    </w:rPr>
  </w:style>
  <w:style w:type="paragraph" w:styleId="CommentText">
    <w:name w:val="annotation text"/>
    <w:basedOn w:val="Normal"/>
    <w:semiHidden/>
    <w:rsid w:val="004038DF"/>
    <w:rPr>
      <w:sz w:val="20"/>
    </w:rPr>
  </w:style>
  <w:style w:type="paragraph" w:styleId="BalloonText">
    <w:name w:val="Balloon Text"/>
    <w:basedOn w:val="Normal"/>
    <w:semiHidden/>
    <w:rsid w:val="004038DF"/>
    <w:rPr>
      <w:rFonts w:ascii="Tahoma" w:hAnsi="Tahoma" w:cs="Tahoma"/>
      <w:sz w:val="16"/>
      <w:szCs w:val="16"/>
    </w:rPr>
  </w:style>
  <w:style w:type="paragraph" w:customStyle="1" w:styleId="DocumentClient">
    <w:name w:val="Document Client"/>
    <w:basedOn w:val="Normal"/>
    <w:rsid w:val="004038DF"/>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rsid w:val="004038DF"/>
    <w:pPr>
      <w:framePr w:wrap="around"/>
    </w:pPr>
    <w:rPr>
      <w:b/>
      <w:w w:val="98"/>
      <w:sz w:val="28"/>
    </w:rPr>
  </w:style>
  <w:style w:type="paragraph" w:customStyle="1" w:styleId="DocumentDate">
    <w:name w:val="Document Date"/>
    <w:basedOn w:val="DocumentClient"/>
    <w:rsid w:val="004038DF"/>
    <w:pPr>
      <w:framePr w:wrap="around"/>
      <w:spacing w:after="1440"/>
    </w:pPr>
    <w:rPr>
      <w:sz w:val="16"/>
    </w:rPr>
  </w:style>
  <w:style w:type="table" w:styleId="TableGrid">
    <w:name w:val="Table Grid"/>
    <w:basedOn w:val="TableNormal"/>
    <w:rsid w:val="00DA52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886329">
      <w:bodyDiv w:val="1"/>
      <w:marLeft w:val="0"/>
      <w:marRight w:val="0"/>
      <w:marTop w:val="0"/>
      <w:marBottom w:val="0"/>
      <w:divBdr>
        <w:top w:val="none" w:sz="0" w:space="0" w:color="auto"/>
        <w:left w:val="none" w:sz="0" w:space="0" w:color="auto"/>
        <w:bottom w:val="none" w:sz="0" w:space="0" w:color="auto"/>
        <w:right w:val="none" w:sz="0" w:space="0" w:color="auto"/>
      </w:divBdr>
    </w:div>
    <w:div w:id="96416592">
      <w:bodyDiv w:val="1"/>
      <w:marLeft w:val="0"/>
      <w:marRight w:val="0"/>
      <w:marTop w:val="0"/>
      <w:marBottom w:val="0"/>
      <w:divBdr>
        <w:top w:val="none" w:sz="0" w:space="0" w:color="auto"/>
        <w:left w:val="none" w:sz="0" w:space="0" w:color="auto"/>
        <w:bottom w:val="none" w:sz="0" w:space="0" w:color="auto"/>
        <w:right w:val="none" w:sz="0" w:space="0" w:color="auto"/>
      </w:divBdr>
    </w:div>
    <w:div w:id="173885107">
      <w:bodyDiv w:val="1"/>
      <w:marLeft w:val="0"/>
      <w:marRight w:val="0"/>
      <w:marTop w:val="0"/>
      <w:marBottom w:val="0"/>
      <w:divBdr>
        <w:top w:val="none" w:sz="0" w:space="0" w:color="auto"/>
        <w:left w:val="none" w:sz="0" w:space="0" w:color="auto"/>
        <w:bottom w:val="none" w:sz="0" w:space="0" w:color="auto"/>
        <w:right w:val="none" w:sz="0" w:space="0" w:color="auto"/>
      </w:divBdr>
    </w:div>
    <w:div w:id="273371093">
      <w:bodyDiv w:val="1"/>
      <w:marLeft w:val="0"/>
      <w:marRight w:val="0"/>
      <w:marTop w:val="0"/>
      <w:marBottom w:val="0"/>
      <w:divBdr>
        <w:top w:val="none" w:sz="0" w:space="0" w:color="auto"/>
        <w:left w:val="none" w:sz="0" w:space="0" w:color="auto"/>
        <w:bottom w:val="none" w:sz="0" w:space="0" w:color="auto"/>
        <w:right w:val="none" w:sz="0" w:space="0" w:color="auto"/>
      </w:divBdr>
    </w:div>
    <w:div w:id="289090893">
      <w:bodyDiv w:val="1"/>
      <w:marLeft w:val="0"/>
      <w:marRight w:val="0"/>
      <w:marTop w:val="0"/>
      <w:marBottom w:val="0"/>
      <w:divBdr>
        <w:top w:val="none" w:sz="0" w:space="0" w:color="auto"/>
        <w:left w:val="none" w:sz="0" w:space="0" w:color="auto"/>
        <w:bottom w:val="none" w:sz="0" w:space="0" w:color="auto"/>
        <w:right w:val="none" w:sz="0" w:space="0" w:color="auto"/>
      </w:divBdr>
    </w:div>
    <w:div w:id="295989912">
      <w:bodyDiv w:val="1"/>
      <w:marLeft w:val="0"/>
      <w:marRight w:val="0"/>
      <w:marTop w:val="0"/>
      <w:marBottom w:val="0"/>
      <w:divBdr>
        <w:top w:val="none" w:sz="0" w:space="0" w:color="auto"/>
        <w:left w:val="none" w:sz="0" w:space="0" w:color="auto"/>
        <w:bottom w:val="none" w:sz="0" w:space="0" w:color="auto"/>
        <w:right w:val="none" w:sz="0" w:space="0" w:color="auto"/>
      </w:divBdr>
    </w:div>
    <w:div w:id="317030034">
      <w:bodyDiv w:val="1"/>
      <w:marLeft w:val="0"/>
      <w:marRight w:val="0"/>
      <w:marTop w:val="0"/>
      <w:marBottom w:val="0"/>
      <w:divBdr>
        <w:top w:val="none" w:sz="0" w:space="0" w:color="auto"/>
        <w:left w:val="none" w:sz="0" w:space="0" w:color="auto"/>
        <w:bottom w:val="none" w:sz="0" w:space="0" w:color="auto"/>
        <w:right w:val="none" w:sz="0" w:space="0" w:color="auto"/>
      </w:divBdr>
    </w:div>
    <w:div w:id="373118206">
      <w:bodyDiv w:val="1"/>
      <w:marLeft w:val="0"/>
      <w:marRight w:val="0"/>
      <w:marTop w:val="0"/>
      <w:marBottom w:val="0"/>
      <w:divBdr>
        <w:top w:val="none" w:sz="0" w:space="0" w:color="auto"/>
        <w:left w:val="none" w:sz="0" w:space="0" w:color="auto"/>
        <w:bottom w:val="none" w:sz="0" w:space="0" w:color="auto"/>
        <w:right w:val="none" w:sz="0" w:space="0" w:color="auto"/>
      </w:divBdr>
    </w:div>
    <w:div w:id="430590774">
      <w:bodyDiv w:val="1"/>
      <w:marLeft w:val="0"/>
      <w:marRight w:val="0"/>
      <w:marTop w:val="0"/>
      <w:marBottom w:val="0"/>
      <w:divBdr>
        <w:top w:val="none" w:sz="0" w:space="0" w:color="auto"/>
        <w:left w:val="none" w:sz="0" w:space="0" w:color="auto"/>
        <w:bottom w:val="none" w:sz="0" w:space="0" w:color="auto"/>
        <w:right w:val="none" w:sz="0" w:space="0" w:color="auto"/>
      </w:divBdr>
    </w:div>
    <w:div w:id="435566916">
      <w:bodyDiv w:val="1"/>
      <w:marLeft w:val="0"/>
      <w:marRight w:val="0"/>
      <w:marTop w:val="0"/>
      <w:marBottom w:val="0"/>
      <w:divBdr>
        <w:top w:val="none" w:sz="0" w:space="0" w:color="auto"/>
        <w:left w:val="none" w:sz="0" w:space="0" w:color="auto"/>
        <w:bottom w:val="none" w:sz="0" w:space="0" w:color="auto"/>
        <w:right w:val="none" w:sz="0" w:space="0" w:color="auto"/>
      </w:divBdr>
    </w:div>
    <w:div w:id="537813271">
      <w:bodyDiv w:val="1"/>
      <w:marLeft w:val="0"/>
      <w:marRight w:val="0"/>
      <w:marTop w:val="0"/>
      <w:marBottom w:val="0"/>
      <w:divBdr>
        <w:top w:val="none" w:sz="0" w:space="0" w:color="auto"/>
        <w:left w:val="none" w:sz="0" w:space="0" w:color="auto"/>
        <w:bottom w:val="none" w:sz="0" w:space="0" w:color="auto"/>
        <w:right w:val="none" w:sz="0" w:space="0" w:color="auto"/>
      </w:divBdr>
    </w:div>
    <w:div w:id="568156903">
      <w:bodyDiv w:val="1"/>
      <w:marLeft w:val="0"/>
      <w:marRight w:val="0"/>
      <w:marTop w:val="0"/>
      <w:marBottom w:val="0"/>
      <w:divBdr>
        <w:top w:val="none" w:sz="0" w:space="0" w:color="auto"/>
        <w:left w:val="none" w:sz="0" w:space="0" w:color="auto"/>
        <w:bottom w:val="none" w:sz="0" w:space="0" w:color="auto"/>
        <w:right w:val="none" w:sz="0" w:space="0" w:color="auto"/>
      </w:divBdr>
    </w:div>
    <w:div w:id="643003738">
      <w:bodyDiv w:val="1"/>
      <w:marLeft w:val="0"/>
      <w:marRight w:val="0"/>
      <w:marTop w:val="0"/>
      <w:marBottom w:val="0"/>
      <w:divBdr>
        <w:top w:val="none" w:sz="0" w:space="0" w:color="auto"/>
        <w:left w:val="none" w:sz="0" w:space="0" w:color="auto"/>
        <w:bottom w:val="none" w:sz="0" w:space="0" w:color="auto"/>
        <w:right w:val="none" w:sz="0" w:space="0" w:color="auto"/>
      </w:divBdr>
    </w:div>
    <w:div w:id="709886557">
      <w:bodyDiv w:val="1"/>
      <w:marLeft w:val="0"/>
      <w:marRight w:val="0"/>
      <w:marTop w:val="0"/>
      <w:marBottom w:val="0"/>
      <w:divBdr>
        <w:top w:val="none" w:sz="0" w:space="0" w:color="auto"/>
        <w:left w:val="none" w:sz="0" w:space="0" w:color="auto"/>
        <w:bottom w:val="none" w:sz="0" w:space="0" w:color="auto"/>
        <w:right w:val="none" w:sz="0" w:space="0" w:color="auto"/>
      </w:divBdr>
    </w:div>
    <w:div w:id="724262217">
      <w:bodyDiv w:val="1"/>
      <w:marLeft w:val="0"/>
      <w:marRight w:val="0"/>
      <w:marTop w:val="0"/>
      <w:marBottom w:val="0"/>
      <w:divBdr>
        <w:top w:val="none" w:sz="0" w:space="0" w:color="auto"/>
        <w:left w:val="none" w:sz="0" w:space="0" w:color="auto"/>
        <w:bottom w:val="none" w:sz="0" w:space="0" w:color="auto"/>
        <w:right w:val="none" w:sz="0" w:space="0" w:color="auto"/>
      </w:divBdr>
    </w:div>
    <w:div w:id="765855736">
      <w:bodyDiv w:val="1"/>
      <w:marLeft w:val="0"/>
      <w:marRight w:val="0"/>
      <w:marTop w:val="0"/>
      <w:marBottom w:val="0"/>
      <w:divBdr>
        <w:top w:val="none" w:sz="0" w:space="0" w:color="auto"/>
        <w:left w:val="none" w:sz="0" w:space="0" w:color="auto"/>
        <w:bottom w:val="none" w:sz="0" w:space="0" w:color="auto"/>
        <w:right w:val="none" w:sz="0" w:space="0" w:color="auto"/>
      </w:divBdr>
    </w:div>
    <w:div w:id="799302373">
      <w:bodyDiv w:val="1"/>
      <w:marLeft w:val="0"/>
      <w:marRight w:val="0"/>
      <w:marTop w:val="0"/>
      <w:marBottom w:val="0"/>
      <w:divBdr>
        <w:top w:val="none" w:sz="0" w:space="0" w:color="auto"/>
        <w:left w:val="none" w:sz="0" w:space="0" w:color="auto"/>
        <w:bottom w:val="none" w:sz="0" w:space="0" w:color="auto"/>
        <w:right w:val="none" w:sz="0" w:space="0" w:color="auto"/>
      </w:divBdr>
    </w:div>
    <w:div w:id="803624229">
      <w:bodyDiv w:val="1"/>
      <w:marLeft w:val="0"/>
      <w:marRight w:val="0"/>
      <w:marTop w:val="0"/>
      <w:marBottom w:val="0"/>
      <w:divBdr>
        <w:top w:val="none" w:sz="0" w:space="0" w:color="auto"/>
        <w:left w:val="none" w:sz="0" w:space="0" w:color="auto"/>
        <w:bottom w:val="none" w:sz="0" w:space="0" w:color="auto"/>
        <w:right w:val="none" w:sz="0" w:space="0" w:color="auto"/>
      </w:divBdr>
    </w:div>
    <w:div w:id="857231883">
      <w:bodyDiv w:val="1"/>
      <w:marLeft w:val="0"/>
      <w:marRight w:val="0"/>
      <w:marTop w:val="0"/>
      <w:marBottom w:val="0"/>
      <w:divBdr>
        <w:top w:val="none" w:sz="0" w:space="0" w:color="auto"/>
        <w:left w:val="none" w:sz="0" w:space="0" w:color="auto"/>
        <w:bottom w:val="none" w:sz="0" w:space="0" w:color="auto"/>
        <w:right w:val="none" w:sz="0" w:space="0" w:color="auto"/>
      </w:divBdr>
    </w:div>
    <w:div w:id="987249017">
      <w:bodyDiv w:val="1"/>
      <w:marLeft w:val="0"/>
      <w:marRight w:val="0"/>
      <w:marTop w:val="0"/>
      <w:marBottom w:val="0"/>
      <w:divBdr>
        <w:top w:val="none" w:sz="0" w:space="0" w:color="auto"/>
        <w:left w:val="none" w:sz="0" w:space="0" w:color="auto"/>
        <w:bottom w:val="none" w:sz="0" w:space="0" w:color="auto"/>
        <w:right w:val="none" w:sz="0" w:space="0" w:color="auto"/>
      </w:divBdr>
    </w:div>
    <w:div w:id="1000354471">
      <w:bodyDiv w:val="1"/>
      <w:marLeft w:val="0"/>
      <w:marRight w:val="0"/>
      <w:marTop w:val="0"/>
      <w:marBottom w:val="0"/>
      <w:divBdr>
        <w:top w:val="none" w:sz="0" w:space="0" w:color="auto"/>
        <w:left w:val="none" w:sz="0" w:space="0" w:color="auto"/>
        <w:bottom w:val="none" w:sz="0" w:space="0" w:color="auto"/>
        <w:right w:val="none" w:sz="0" w:space="0" w:color="auto"/>
      </w:divBdr>
    </w:div>
    <w:div w:id="1038160461">
      <w:bodyDiv w:val="1"/>
      <w:marLeft w:val="0"/>
      <w:marRight w:val="0"/>
      <w:marTop w:val="0"/>
      <w:marBottom w:val="0"/>
      <w:divBdr>
        <w:top w:val="none" w:sz="0" w:space="0" w:color="auto"/>
        <w:left w:val="none" w:sz="0" w:space="0" w:color="auto"/>
        <w:bottom w:val="none" w:sz="0" w:space="0" w:color="auto"/>
        <w:right w:val="none" w:sz="0" w:space="0" w:color="auto"/>
      </w:divBdr>
    </w:div>
    <w:div w:id="1096558305">
      <w:bodyDiv w:val="1"/>
      <w:marLeft w:val="0"/>
      <w:marRight w:val="0"/>
      <w:marTop w:val="0"/>
      <w:marBottom w:val="0"/>
      <w:divBdr>
        <w:top w:val="none" w:sz="0" w:space="0" w:color="auto"/>
        <w:left w:val="none" w:sz="0" w:space="0" w:color="auto"/>
        <w:bottom w:val="none" w:sz="0" w:space="0" w:color="auto"/>
        <w:right w:val="none" w:sz="0" w:space="0" w:color="auto"/>
      </w:divBdr>
    </w:div>
    <w:div w:id="1116290896">
      <w:bodyDiv w:val="1"/>
      <w:marLeft w:val="0"/>
      <w:marRight w:val="0"/>
      <w:marTop w:val="0"/>
      <w:marBottom w:val="0"/>
      <w:divBdr>
        <w:top w:val="none" w:sz="0" w:space="0" w:color="auto"/>
        <w:left w:val="none" w:sz="0" w:space="0" w:color="auto"/>
        <w:bottom w:val="none" w:sz="0" w:space="0" w:color="auto"/>
        <w:right w:val="none" w:sz="0" w:space="0" w:color="auto"/>
      </w:divBdr>
    </w:div>
    <w:div w:id="1134833859">
      <w:bodyDiv w:val="1"/>
      <w:marLeft w:val="0"/>
      <w:marRight w:val="0"/>
      <w:marTop w:val="0"/>
      <w:marBottom w:val="0"/>
      <w:divBdr>
        <w:top w:val="none" w:sz="0" w:space="0" w:color="auto"/>
        <w:left w:val="none" w:sz="0" w:space="0" w:color="auto"/>
        <w:bottom w:val="none" w:sz="0" w:space="0" w:color="auto"/>
        <w:right w:val="none" w:sz="0" w:space="0" w:color="auto"/>
      </w:divBdr>
    </w:div>
    <w:div w:id="1253586411">
      <w:bodyDiv w:val="1"/>
      <w:marLeft w:val="0"/>
      <w:marRight w:val="0"/>
      <w:marTop w:val="0"/>
      <w:marBottom w:val="0"/>
      <w:divBdr>
        <w:top w:val="none" w:sz="0" w:space="0" w:color="auto"/>
        <w:left w:val="none" w:sz="0" w:space="0" w:color="auto"/>
        <w:bottom w:val="none" w:sz="0" w:space="0" w:color="auto"/>
        <w:right w:val="none" w:sz="0" w:space="0" w:color="auto"/>
      </w:divBdr>
    </w:div>
    <w:div w:id="1429543922">
      <w:bodyDiv w:val="1"/>
      <w:marLeft w:val="0"/>
      <w:marRight w:val="0"/>
      <w:marTop w:val="0"/>
      <w:marBottom w:val="0"/>
      <w:divBdr>
        <w:top w:val="none" w:sz="0" w:space="0" w:color="auto"/>
        <w:left w:val="none" w:sz="0" w:space="0" w:color="auto"/>
        <w:bottom w:val="none" w:sz="0" w:space="0" w:color="auto"/>
        <w:right w:val="none" w:sz="0" w:space="0" w:color="auto"/>
      </w:divBdr>
    </w:div>
    <w:div w:id="1595281607">
      <w:bodyDiv w:val="1"/>
      <w:marLeft w:val="0"/>
      <w:marRight w:val="0"/>
      <w:marTop w:val="0"/>
      <w:marBottom w:val="0"/>
      <w:divBdr>
        <w:top w:val="none" w:sz="0" w:space="0" w:color="auto"/>
        <w:left w:val="none" w:sz="0" w:space="0" w:color="auto"/>
        <w:bottom w:val="none" w:sz="0" w:space="0" w:color="auto"/>
        <w:right w:val="none" w:sz="0" w:space="0" w:color="auto"/>
      </w:divBdr>
    </w:div>
    <w:div w:id="1728334565">
      <w:bodyDiv w:val="1"/>
      <w:marLeft w:val="0"/>
      <w:marRight w:val="0"/>
      <w:marTop w:val="0"/>
      <w:marBottom w:val="0"/>
      <w:divBdr>
        <w:top w:val="none" w:sz="0" w:space="0" w:color="auto"/>
        <w:left w:val="none" w:sz="0" w:space="0" w:color="auto"/>
        <w:bottom w:val="none" w:sz="0" w:space="0" w:color="auto"/>
        <w:right w:val="none" w:sz="0" w:space="0" w:color="auto"/>
      </w:divBdr>
    </w:div>
    <w:div w:id="1746688442">
      <w:bodyDiv w:val="1"/>
      <w:marLeft w:val="0"/>
      <w:marRight w:val="0"/>
      <w:marTop w:val="0"/>
      <w:marBottom w:val="0"/>
      <w:divBdr>
        <w:top w:val="none" w:sz="0" w:space="0" w:color="auto"/>
        <w:left w:val="none" w:sz="0" w:space="0" w:color="auto"/>
        <w:bottom w:val="none" w:sz="0" w:space="0" w:color="auto"/>
        <w:right w:val="none" w:sz="0" w:space="0" w:color="auto"/>
      </w:divBdr>
    </w:div>
    <w:div w:id="1763212924">
      <w:bodyDiv w:val="1"/>
      <w:marLeft w:val="0"/>
      <w:marRight w:val="0"/>
      <w:marTop w:val="0"/>
      <w:marBottom w:val="0"/>
      <w:divBdr>
        <w:top w:val="none" w:sz="0" w:space="0" w:color="auto"/>
        <w:left w:val="none" w:sz="0" w:space="0" w:color="auto"/>
        <w:bottom w:val="none" w:sz="0" w:space="0" w:color="auto"/>
        <w:right w:val="none" w:sz="0" w:space="0" w:color="auto"/>
      </w:divBdr>
    </w:div>
    <w:div w:id="1763330940">
      <w:bodyDiv w:val="1"/>
      <w:marLeft w:val="0"/>
      <w:marRight w:val="0"/>
      <w:marTop w:val="0"/>
      <w:marBottom w:val="0"/>
      <w:divBdr>
        <w:top w:val="none" w:sz="0" w:space="0" w:color="auto"/>
        <w:left w:val="none" w:sz="0" w:space="0" w:color="auto"/>
        <w:bottom w:val="none" w:sz="0" w:space="0" w:color="auto"/>
        <w:right w:val="none" w:sz="0" w:space="0" w:color="auto"/>
      </w:divBdr>
    </w:div>
    <w:div w:id="1887568097">
      <w:bodyDiv w:val="1"/>
      <w:marLeft w:val="0"/>
      <w:marRight w:val="0"/>
      <w:marTop w:val="0"/>
      <w:marBottom w:val="0"/>
      <w:divBdr>
        <w:top w:val="none" w:sz="0" w:space="0" w:color="auto"/>
        <w:left w:val="none" w:sz="0" w:space="0" w:color="auto"/>
        <w:bottom w:val="none" w:sz="0" w:space="0" w:color="auto"/>
        <w:right w:val="none" w:sz="0" w:space="0" w:color="auto"/>
      </w:divBdr>
    </w:div>
    <w:div w:id="19742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2BC0E-61A2-4380-99C6-A4F66709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2465</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PSRAI</Company>
  <LinksUpToDate>false</LinksUpToDate>
  <CharactersWithSpaces>15942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Methodology</dc:subject>
  <dc:creator>Julie Gasior</dc:creator>
  <cp:keywords/>
  <cp:lastModifiedBy>Wendy Wang</cp:lastModifiedBy>
  <cp:revision>6</cp:revision>
  <cp:lastPrinted>2010-06-22T15:12:00Z</cp:lastPrinted>
  <dcterms:created xsi:type="dcterms:W3CDTF">2010-06-22T15:02:00Z</dcterms:created>
  <dcterms:modified xsi:type="dcterms:W3CDTF">2011-09-20T21:24:00Z</dcterms:modified>
</cp:coreProperties>
</file>