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F76900"/>
          <w:sz w:val="18"/>
        </w:rPr>
        <w:t>BANKINTER</w:t>
      </w:r>
    </w:p>
    <w:p>
      <w:pPr>
        <w:spacing w:before="0" w:after="40"/>
        <w:pBdr>
          <w:bottom w:val="single" w:sz="12" w:space="1" w:color="F76900"/>
        </w:pBdr>
      </w:pPr>
    </w:p>
    <w:p>
      <w:pPr>
        <w:pStyle w:val="Title"/>
        <w:spacing w:before="280"/>
      </w:pPr>
      <w:r>
        <w:rPr>
          <w:rFonts w:ascii="Arial" w:hAnsi="Arial"/>
          <w:b/>
          <w:color w:val="F76900"/>
          <w:sz w:val="44"/>
        </w:rPr>
        <w:t>Informe de riesgo</w:t>
      </w:r>
    </w:p>
    <w:p>
      <w:pPr>
        <w:spacing w:before="80"/>
      </w:pPr>
      <w:r>
        <w:rPr>
          <w:rFonts w:ascii="Arial" w:hAnsi="Arial"/>
          <w:b/>
          <w:color w:val="1A1A1A"/>
          <w:sz w:val="32"/>
        </w:rPr>
        <w:t>Acme Componentes SL</w:t>
      </w:r>
    </w:p>
    <w:p>
      <w:pPr>
        <w:spacing w:before="160" w:after="80"/>
        <w:pBdr>
          <w:bottom w:val="single" w:sz="6" w:space="1" w:color="F76900"/>
        </w:pBdr>
      </w:pP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1) Resumen ejecutivo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 xml:space="preserve">Acme Componentes SL presenta un </w:t>
      </w:r>
      <w:r>
        <w:rPr>
          <w:rFonts w:ascii="Arial" w:hAnsi="Arial"/>
          <w:b/>
          <w:color w:val="1A1A1A"/>
          <w:sz w:val="22"/>
        </w:rPr>
        <w:t>perfil crediticio sólido</w:t>
      </w:r>
      <w:r>
        <w:rPr>
          <w:rFonts w:ascii="Arial" w:hAnsi="Arial"/>
          <w:color w:val="1A1A1A"/>
          <w:sz w:val="22"/>
        </w:rPr>
        <w:t xml:space="preserve"> con </w:t>
      </w:r>
      <w:r>
        <w:rPr>
          <w:rFonts w:ascii="Arial" w:hAnsi="Arial"/>
          <w:b/>
          <w:color w:val="1A1A1A"/>
          <w:sz w:val="22"/>
        </w:rPr>
        <w:t>apalancamiento estable</w:t>
      </w:r>
      <w:r>
        <w:rPr>
          <w:rFonts w:ascii="Arial" w:hAnsi="Arial"/>
          <w:color w:val="1A1A1A"/>
          <w:sz w:val="22"/>
        </w:rPr>
        <w:t xml:space="preserve"> (Debt/EBITDA ~</w:t>
      </w:r>
      <w:r>
        <w:rPr>
          <w:rFonts w:ascii="Arial" w:hAnsi="Arial"/>
          <w:b/>
          <w:color w:val="1A1A1A"/>
          <w:sz w:val="22"/>
        </w:rPr>
        <w:t>2,1x</w:t>
      </w:r>
      <w:r>
        <w:rPr>
          <w:rFonts w:ascii="Arial" w:hAnsi="Arial"/>
          <w:color w:val="1A1A1A"/>
          <w:sz w:val="22"/>
        </w:rPr>
        <w:t xml:space="preserve"> en 2022-2024) y </w:t>
      </w:r>
      <w:r>
        <w:rPr>
          <w:rFonts w:ascii="Arial" w:hAnsi="Arial"/>
          <w:b/>
          <w:color w:val="1A1A1A"/>
          <w:sz w:val="22"/>
        </w:rPr>
        <w:t>capacidad de servicio de deuda holgada</w:t>
      </w:r>
      <w:r>
        <w:rPr>
          <w:rFonts w:ascii="Arial" w:hAnsi="Arial"/>
          <w:color w:val="1A1A1A"/>
          <w:sz w:val="22"/>
        </w:rPr>
        <w:t xml:space="preserve"> (cobertura de intereses </w:t>
      </w:r>
      <w:r>
        <w:rPr>
          <w:rFonts w:ascii="Arial" w:hAnsi="Arial"/>
          <w:b/>
          <w:color w:val="1A1A1A"/>
          <w:sz w:val="22"/>
        </w:rPr>
        <w:t>&gt;8,4x</w:t>
      </w:r>
      <w:r>
        <w:rPr>
          <w:rFonts w:ascii="Arial" w:hAnsi="Arial"/>
          <w:color w:val="1A1A1A"/>
          <w:sz w:val="22"/>
        </w:rPr>
        <w:t xml:space="preserve"> y al alza), junto con </w:t>
      </w:r>
      <w:r>
        <w:rPr>
          <w:rFonts w:ascii="Arial" w:hAnsi="Arial"/>
          <w:b/>
          <w:color w:val="1A1A1A"/>
          <w:sz w:val="22"/>
        </w:rPr>
        <w:t>mejora de liquidez</w:t>
      </w:r>
      <w:r>
        <w:rPr>
          <w:rFonts w:ascii="Arial" w:hAnsi="Arial"/>
          <w:color w:val="1A1A1A"/>
          <w:sz w:val="22"/>
        </w:rPr>
        <w:t xml:space="preserve"> (corriente </w:t>
      </w:r>
      <w:r>
        <w:rPr>
          <w:rFonts w:ascii="Arial" w:hAnsi="Arial"/>
          <w:b/>
          <w:color w:val="1A1A1A"/>
          <w:sz w:val="22"/>
        </w:rPr>
        <w:t>1,32x → 1,48x</w:t>
      </w:r>
      <w:r>
        <w:rPr>
          <w:rFonts w:ascii="Arial" w:hAnsi="Arial"/>
          <w:color w:val="1A1A1A"/>
          <w:sz w:val="22"/>
        </w:rPr>
        <w:t xml:space="preserve">). No obstante, el expediente KYC contiene </w:t>
      </w:r>
      <w:r>
        <w:rPr>
          <w:rFonts w:ascii="Arial" w:hAnsi="Arial"/>
          <w:b/>
          <w:color w:val="1A1A1A"/>
          <w:sz w:val="22"/>
        </w:rPr>
        <w:t>incidencias materiales</w:t>
      </w:r>
      <w:r>
        <w:rPr>
          <w:rFonts w:ascii="Arial" w:hAnsi="Arial"/>
          <w:color w:val="1A1A1A"/>
          <w:sz w:val="22"/>
        </w:rPr>
        <w:t xml:space="preserve">: </w:t>
      </w:r>
      <w:r>
        <w:rPr>
          <w:rFonts w:ascii="Arial" w:hAnsi="Arial"/>
          <w:b/>
          <w:color w:val="1A1A1A"/>
          <w:sz w:val="22"/>
        </w:rPr>
        <w:t>falta de cadena de titularidad del UBO corporativo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ausencia de IDs vigentes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sin auto-certificación fiscal (CRS/FATCA)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sin fuente de fondos/riqueza</w:t>
      </w:r>
      <w:r>
        <w:rPr>
          <w:rFonts w:ascii="Arial" w:hAnsi="Arial"/>
          <w:color w:val="1A1A1A"/>
          <w:sz w:val="22"/>
        </w:rPr>
        <w:t xml:space="preserve">, y </w:t>
      </w:r>
      <w:r>
        <w:rPr>
          <w:rFonts w:ascii="Arial" w:hAnsi="Arial"/>
          <w:b/>
          <w:color w:val="1A1A1A"/>
          <w:sz w:val="22"/>
        </w:rPr>
        <w:t>screening no concluyente con alertas</w:t>
      </w:r>
      <w:r>
        <w:rPr>
          <w:rFonts w:ascii="Arial" w:hAnsi="Arial"/>
          <w:color w:val="1A1A1A"/>
          <w:sz w:val="22"/>
        </w:rPr>
        <w:t xml:space="preserve"> (PEP y adverse media) que requieren revisión. En señales externas, destaca una </w:t>
      </w:r>
      <w:r>
        <w:rPr>
          <w:rFonts w:ascii="Arial" w:hAnsi="Arial"/>
          <w:b/>
          <w:color w:val="1A1A1A"/>
          <w:sz w:val="22"/>
        </w:rPr>
        <w:t>expansión industrial en Polonia (9M€ CapEx)</w:t>
      </w:r>
      <w:r>
        <w:rPr>
          <w:rFonts w:ascii="Arial" w:hAnsi="Arial"/>
          <w:color w:val="1A1A1A"/>
          <w:sz w:val="22"/>
        </w:rPr>
        <w:t xml:space="preserve"> y </w:t>
      </w:r>
      <w:r>
        <w:rPr>
          <w:rFonts w:ascii="Arial" w:hAnsi="Arial"/>
          <w:b/>
          <w:color w:val="1A1A1A"/>
          <w:sz w:val="22"/>
        </w:rPr>
        <w:t>contratos hasta 2027 (&gt;15M€)</w:t>
      </w:r>
      <w:r>
        <w:rPr>
          <w:rFonts w:ascii="Arial" w:hAnsi="Arial"/>
          <w:color w:val="1A1A1A"/>
          <w:sz w:val="22"/>
        </w:rPr>
        <w:t xml:space="preserve">, que aportan visibilidad pero elevan el </w:t>
      </w:r>
      <w:r>
        <w:rPr>
          <w:rFonts w:ascii="Arial" w:hAnsi="Arial"/>
          <w:b/>
          <w:color w:val="1A1A1A"/>
          <w:sz w:val="22"/>
        </w:rPr>
        <w:t>riesgo de ejecución</w:t>
      </w:r>
      <w:r>
        <w:rPr>
          <w:rFonts w:ascii="Arial" w:hAnsi="Arial"/>
          <w:color w:val="1A1A1A"/>
          <w:sz w:val="22"/>
        </w:rPr>
        <w:t xml:space="preserve"> y de </w:t>
      </w:r>
      <w:r>
        <w:rPr>
          <w:rFonts w:ascii="Arial" w:hAnsi="Arial"/>
          <w:b/>
          <w:color w:val="1A1A1A"/>
          <w:sz w:val="22"/>
        </w:rPr>
        <w:t>concentración sectorial (automoción alemana)</w:t>
      </w:r>
      <w:r>
        <w:rPr>
          <w:rFonts w:ascii="Arial" w:hAnsi="Arial"/>
          <w:color w:val="1A1A1A"/>
          <w:sz w:val="22"/>
        </w:rPr>
        <w:t xml:space="preserve">. Recomendación técnica: </w:t>
      </w:r>
      <w:r>
        <w:rPr>
          <w:rFonts w:ascii="Arial" w:hAnsi="Arial"/>
          <w:b/>
          <w:color w:val="1A1A1A"/>
          <w:sz w:val="22"/>
        </w:rPr>
        <w:t>APROBAR CON CONDICIONES / ESCALAR a Cumplimiento</w:t>
      </w:r>
      <w:r>
        <w:rPr>
          <w:rFonts w:ascii="Arial" w:hAnsi="Arial"/>
          <w:color w:val="1A1A1A"/>
          <w:sz w:val="22"/>
        </w:rPr>
        <w:t xml:space="preserve"> para cierre KYC y validación de alertas antes de formalizar.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Fuentes:</w:t>
      </w:r>
      <w:r>
        <w:rPr>
          <w:rFonts w:ascii="Arial" w:hAnsi="Arial"/>
          <w:color w:val="1A1A1A"/>
          <w:sz w:val="22"/>
        </w:rPr>
        <w:t xml:space="preserve"> Valuation Reviewer (ratios e interpretación); Model Builder (magnitudes 2022-2024); KYC Screener (reglas KYC y screening); Market Researcher (noticias 2025).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2) Identificación de la empresa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Nombre legal: Acme Componentes SL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Forma jurídica: Sociedad de Responsabilidad Limitada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NIF/CIF: B50123987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Domicilio social: Polígono Malpica, Calle E nº 18, 50016 Zaragoza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Fecha de constitución: 2003-07-10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Administración / cargos: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Roberto Acme Jiménez</w:t>
      </w:r>
      <w:r>
        <w:rPr>
          <w:rFonts w:ascii="Arial" w:hAnsi="Arial"/>
          <w:color w:val="1A1A1A"/>
          <w:sz w:val="22"/>
        </w:rPr>
        <w:t xml:space="preserve"> - </w:t>
      </w:r>
      <w:r>
        <w:rPr>
          <w:rFonts w:ascii="Arial" w:hAnsi="Arial"/>
          <w:b/>
          <w:color w:val="1A1A1A"/>
          <w:sz w:val="22"/>
        </w:rPr>
        <w:t>Consejero Delegado</w:t>
      </w:r>
      <w:r>
        <w:rPr>
          <w:rFonts w:ascii="Arial" w:hAnsi="Arial"/>
          <w:color w:val="1A1A1A"/>
          <w:sz w:val="22"/>
        </w:rPr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Klaus Meier</w:t>
      </w:r>
      <w:r>
        <w:rPr>
          <w:rFonts w:ascii="Arial" w:hAnsi="Arial"/>
          <w:color w:val="1A1A1A"/>
          <w:sz w:val="22"/>
        </w:rPr>
        <w:t xml:space="preserve"> - </w:t>
      </w:r>
      <w:r>
        <w:rPr>
          <w:rFonts w:ascii="Arial" w:hAnsi="Arial"/>
          <w:b/>
          <w:color w:val="1A1A1A"/>
          <w:sz w:val="22"/>
        </w:rPr>
        <w:t>Consejero</w:t>
      </w:r>
      <w:r>
        <w:rPr>
          <w:rFonts w:ascii="Arial" w:hAnsi="Arial"/>
          <w:color w:val="1A1A1A"/>
          <w:sz w:val="22"/>
        </w:rPr>
        <w:t xml:space="preserve"> (representante de Acme Europe)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Titulares reales (UBO) declarados: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Roberto Acme Jiménez</w:t>
      </w:r>
      <w:r>
        <w:rPr>
          <w:rFonts w:ascii="Arial" w:hAnsi="Arial"/>
          <w:color w:val="1A1A1A"/>
          <w:sz w:val="22"/>
        </w:rPr>
        <w:t xml:space="preserve"> - </w:t>
      </w:r>
      <w:r>
        <w:rPr>
          <w:rFonts w:ascii="Arial" w:hAnsi="Arial"/>
          <w:b/>
          <w:color w:val="1A1A1A"/>
          <w:sz w:val="22"/>
        </w:rPr>
        <w:t>65,0%</w:t>
      </w:r>
      <w:r>
        <w:rPr>
          <w:rFonts w:ascii="Arial" w:hAnsi="Arial"/>
          <w:color w:val="1A1A1A"/>
          <w:sz w:val="22"/>
        </w:rPr>
        <w:t xml:space="preserve"> (control por propiedad)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Acme Europe Holding GmbH</w:t>
      </w:r>
      <w:r>
        <w:rPr>
          <w:rFonts w:ascii="Arial" w:hAnsi="Arial"/>
          <w:color w:val="1A1A1A"/>
          <w:sz w:val="22"/>
        </w:rPr>
        <w:t xml:space="preserve"> - </w:t>
      </w:r>
      <w:r>
        <w:rPr>
          <w:rFonts w:ascii="Arial" w:hAnsi="Arial"/>
          <w:b/>
          <w:color w:val="1A1A1A"/>
          <w:sz w:val="22"/>
        </w:rPr>
        <w:t>35,0%</w:t>
      </w:r>
      <w:r>
        <w:rPr>
          <w:rFonts w:ascii="Arial" w:hAnsi="Arial"/>
          <w:color w:val="1A1A1A"/>
          <w:sz w:val="22"/>
        </w:rPr>
        <w:t xml:space="preserve"> (control por propiedad)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evidencia en `escritura_constitucion.txt` (R-ENT-01, R-OWN-01, R-CTRL-01).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3) Hallazgos KYC (reglas y screening)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3.1 Resultado por regla KYC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R-ENT-01 Identificación completa entidad - PASS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Evidencia: nombre, NIF, forma jurídica, domicilio y constitución en `escritura_constitucion.txt`.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R-OWN-01 UBOs declarados con % - PASS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Evidencia: 65% PF + 35% UBO corporativo en `escritura_constitucion.txt`.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R-OWN-02 Cadena de titularidad UBO corporativo - FAIL (material)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Alerta:</w:t>
      </w:r>
      <w:r>
        <w:rPr>
          <w:rFonts w:ascii="Arial" w:hAnsi="Arial"/>
          <w:color w:val="1A1A1A"/>
          <w:sz w:val="22"/>
        </w:rPr>
        <w:t xml:space="preserve"> falta cadena hasta </w:t>
      </w:r>
      <w:r>
        <w:rPr>
          <w:rFonts w:ascii="Arial" w:hAnsi="Arial"/>
          <w:b/>
          <w:color w:val="1A1A1A"/>
          <w:sz w:val="22"/>
        </w:rPr>
        <w:t>persona física final</w:t>
      </w:r>
      <w:r>
        <w:rPr>
          <w:rFonts w:ascii="Arial" w:hAnsi="Arial"/>
          <w:color w:val="1A1A1A"/>
          <w:sz w:val="22"/>
        </w:rPr>
        <w:t xml:space="preserve"> para </w:t>
      </w:r>
      <w:r>
        <w:rPr>
          <w:rFonts w:ascii="Arial" w:hAnsi="Arial"/>
          <w:b/>
          <w:color w:val="1A1A1A"/>
          <w:sz w:val="22"/>
        </w:rPr>
        <w:t>Acme Europe Holding GmbH (35%)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R-CTRL-01 Administradores identificados - PASS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Evidencia: Roberto Acme Jiménez y Klaus Meier en `escritura_constitucion.txt`.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R-ID-01 IDs vigentes admins/UBOs PF - FAIL (material)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Alerta:</w:t>
      </w:r>
      <w:r>
        <w:rPr>
          <w:rFonts w:ascii="Arial" w:hAnsi="Arial"/>
          <w:color w:val="1A1A1A"/>
          <w:sz w:val="22"/>
        </w:rPr>
        <w:t xml:space="preserve"> no constan </w:t>
      </w:r>
      <w:r>
        <w:rPr>
          <w:rFonts w:ascii="Arial" w:hAnsi="Arial"/>
          <w:b/>
          <w:color w:val="1A1A1A"/>
          <w:sz w:val="22"/>
        </w:rPr>
        <w:t>DNI/pasaporte</w:t>
      </w:r>
      <w:r>
        <w:rPr>
          <w:rFonts w:ascii="Arial" w:hAnsi="Arial"/>
          <w:color w:val="1A1A1A"/>
          <w:sz w:val="22"/>
        </w:rPr>
        <w:t xml:space="preserve"> ni vigencia de Roberto Acme Jiménez y Klaus Meier.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R-ADDR-01 Prueba de domicilio ≤ 3 meses - WARN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Consta domicilio en escritura, pero falta soporte actualizado (nota registral/recibo reciente).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R-TAX-01 CRS/FATCA - FAIL (material)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Alerta:</w:t>
      </w:r>
      <w:r>
        <w:rPr>
          <w:rFonts w:ascii="Arial" w:hAnsi="Arial"/>
          <w:color w:val="1A1A1A"/>
          <w:sz w:val="22"/>
        </w:rPr>
        <w:t xml:space="preserve"> no se aportan formularios de auto-certificación fiscal.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R-SOF-01 Fuente de fondos/riqueza - FAIL (material)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Alerta:</w:t>
      </w:r>
      <w:r>
        <w:rPr>
          <w:rFonts w:ascii="Arial" w:hAnsi="Arial"/>
          <w:color w:val="1A1A1A"/>
          <w:sz w:val="22"/>
        </w:rPr>
        <w:t xml:space="preserve"> no hay documentación/explicación de origen de fondos y flujos.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R-FIN-01 Estados financieros recientes - PASS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Evidencia: `balance_2022.txt`, `balance_2023.txt`, `balance_2024.txt` (según KYC Screener).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R-PEP-01 Declaración PEP y screening - FAIL (material)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Alerta:</w:t>
      </w:r>
      <w:r>
        <w:rPr>
          <w:rFonts w:ascii="Arial" w:hAnsi="Arial"/>
          <w:color w:val="1A1A1A"/>
          <w:sz w:val="22"/>
        </w:rPr>
        <w:t xml:space="preserve"> no consta declaración formal ni resultado concluyente en fuentes operativas.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`kyc_results`.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3.2 Screening (sanciones/PEP/adverse media)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Acme Componentes SL: sin hits en fuente local; resultado no concluyente (requiere repetición en fuente operativa actualizada).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Roberto Acme Jiménez: sin hits en fuente local; resultado no concluyente.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Acme Europe Holding GmbH: hit adverse media (confianza 0,71): investigación por prácticas fiscales (Alemania, 2021), caso cerrado sin condena. Revisión requerida.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Klaus Meier: hit PEP (confianza 0,78): exfuncionario Ministerio de Economía alemán (2014-2018), sin sanciones activas. Revisión requerida.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Conclusión de screening: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ALERTA</w:t>
      </w:r>
      <w:r>
        <w:rPr>
          <w:rFonts w:ascii="Arial" w:hAnsi="Arial"/>
          <w:color w:val="1A1A1A"/>
          <w:sz w:val="22"/>
        </w:rPr>
        <w:t xml:space="preserve"> (2 coincidencias de 4).</w:t>
      </w:r>
    </w:p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`screening_results`, `screening_conclusion` (fuente `local_db`, marcada como no concluyente/review_required).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4) Análisis financiero (2022-2024)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4.1 Magnitudes base (según modelo)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EBITDA: 3,8M€ (2022) → 4,9M€ (2023) → 5,8M€ (2024)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Deuda financiera: 8,0M€ (2022) → 10,5M€ (2023) → 12,0M€ (2024)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Activo corriente: 9,5M€ → 12,1M€ → 14,5M€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Pasivo corriente: 7,2M€ → 8,9M€ → 9,8M€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Gastos financieros: 0,45M€ → 0,52M€ → 0,61M€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Model Builder - `periodos` (datos desde base de datos interna).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4.2 Ratios clave y evolución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Apalancamiento (Debt/EBITDA): 2,11x (2022) → 2,14x (2023) → 2,07x (2024)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Variación 2022-2024: </w:t>
      </w:r>
      <w:r>
        <w:rPr>
          <w:rFonts w:ascii="Arial" w:hAnsi="Arial"/>
          <w:b/>
          <w:color w:val="1A1A1A"/>
          <w:sz w:val="22"/>
        </w:rPr>
        <w:t>-1,7%</w:t>
      </w:r>
      <w:r>
        <w:rPr>
          <w:rFonts w:ascii="Arial" w:hAnsi="Arial"/>
          <w:color w:val="1A1A1A"/>
          <w:sz w:val="22"/>
        </w:rPr>
        <w:t xml:space="preserve"> (ligera mejora).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Liquidez corriente (Activo corriente / Pasivo corriente): 1,32x → 1,36x → 1,48x (mejora sostenida).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Cobertura de intereses (EBITDA / Gastos financieros): 8,44x → 9,42x → 9,51x (holgada y creciente).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Lectura:</w:t>
      </w:r>
      <w:r>
        <w:rPr>
          <w:rFonts w:ascii="Arial" w:hAnsi="Arial"/>
          <w:color w:val="1A1A1A"/>
          <w:sz w:val="22"/>
        </w:rPr>
        <w:t xml:space="preserve"> crecimiento de EBITDA acompaña el aumento de deuda, manteniendo el apalancamiento en torno a </w:t>
      </w:r>
      <w:r>
        <w:rPr>
          <w:rFonts w:ascii="Arial" w:hAnsi="Arial"/>
          <w:b/>
          <w:color w:val="1A1A1A"/>
          <w:sz w:val="22"/>
        </w:rPr>
        <w:t>~2,1x</w:t>
      </w:r>
      <w:r>
        <w:rPr>
          <w:rFonts w:ascii="Arial" w:hAnsi="Arial"/>
          <w:color w:val="1A1A1A"/>
          <w:sz w:val="22"/>
        </w:rPr>
        <w:t>; la liquidez mejora, y la carga financiera es absorbible con margen.</w:t>
      </w:r>
    </w:p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- `ratios_por_periodo` e `interpretacion`; Model Builder - magnitudes.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4.3 Observaciones para comité (limitaciones y peticiones)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Para validar sostenibilidad de la mejora y dimensionar necesidades de financiación, se requiere P&amp;L y cash flow (ventas, margen, CapEx, variación de circulante, FCF) y detalle de deuda (instrumentos, vencimientos, tipo fijo/variable).</w:t>
      </w:r>
    </w:p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- `data_requests_priority`.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5) Señales externas (mercado, noticias, litigios, cambios relevantes)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Expansión internacional (operativo / CapEx): apertura de primera planta en Polonia (Wroclaw), 120 empleados y 9M€ de inversión.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Riesgos asociados: ramp-up, desviaciones de coste/plazo, cumplimiento local, complejidad logística y de proveedores.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Market Researcher - *Expansión* (2025-05-15).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Contratos y concentración (comercial / sectorial): renovación/ampliación con dos OEM alemanes, asegurando &gt;15M€ de ingresos hasta 2027.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Positivo: visibilidad de ingresos.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Riesgos: </w:t>
      </w:r>
      <w:r>
        <w:rPr>
          <w:rFonts w:ascii="Arial" w:hAnsi="Arial"/>
          <w:b/>
          <w:color w:val="1A1A1A"/>
          <w:sz w:val="22"/>
        </w:rPr>
        <w:t>concentración de clientes</w:t>
      </w:r>
      <w:r>
        <w:rPr>
          <w:rFonts w:ascii="Arial" w:hAnsi="Arial"/>
          <w:color w:val="1A1A1A"/>
          <w:sz w:val="22"/>
        </w:rPr>
        <w:t xml:space="preserve">, exposición al ciclo de </w:t>
      </w:r>
      <w:r>
        <w:rPr>
          <w:rFonts w:ascii="Arial" w:hAnsi="Arial"/>
          <w:b/>
          <w:color w:val="1A1A1A"/>
          <w:sz w:val="22"/>
        </w:rPr>
        <w:t>automoción alemana</w:t>
      </w:r>
      <w:r>
        <w:rPr>
          <w:rFonts w:ascii="Arial" w:hAnsi="Arial"/>
          <w:color w:val="1A1A1A"/>
          <w:sz w:val="22"/>
        </w:rPr>
        <w:t>, exigencias de calidad/penalizaciones.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Market Researcher - *El Economista* (2025-12-01).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Riesgo reputacional (grupo/accionista): adverse media sobre Acme Europe Holding GmbH por investigación fiscal (cerrada sin condena).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screening adverse media (local_db, revisión requerida).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6) Evaluación de riesgo (riesgos, mitigantes, comparativa con historial)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6.1 Riesgos identificados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Riesgo de Cumplimiento/KYC (alto, condicionante):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UBO corporativo sin cadena</w:t>
      </w:r>
      <w:r>
        <w:rPr>
          <w:rFonts w:ascii="Arial" w:hAnsi="Arial"/>
          <w:color w:val="1A1A1A"/>
          <w:sz w:val="22"/>
        </w:rPr>
        <w:t xml:space="preserve"> hasta PF final (R-OWN-02 FAIL).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Sin IDs vigentes</w:t>
      </w:r>
      <w:r>
        <w:rPr>
          <w:rFonts w:ascii="Arial" w:hAnsi="Arial"/>
          <w:color w:val="1A1A1A"/>
          <w:sz w:val="22"/>
        </w:rPr>
        <w:t xml:space="preserve"> de administradores/UBO PF (R-ID-01 FAIL).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Sin CRS/FATCA</w:t>
      </w:r>
      <w:r>
        <w:rPr>
          <w:rFonts w:ascii="Arial" w:hAnsi="Arial"/>
          <w:color w:val="1A1A1A"/>
          <w:sz w:val="22"/>
        </w:rPr>
        <w:t xml:space="preserve"> (R-TAX-01 FAIL) y </w:t>
      </w:r>
      <w:r>
        <w:rPr>
          <w:rFonts w:ascii="Arial" w:hAnsi="Arial"/>
          <w:b/>
          <w:color w:val="1A1A1A"/>
          <w:sz w:val="22"/>
        </w:rPr>
        <w:t>sin fuente de fondos/riqueza</w:t>
      </w:r>
      <w:r>
        <w:rPr>
          <w:rFonts w:ascii="Arial" w:hAnsi="Arial"/>
          <w:color w:val="1A1A1A"/>
          <w:sz w:val="22"/>
        </w:rPr>
        <w:t xml:space="preserve"> (R-SOF-01 FAIL).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</w:t>
      </w:r>
      <w:r>
        <w:rPr>
          <w:rFonts w:ascii="Arial" w:hAnsi="Arial"/>
          <w:b/>
          <w:color w:val="1A1A1A"/>
          <w:sz w:val="22"/>
        </w:rPr>
        <w:t>Screening con alertas</w:t>
      </w:r>
      <w:r>
        <w:rPr>
          <w:rFonts w:ascii="Arial" w:hAnsi="Arial"/>
          <w:color w:val="1A1A1A"/>
          <w:sz w:val="22"/>
        </w:rPr>
        <w:t xml:space="preserve">: </w:t>
      </w:r>
      <w:r>
        <w:rPr>
          <w:rFonts w:ascii="Arial" w:hAnsi="Arial"/>
          <w:b/>
          <w:color w:val="1A1A1A"/>
          <w:sz w:val="22"/>
        </w:rPr>
        <w:t>PEP</w:t>
      </w:r>
      <w:r>
        <w:rPr>
          <w:rFonts w:ascii="Arial" w:hAnsi="Arial"/>
          <w:color w:val="1A1A1A"/>
          <w:sz w:val="22"/>
        </w:rPr>
        <w:t xml:space="preserve"> (Klaus Meier) y </w:t>
      </w:r>
      <w:r>
        <w:rPr>
          <w:rFonts w:ascii="Arial" w:hAnsi="Arial"/>
          <w:b/>
          <w:color w:val="1A1A1A"/>
          <w:sz w:val="22"/>
        </w:rPr>
        <w:t>adverse media</w:t>
      </w:r>
      <w:r>
        <w:rPr>
          <w:rFonts w:ascii="Arial" w:hAnsi="Arial"/>
          <w:color w:val="1A1A1A"/>
          <w:sz w:val="22"/>
        </w:rPr>
        <w:t xml:space="preserve"> (Acme Europe Holding GmbH), además de screening </w:t>
      </w:r>
      <w:r>
        <w:rPr>
          <w:rFonts w:ascii="Arial" w:hAnsi="Arial"/>
          <w:b/>
          <w:color w:val="1A1A1A"/>
          <w:sz w:val="22"/>
        </w:rPr>
        <w:t>no concluyente</w:t>
      </w:r>
      <w:r>
        <w:rPr>
          <w:rFonts w:ascii="Arial" w:hAnsi="Arial"/>
          <w:color w:val="1A1A1A"/>
          <w:sz w:val="22"/>
        </w:rPr>
        <w:t xml:space="preserve"> por basarse en fuente local.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reglas y screening.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Riesgo de ejecución por expansión (medio):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CapEx relevante (9M€) y puesta en marcha en Polonia; potencial presión en circulante y costes.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Market Researcher.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Riesgo sectorial/comercial (medio):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Exposición a automoción alemana y posible </w:t>
      </w:r>
      <w:r>
        <w:rPr>
          <w:rFonts w:ascii="Arial" w:hAnsi="Arial"/>
          <w:b/>
          <w:color w:val="1A1A1A"/>
          <w:sz w:val="22"/>
        </w:rPr>
        <w:t>concentración</w:t>
      </w:r>
      <w:r>
        <w:rPr>
          <w:rFonts w:ascii="Arial" w:hAnsi="Arial"/>
          <w:color w:val="1A1A1A"/>
          <w:sz w:val="22"/>
        </w:rPr>
        <w:t xml:space="preserve"> en pocos clientes (aunque con contratos hasta 2027).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Market Researcher.</w:t>
      </w:r>
    </w:p>
    <w:p/>
    <w:p>
      <w:pPr>
        <w:pStyle w:val="ListBullet"/>
      </w:pPr>
      <w:r>
        <w:rPr>
          <w:rFonts w:ascii="Arial" w:hAnsi="Arial"/>
          <w:color w:val="1A1A1A"/>
          <w:sz w:val="22"/>
        </w:rPr>
        <w:t>Riesgo financiero (moderado-bajo, a vigilar):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- Deuda crece (8,0M€ → 12,0M€) pero apalancamiento se mantiene ~2,1x por mejora de EBITDA; riesgo de que nuevas inversiones/circulante eleven deuda si el ramp-up no cumple.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Model Builder + Valuation Reviewer.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6.2 Mitigantes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Capacidad de servicio de deuda holgada: cobertura de intereses ~9,5x (2024).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Liquidez corriente en mejora: 1,48x (2024).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Visibilidad comercial: contratos &gt;15M€ hasta 2027 (si se confirman condiciones y concentración).</w:t>
      </w:r>
    </w:p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Fuentes:</w:t>
      </w:r>
      <w:r>
        <w:rPr>
          <w:rFonts w:ascii="Arial" w:hAnsi="Arial"/>
          <w:color w:val="1A1A1A"/>
          <w:sz w:val="22"/>
        </w:rPr>
        <w:t xml:space="preserve"> Valuation Reviewer (ratios); Market Researcher (contratos).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6.3 Comparativa con historial bancario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Se reporta 0 impagos, operaciones al corriente y rating interno A-; se mencionan incidencias documentales menores ya subsanadas.</w:t>
      </w:r>
    </w:p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- `interpretacion` (nota: no se adjunta extracto de histórico; se toma como referencia del agente de valoración).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7) Recomendación (para decisión del analista)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Recomendación técnica: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APROBAR CON CONDICIONES</w:t>
      </w:r>
      <w:r>
        <w:rPr>
          <w:rFonts w:ascii="Arial" w:hAnsi="Arial"/>
          <w:color w:val="1A1A1A"/>
          <w:sz w:val="22"/>
        </w:rPr>
        <w:t xml:space="preserve"> y </w:t>
      </w:r>
      <w:r>
        <w:rPr>
          <w:rFonts w:ascii="Arial" w:hAnsi="Arial"/>
          <w:b/>
          <w:color w:val="1A1A1A"/>
          <w:sz w:val="22"/>
        </w:rPr>
        <w:t>ESCALAR a Cumplimiento</w:t>
      </w:r>
      <w:r>
        <w:rPr>
          <w:rFonts w:ascii="Arial" w:hAnsi="Arial"/>
          <w:color w:val="1A1A1A"/>
          <w:sz w:val="22"/>
        </w:rPr>
        <w:t xml:space="preserve"> para cierre KYC/screening antes de formalización o desembolso.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Racional:</w:t>
      </w:r>
      <w:r>
        <w:rPr>
          <w:rFonts w:ascii="Arial" w:hAnsi="Arial"/>
          <w:color w:val="1A1A1A"/>
          <w:sz w:val="22"/>
        </w:rPr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 favor (crédito): ratios consistentes con riesgo moderado-bajo (Debt/EBITDA ~2,1x; cobertura &gt;9x; liquidez en mejora) y buen comportamiento histórico reportado.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+ Model Builder.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En contra (cumplimiento): incidencias KYC materiales y alertas de screening (PEP/adverse media) con screening no concluyente; esto impide un cierre KYC robusto sin validación adicional.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&gt; La decisión final corresponde al analista humano y a Cumplimiento, una vez completadas las verificaciones.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1A1A1A"/>
          <w:sz w:val="26"/>
        </w:rPr>
        <w:t>8) Condiciones y próximos pasos (para cierre y mitigación)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8.1 Condiciones KYC/Cumplimiento (previas a formalización/desembolso)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Completar cadena de titularidad de Acme Europe Holding GmbH (35%) hasta beneficiario(s) final(es) persona física, con documentación soporte.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R-OWN-02 FAIL.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Aportar IDs vigentes (DNI/pasaporte) de Roberto Acme Jiménez y Klaus Meier (y de UBOs PF finales de la cadena).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R-ID-01 FAIL.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Auto-certificación fiscal CRS/FATCA firmada y validada.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R-TAX-01 FAIL.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Declaración y evidencia de Fuente de Fondos/Fuente de Riqueza coherente con actividad y flujos (contratos principales, explicación de cobros/pagos, estructura de ingresos).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R-SOF-01 FAIL.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Re-screening en fuentes operativas actualizadas (UE/OFAC/ONU/HMT y/o proveedor interno) para entidad, UBOs y administradores; revisión reforzada PEP para Klaus Meier y análisis de adverse media para Acme Europe Holding GmbH.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KYC Screener - screening `local_db` no concluyente + hits.</w:t>
      </w:r>
    </w:p>
    <w:p/>
    <w:p>
      <w:pPr>
        <w:pStyle w:val="Heading3"/>
        <w:spacing w:before="200" w:after="60"/>
      </w:pPr>
      <w:r>
        <w:rPr>
          <w:rFonts w:ascii="Arial" w:hAnsi="Arial"/>
          <w:color w:val="F76900"/>
          <w:sz w:val="23"/>
        </w:rPr>
        <w:t>8.2 Condiciones financieras / información para seguimiento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Detalle de deuda 2024-2025 por instrumento, vencimientos, covenants y tipo (fijo/variable), para evaluar sensibilidad a tipos y cualquier mención de refinanciación 2027.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- `data_requests_priority`.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P&amp;L y cash flow 2022-2024 (y YTD 2025 si existe): ventas, margen EBITDA, CapEx, variación de circulante y FCF; foco en impacto de expansión en Polonia.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Valuation Reviewer - `data_requests_priority`; Market Researcher - CapEx 9M€.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Seguimiento de concentración de clientes: solicitar desglose de ventas por cliente y condiciones contractuales (penalizaciones, SLAs, duración), alineado con contratos hasta 2027.</w:t>
      </w:r>
    </w:p>
    <w:p>
      <w:pPr>
        <w:spacing w:after="80"/>
      </w:pPr>
      <w:r>
        <w:rPr>
          <w:rFonts w:ascii="Arial" w:hAnsi="Arial"/>
          <w:color w:val="1A1A1A"/>
          <w:sz w:val="22"/>
        </w:rPr>
        <w:t xml:space="preserve">  </w:t>
      </w:r>
      <w:r>
        <w:rPr>
          <w:rFonts w:ascii="Arial" w:hAnsi="Arial"/>
          <w:b/>
          <w:color w:val="1A1A1A"/>
          <w:sz w:val="22"/>
        </w:rPr>
        <w:t>Fuente:</w:t>
      </w:r>
      <w:r>
        <w:rPr>
          <w:rFonts w:ascii="Arial" w:hAnsi="Arial"/>
          <w:color w:val="1A1A1A"/>
          <w:sz w:val="22"/>
        </w:rPr>
        <w:t xml:space="preserve"> Market Researcher - contratos con OEM alemanes.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  <w:t>---</w:t>
      </w:r>
    </w:p>
    <w:p/>
    <w:p>
      <w:pPr>
        <w:spacing w:after="80"/>
      </w:pPr>
      <w:r>
        <w:rPr>
          <w:rFonts w:ascii="Arial" w:hAnsi="Arial"/>
          <w:color w:val="1A1A1A"/>
          <w:sz w:val="22"/>
        </w:rPr>
      </w:r>
      <w:r>
        <w:rPr>
          <w:rFonts w:ascii="Arial" w:hAnsi="Arial"/>
          <w:b/>
          <w:color w:val="1A1A1A"/>
          <w:sz w:val="22"/>
        </w:rPr>
        <w:t>Anexos / trazabilidad de inputs utilizados</w:t>
      </w:r>
      <w:r>
        <w:rPr>
          <w:rFonts w:ascii="Arial" w:hAnsi="Arial"/>
          <w:color w:val="1A1A1A"/>
          <w:sz w:val="22"/>
        </w:rPr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KYC Screener: escritura_constitucion.txt, balance_2022.txt, balance_2023.txt, balance_2024.txt; reglas R-ENT-01, R-OWN-01/02, R-CTRL-01, R-ID-01, R-ADDR-01, R-TAX-01, R-SOF-01, R-FIN-01, R-PEP-01; screening local_db.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Model Builder: magnitudes 2022-2024 (EBITDA, deuda, activo/pasivo corriente, gastos financieros).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Valuation Reviewer: ratios (Debt/EBITDA, liquidez corriente, cobertura intereses), lectura de historial (A-, 0 impagos) y data requests.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Market Researcher: noticias Expansión (2025-05-15) y El Economista (2025-12-01).</w:t>
      </w:r>
    </w:p>
    <w:p/>
    <w:p>
      <w:pPr>
        <w:spacing w:after="80"/>
        <w:pBdr>
          <w:bottom w:val="single" w:sz="4" w:space="1" w:color="F76900"/>
        </w:pBdr>
      </w:pPr>
    </w:p>
    <w:p>
      <w:pPr>
        <w:spacing w:before="120"/>
        <w:jc w:val="center"/>
      </w:pPr>
      <w:r>
        <w:rPr>
          <w:rFonts w:ascii="Arial" w:hAnsi="Arial"/>
          <w:i/>
          <w:color w:val="6B6B6B"/>
          <w:sz w:val="17"/>
        </w:rPr>
        <w:t>Herramienta de apoyo al analista. Las recomendaciones generadas no constituyen una decision de aprobacion o denegacion de la operacion. La decision final corresponde al analista y al comite de riesgos.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