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6B7280"/>
          <w:sz w:val="18"/>
        </w:rPr>
        <w:t>BANKINTER</w:t>
      </w:r>
    </w:p>
    <w:p>
      <w:pPr>
        <w:pStyle w:val="Title"/>
      </w:pPr>
      <w:r>
        <w:rPr>
          <w:rFonts w:ascii="Arial" w:hAnsi="Arial"/>
          <w:b/>
          <w:color w:val="FF8D30"/>
          <w:sz w:val="44"/>
        </w:rPr>
        <w:t>Informe de riesgo</w:t>
      </w:r>
    </w:p>
    <w:p>
      <w:r>
        <w:rPr>
          <w:rFonts w:ascii="Arial" w:hAnsi="Arial"/>
          <w:b/>
          <w:color w:val="212425"/>
          <w:sz w:val="32"/>
        </w:rPr>
        <w:t>Acme Componentes SL</w:t>
      </w:r>
    </w:p>
    <w:p>
      <w:pPr>
        <w:spacing w:after="80"/>
        <w:pBdr>
          <w:bottom w:val="single" w:sz="6" w:space="1" w:color="FF8D30"/>
        </w:pBdr>
      </w:pPr>
    </w:p>
    <w:p/>
    <w:p>
      <w:pPr>
        <w:pStyle w:val="Heading2"/>
        <w:spacing w:before="280" w:after="80"/>
      </w:pPr>
      <w:r>
        <w:rPr>
          <w:rFonts w:ascii="Arial" w:hAnsi="Arial"/>
          <w:color w:val="212425"/>
          <w:sz w:val="26"/>
        </w:rPr>
        <w:t>1. Resumen ejecutivo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 xml:space="preserve">Acme Componentes SL presenta un desempeño financiero </w:t>
      </w:r>
      <w:r>
        <w:rPr>
          <w:rFonts w:ascii="Arial" w:hAnsi="Arial"/>
          <w:b/>
          <w:color w:val="212425"/>
          <w:sz w:val="22"/>
        </w:rPr>
        <w:t>positivo</w:t>
      </w:r>
      <w:r>
        <w:rPr>
          <w:rFonts w:ascii="Arial" w:hAnsi="Arial"/>
          <w:color w:val="212425"/>
          <w:sz w:val="22"/>
        </w:rPr>
        <w:t xml:space="preserve"> en 2022-2024, con </w:t>
      </w:r>
      <w:r>
        <w:rPr>
          <w:rFonts w:ascii="Arial" w:hAnsi="Arial"/>
          <w:b/>
          <w:color w:val="212425"/>
          <w:sz w:val="22"/>
        </w:rPr>
        <w:t>crecimiento de ingresos</w:t>
      </w:r>
      <w:r>
        <w:rPr>
          <w:rFonts w:ascii="Arial" w:hAnsi="Arial"/>
          <w:color w:val="212425"/>
          <w:sz w:val="22"/>
        </w:rPr>
        <w:t xml:space="preserve">, </w:t>
      </w:r>
      <w:r>
        <w:rPr>
          <w:rFonts w:ascii="Arial" w:hAnsi="Arial"/>
          <w:b/>
          <w:color w:val="212425"/>
          <w:sz w:val="22"/>
        </w:rPr>
        <w:t>expansión de margen EBITDA</w:t>
      </w:r>
      <w:r>
        <w:rPr>
          <w:rFonts w:ascii="Arial" w:hAnsi="Arial"/>
          <w:color w:val="212425"/>
          <w:sz w:val="22"/>
        </w:rPr>
        <w:t xml:space="preserve"> y </w:t>
      </w:r>
      <w:r>
        <w:rPr>
          <w:rFonts w:ascii="Arial" w:hAnsi="Arial"/>
          <w:b/>
          <w:color w:val="212425"/>
          <w:sz w:val="22"/>
        </w:rPr>
        <w:t>apalancamiento moderado</w:t>
      </w:r>
      <w:r>
        <w:rPr>
          <w:rFonts w:ascii="Arial" w:hAnsi="Arial"/>
          <w:color w:val="212425"/>
          <w:sz w:val="22"/>
        </w:rPr>
        <w:t xml:space="preserve"> (ND/EBITDA ~2,1x) con </w:t>
      </w:r>
      <w:r>
        <w:rPr>
          <w:rFonts w:ascii="Arial" w:hAnsi="Arial"/>
          <w:b/>
          <w:color w:val="212425"/>
          <w:sz w:val="22"/>
        </w:rPr>
        <w:t>cobertura de intereses holgada</w:t>
      </w:r>
      <w:r>
        <w:rPr>
          <w:rFonts w:ascii="Arial" w:hAnsi="Arial"/>
          <w:color w:val="212425"/>
          <w:sz w:val="22"/>
        </w:rPr>
        <w:t xml:space="preserve"> (&gt;8x). El historial con el banco es </w:t>
      </w:r>
      <w:r>
        <w:rPr>
          <w:rFonts w:ascii="Arial" w:hAnsi="Arial"/>
          <w:b/>
          <w:color w:val="212425"/>
          <w:sz w:val="22"/>
        </w:rPr>
        <w:t>favorable</w:t>
      </w:r>
      <w:r>
        <w:rPr>
          <w:rFonts w:ascii="Arial" w:hAnsi="Arial"/>
          <w:color w:val="212425"/>
          <w:sz w:val="22"/>
        </w:rPr>
        <w:t xml:space="preserve"> (sin impagos; operaciones vigentes al corriente), coherente con el perfil financiero observado. No obstante, existen </w:t>
      </w:r>
      <w:r>
        <w:rPr>
          <w:rFonts w:ascii="Arial" w:hAnsi="Arial"/>
          <w:b/>
          <w:color w:val="212425"/>
          <w:sz w:val="22"/>
        </w:rPr>
        <w:t>brechas KYC materiales</w:t>
      </w:r>
      <w:r>
        <w:rPr>
          <w:rFonts w:ascii="Arial" w:hAnsi="Arial"/>
          <w:color w:val="212425"/>
          <w:sz w:val="22"/>
        </w:rPr>
        <w:t xml:space="preserve"> y un resultado de screening </w:t>
      </w:r>
      <w:r>
        <w:rPr>
          <w:rFonts w:ascii="Arial" w:hAnsi="Arial"/>
          <w:b/>
          <w:color w:val="212425"/>
          <w:sz w:val="22"/>
        </w:rPr>
        <w:t>NO CONCLUYENTE</w:t>
      </w:r>
      <w:r>
        <w:rPr>
          <w:rFonts w:ascii="Arial" w:hAnsi="Arial"/>
          <w:color w:val="212425"/>
          <w:sz w:val="22"/>
        </w:rPr>
        <w:t xml:space="preserve">: </w:t>
      </w:r>
      <w:r>
        <w:rPr>
          <w:rFonts w:ascii="Arial" w:hAnsi="Arial"/>
          <w:b/>
          <w:color w:val="212425"/>
          <w:sz w:val="22"/>
        </w:rPr>
        <w:t>no se ha realizado/documentado screening de sanciones/PEP/adverse media</w:t>
      </w:r>
      <w:r>
        <w:rPr>
          <w:rFonts w:ascii="Arial" w:hAnsi="Arial"/>
          <w:color w:val="212425"/>
          <w:sz w:val="22"/>
        </w:rPr>
        <w:t xml:space="preserve"> y falta transparencia/soporte del </w:t>
      </w:r>
      <w:r>
        <w:rPr>
          <w:rFonts w:ascii="Arial" w:hAnsi="Arial"/>
          <w:b/>
          <w:color w:val="212425"/>
          <w:sz w:val="22"/>
        </w:rPr>
        <w:t>UBO entidad</w:t>
      </w:r>
      <w:r>
        <w:rPr>
          <w:rFonts w:ascii="Arial" w:hAnsi="Arial"/>
          <w:color w:val="212425"/>
          <w:sz w:val="22"/>
        </w:rPr>
        <w:t xml:space="preserve"> (Acme Europe Holding GmbH), además de documentación de poderes y fiscalidad. En consecuencia, el nivel de riesgo consolidado se considera </w:t>
      </w:r>
      <w:r>
        <w:rPr>
          <w:rFonts w:ascii="Arial" w:hAnsi="Arial"/>
          <w:b/>
          <w:color w:val="212425"/>
          <w:sz w:val="22"/>
        </w:rPr>
        <w:t>MEDIO</w:t>
      </w:r>
      <w:r>
        <w:rPr>
          <w:rFonts w:ascii="Arial" w:hAnsi="Arial"/>
          <w:color w:val="212425"/>
          <w:sz w:val="22"/>
        </w:rPr>
        <w:t xml:space="preserve">, con necesidad de </w:t>
      </w:r>
      <w:r>
        <w:rPr>
          <w:rFonts w:ascii="Arial" w:hAnsi="Arial"/>
          <w:b/>
          <w:color w:val="212425"/>
          <w:sz w:val="22"/>
        </w:rPr>
        <w:t>condicionar</w:t>
      </w:r>
      <w:r>
        <w:rPr>
          <w:rFonts w:ascii="Arial" w:hAnsi="Arial"/>
          <w:color w:val="212425"/>
          <w:sz w:val="22"/>
        </w:rPr>
        <w:t xml:space="preserve"> cualquier avance crediticio a la regularización KYC y a completar información de caja/deuda para evaluar capacidad de repago.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KYC Screener Agent (rules_engine, required_document_check, screening_conclusion, internal_notes); Model Builder Agent (métricas 2022-2024); Valuation Reviewer Agent (conclusiones, gaps, historial bancario); Market Researcher Agent (ausencia de señales internas registradas).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212425"/>
          <w:sz w:val="26"/>
        </w:rPr>
        <w:t>2. Identificación de la empresa</w:t>
      </w:r>
    </w:p>
    <w:p/>
    <w:p>
      <w:pPr>
        <w:pStyle w:val="ListBullet"/>
      </w:pPr>
      <w:r>
        <w:rPr>
          <w:rFonts w:ascii="Arial" w:hAnsi="Arial"/>
          <w:sz w:val="22"/>
        </w:rPr>
        <w:t>Razón social: Acme Componentes SL</w:t>
      </w:r>
    </w:p>
    <w:p>
      <w:pPr>
        <w:pStyle w:val="ListBullet"/>
      </w:pPr>
      <w:r>
        <w:rPr>
          <w:rFonts w:ascii="Arial" w:hAnsi="Arial"/>
          <w:sz w:val="22"/>
        </w:rPr>
        <w:t>Forma jurídica: Sociedad de Responsabilidad Limitada</w:t>
      </w:r>
    </w:p>
    <w:p>
      <w:pPr>
        <w:pStyle w:val="ListBullet"/>
      </w:pPr>
      <w:r>
        <w:rPr>
          <w:rFonts w:ascii="Arial" w:hAnsi="Arial"/>
          <w:sz w:val="22"/>
        </w:rPr>
        <w:t>NIF/CIF: B50123987</w:t>
      </w:r>
    </w:p>
    <w:p>
      <w:pPr>
        <w:pStyle w:val="ListBullet"/>
      </w:pPr>
      <w:r>
        <w:rPr>
          <w:rFonts w:ascii="Arial" w:hAnsi="Arial"/>
          <w:sz w:val="22"/>
        </w:rPr>
        <w:t>Fecha de constitución: 2003-07-10</w:t>
      </w:r>
    </w:p>
    <w:p>
      <w:pPr>
        <w:pStyle w:val="ListBullet"/>
      </w:pPr>
      <w:r>
        <w:rPr>
          <w:rFonts w:ascii="Arial" w:hAnsi="Arial"/>
          <w:sz w:val="22"/>
        </w:rPr>
        <w:t>Jurisdicción: España</w:t>
      </w:r>
    </w:p>
    <w:p>
      <w:pPr>
        <w:pStyle w:val="ListBullet"/>
      </w:pPr>
      <w:r>
        <w:rPr>
          <w:rFonts w:ascii="Arial" w:hAnsi="Arial"/>
          <w:sz w:val="22"/>
        </w:rPr>
        <w:t>Domicilio social: Polígono Malpica, Calle E nº 18, 50016 Zaragoza</w:t>
      </w:r>
    </w:p>
    <w:p>
      <w:pPr>
        <w:pStyle w:val="ListBullet"/>
      </w:pPr>
      <w:r>
        <w:rPr>
          <w:rFonts w:ascii="Arial" w:hAnsi="Arial"/>
          <w:sz w:val="22"/>
        </w:rPr>
        <w:t>Actividad / CNAE: 2562 - Tratamiento y revestimiento de metales (Sector industrial)</w:t>
      </w:r>
    </w:p>
    <w:p>
      <w:pPr>
        <w:pStyle w:val="ListBullet"/>
      </w:pPr>
      <w:r>
        <w:rPr>
          <w:rFonts w:ascii="Arial" w:hAnsi="Arial"/>
          <w:sz w:val="22"/>
        </w:rPr>
        <w:t>Capital social: 800.000 EUR</w:t>
      </w:r>
    </w:p>
    <w:p>
      <w:pPr>
        <w:pStyle w:val="ListBullet"/>
      </w:pPr>
      <w:r>
        <w:rPr>
          <w:rFonts w:ascii="Arial" w:hAnsi="Arial"/>
          <w:sz w:val="22"/>
        </w:rPr>
        <w:t>Empleados: 310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Administración / control (declarado):</w:t>
      </w:r>
      <w:r>
        <w:rPr>
          <w:rFonts w:ascii="Arial" w:hAnsi="Arial"/>
          <w:color w:val="212425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Roberto Acme Jiménez - Consejero Delegado</w:t>
      </w:r>
    </w:p>
    <w:p>
      <w:pPr>
        <w:pStyle w:val="ListBullet"/>
      </w:pPr>
      <w:r>
        <w:rPr>
          <w:rFonts w:ascii="Arial" w:hAnsi="Arial"/>
          <w:sz w:val="22"/>
        </w:rPr>
        <w:t>Klaus Meier - Consejero (representante Acme Europe)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Titulares reales (UBO) declarados:</w:t>
      </w:r>
      <w:r>
        <w:rPr>
          <w:rFonts w:ascii="Arial" w:hAnsi="Arial"/>
          <w:color w:val="212425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Roberto Acme Jiménez - 65% (base: propiedad)</w:t>
      </w:r>
    </w:p>
    <w:p>
      <w:pPr>
        <w:pStyle w:val="ListBullet"/>
      </w:pPr>
      <w:r>
        <w:rPr>
          <w:rFonts w:ascii="Arial" w:hAnsi="Arial"/>
          <w:sz w:val="22"/>
        </w:rPr>
        <w:t>Acme Europe Holding GmbH (Alemania) - 35% (base: propiedad)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KYC Screener Agent (`extracted_entities.applicant`, `controllers`, `beneficial_owners`, `addresses`).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212425"/>
          <w:sz w:val="26"/>
        </w:rPr>
        <w:t>3. Hallazgos KYC (resultado de reglas y alertas)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3.1 Resultado del motor de reglas KYC</w:t>
      </w:r>
    </w:p>
    <w:p>
      <w:pPr>
        <w:pStyle w:val="ListBullet"/>
      </w:pPr>
      <w:r>
        <w:rPr>
          <w:rFonts w:ascii="Arial" w:hAnsi="Arial"/>
          <w:sz w:val="22"/>
        </w:rPr>
        <w:t>Recomendación de rating KYC: medium</w:t>
      </w:r>
    </w:p>
    <w:p>
      <w:pPr>
        <w:pStyle w:val="ListBullet"/>
      </w:pPr>
      <w:r>
        <w:rPr>
          <w:rFonts w:ascii="Arial" w:hAnsi="Arial"/>
          <w:sz w:val="22"/>
        </w:rPr>
        <w:t>Disposición recomendada: request-docs</w:t>
      </w:r>
    </w:p>
    <w:p>
      <w:pPr>
        <w:pStyle w:val="ListBullet"/>
      </w:pPr>
      <w:r>
        <w:rPr>
          <w:rFonts w:ascii="Arial" w:hAnsi="Arial"/>
          <w:sz w:val="22"/>
        </w:rPr>
        <w:t>Triggers de escalado: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</w:t>
      </w:r>
      <w:r>
        <w:rPr>
          <w:rFonts w:ascii="Arial" w:hAnsi="Arial"/>
          <w:b/>
          <w:color w:val="212425"/>
          <w:sz w:val="22"/>
        </w:rPr>
        <w:t>Screening no realizado/documentado</w:t>
      </w:r>
      <w:r>
        <w:rPr>
          <w:rFonts w:ascii="Arial" w:hAnsi="Arial"/>
          <w:color w:val="212425"/>
          <w:sz w:val="22"/>
        </w:rPr>
        <w:t xml:space="preserve"> (</w:t>
      </w:r>
      <w:r>
        <w:rPr>
          <w:rFonts w:ascii="Arial" w:hAnsi="Arial"/>
          <w:b/>
          <w:color w:val="212425"/>
          <w:sz w:val="22"/>
        </w:rPr>
        <w:t>KYC-SCR-01</w:t>
      </w:r>
      <w:r>
        <w:rPr>
          <w:rFonts w:ascii="Arial" w:hAnsi="Arial"/>
          <w:color w:val="212425"/>
          <w:sz w:val="22"/>
        </w:rPr>
        <w:t>)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</w:t>
      </w:r>
      <w:r>
        <w:rPr>
          <w:rFonts w:ascii="Arial" w:hAnsi="Arial"/>
          <w:b/>
          <w:color w:val="212425"/>
          <w:sz w:val="22"/>
        </w:rPr>
        <w:t>UBO entidad sin transparencia hasta beneficiario final</w:t>
      </w:r>
      <w:r>
        <w:rPr>
          <w:rFonts w:ascii="Arial" w:hAnsi="Arial"/>
          <w:color w:val="212425"/>
          <w:sz w:val="22"/>
        </w:rPr>
        <w:t xml:space="preserve"> (</w:t>
      </w:r>
      <w:r>
        <w:rPr>
          <w:rFonts w:ascii="Arial" w:hAnsi="Arial"/>
          <w:b/>
          <w:color w:val="212425"/>
          <w:sz w:val="22"/>
        </w:rPr>
        <w:t>KYC-UBO-03</w:t>
      </w:r>
      <w:r>
        <w:rPr>
          <w:rFonts w:ascii="Arial" w:hAnsi="Arial"/>
          <w:color w:val="212425"/>
          <w:sz w:val="22"/>
        </w:rPr>
        <w:t>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KYC Screener Agent (`kyc_results.rules_engine.risk_rating_recommendation`, `disposition_recommendation`, `escalation_triggers`).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3.2 Cumplimiento por regla (trazabilidad)</w:t>
      </w:r>
    </w:p>
    <w:p>
      <w:pPr>
        <w:pStyle w:val="ListBullet"/>
      </w:pPr>
      <w:r>
        <w:rPr>
          <w:rFonts w:ascii="Arial" w:hAnsi="Arial"/>
          <w:sz w:val="22"/>
        </w:rPr>
        <w:t>KYC-ENT-01 (Nombre legal y NIF/CIF): PASS - evidencia: escritura_constitucion.txt (NIF/CIF B50123987)</w:t>
      </w:r>
    </w:p>
    <w:p>
      <w:pPr>
        <w:pStyle w:val="ListBullet"/>
      </w:pPr>
      <w:r>
        <w:rPr>
          <w:rFonts w:ascii="Arial" w:hAnsi="Arial"/>
          <w:sz w:val="22"/>
        </w:rPr>
        <w:t>KYC-ENT-02 (Domicilio social): PASS - evidencia: escritura_constitucion.txt (domicilio Zaragoza)</w:t>
      </w:r>
    </w:p>
    <w:p>
      <w:pPr>
        <w:pStyle w:val="ListBullet"/>
      </w:pPr>
      <w:r>
        <w:rPr>
          <w:rFonts w:ascii="Arial" w:hAnsi="Arial"/>
          <w:sz w:val="22"/>
        </w:rPr>
        <w:t>KYC-UBO-01 (Identificar UBOs con % y base): PASS_PARTIAL - UBOs listados con %; base implícita por propiedad</w:t>
      </w:r>
    </w:p>
    <w:p>
      <w:pPr>
        <w:pStyle w:val="ListBullet"/>
      </w:pPr>
      <w:r>
        <w:rPr>
          <w:rFonts w:ascii="Arial" w:hAnsi="Arial"/>
          <w:sz w:val="22"/>
        </w:rPr>
        <w:t>KYC-UBO-02 (Verificar UBO individual con ID y DOB): FAIL - no consta ID ni fecha de nacimiento de Roberto Acme Jiménez</w:t>
      </w:r>
    </w:p>
    <w:p>
      <w:pPr>
        <w:pStyle w:val="ListBullet"/>
      </w:pPr>
      <w:r>
        <w:rPr>
          <w:rFonts w:ascii="Arial" w:hAnsi="Arial"/>
          <w:sz w:val="22"/>
        </w:rPr>
        <w:t>KYC-UBO-03 (UBO entidad: doc corporativa + UBO final): FAIL - Acme Europe Holding GmbH sin documentación ni UBO final</w:t>
      </w:r>
    </w:p>
    <w:p>
      <w:pPr>
        <w:pStyle w:val="ListBullet"/>
      </w:pPr>
      <w:r>
        <w:rPr>
          <w:rFonts w:ascii="Arial" w:hAnsi="Arial"/>
          <w:sz w:val="22"/>
        </w:rPr>
        <w:t>KYC-CTRL-01 (Controladores y autoridad de firma): FAIL - administradores listados sin poderes/acta/mandato ni verificación</w:t>
      </w:r>
    </w:p>
    <w:p>
      <w:pPr>
        <w:pStyle w:val="ListBullet"/>
      </w:pPr>
      <w:r>
        <w:rPr>
          <w:rFonts w:ascii="Arial" w:hAnsi="Arial"/>
          <w:sz w:val="22"/>
        </w:rPr>
        <w:t>KYC-SOF-01 (Fuente de fondos/riqueza): FAIL_PARTIAL - hay balances 2022-2024, pero falta declaración formal SoF/SoW</w:t>
      </w:r>
    </w:p>
    <w:p>
      <w:pPr>
        <w:pStyle w:val="ListBullet"/>
      </w:pPr>
      <w:r>
        <w:rPr>
          <w:rFonts w:ascii="Arial" w:hAnsi="Arial"/>
          <w:sz w:val="22"/>
        </w:rPr>
        <w:t>KYC-SCR-01 (Screening sanciones/PEP/adverse media): FAIL - no hay resultados de screening (solo “sin alertas en BBDD del banco”)</w:t>
      </w:r>
    </w:p>
    <w:p>
      <w:pPr>
        <w:pStyle w:val="ListBullet"/>
      </w:pPr>
      <w:r>
        <w:rPr>
          <w:rFonts w:ascii="Arial" w:hAnsi="Arial"/>
          <w:sz w:val="22"/>
        </w:rPr>
        <w:t>KYC-TAX-01 (CRS/FATCA y formularios fiscales): FAIL - no consta documentación fiscal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KYC Screener Agent (`kyc_results.rules_engine.rule_outcomes`, `required_document_check`, `internal_notes.bank_db_alerts`).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3.3 Documentación faltante (resumen)</w:t>
      </w:r>
    </w:p>
    <w:p>
      <w:pPr>
        <w:pStyle w:val="ListBullet"/>
      </w:pPr>
      <w:r>
        <w:rPr>
          <w:rFonts w:ascii="Arial" w:hAnsi="Arial"/>
          <w:sz w:val="22"/>
        </w:rPr>
        <w:t>ID + DOB del UBO individual (Roberto Acme Jiménez)</w:t>
      </w:r>
    </w:p>
    <w:p>
      <w:pPr>
        <w:pStyle w:val="ListBullet"/>
      </w:pPr>
      <w:r>
        <w:rPr>
          <w:rFonts w:ascii="Arial" w:hAnsi="Arial"/>
          <w:sz w:val="22"/>
        </w:rPr>
        <w:t>Documentación corporativa de Acme Europe Holding GmbH + determinación de UBO(s) final(es)</w:t>
      </w:r>
    </w:p>
    <w:p>
      <w:pPr>
        <w:pStyle w:val="ListBullet"/>
      </w:pPr>
      <w:r>
        <w:rPr>
          <w:rFonts w:ascii="Arial" w:hAnsi="Arial"/>
          <w:sz w:val="22"/>
        </w:rPr>
        <w:t>Poderes/acta de nombramiento y autorización de firma de administradores/representantes</w:t>
      </w:r>
    </w:p>
    <w:p>
      <w:pPr>
        <w:pStyle w:val="ListBullet"/>
      </w:pPr>
      <w:r>
        <w:rPr>
          <w:rFonts w:ascii="Arial" w:hAnsi="Arial"/>
          <w:sz w:val="22"/>
        </w:rPr>
        <w:t>Prueba de domicilio de la entidad (≤ 3 meses)</w:t>
      </w:r>
    </w:p>
    <w:p>
      <w:pPr>
        <w:pStyle w:val="ListBullet"/>
      </w:pPr>
      <w:r>
        <w:rPr>
          <w:rFonts w:ascii="Arial" w:hAnsi="Arial"/>
          <w:sz w:val="22"/>
        </w:rPr>
        <w:t>Formulario KYC: propósito de la relación, actividad detallada, volumen esperado</w:t>
      </w:r>
    </w:p>
    <w:p>
      <w:pPr>
        <w:pStyle w:val="ListBullet"/>
      </w:pPr>
      <w:r>
        <w:rPr>
          <w:rFonts w:ascii="Arial" w:hAnsi="Arial"/>
          <w:sz w:val="22"/>
        </w:rPr>
        <w:t>Declaración de Fuente de fondos/riqueza + soporte</w:t>
      </w:r>
    </w:p>
    <w:p>
      <w:pPr>
        <w:pStyle w:val="ListBullet"/>
      </w:pPr>
      <w:r>
        <w:rPr>
          <w:rFonts w:ascii="Arial" w:hAnsi="Arial"/>
          <w:sz w:val="22"/>
        </w:rPr>
        <w:t>CRS/FATCA (y formularios aplicables)</w:t>
      </w:r>
    </w:p>
    <w:p>
      <w:pPr>
        <w:pStyle w:val="ListBullet"/>
      </w:pPr>
      <w:r>
        <w:rPr>
          <w:rFonts w:ascii="Arial" w:hAnsi="Arial"/>
          <w:sz w:val="22"/>
        </w:rPr>
        <w:t>Resultados de screening sanciones/PEP/adverse media (entidad, UBOs y administradores)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KYC Screener Agent (`missing_documents_summary`).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212425"/>
          <w:sz w:val="26"/>
        </w:rPr>
        <w:t>4. Análisis financiero (evolución de ratios clave)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 xml:space="preserve">&gt; Nota de alcance: el modelo está construido con datos de ingresos, EBITDA, gastos financieros, activo/pasivo corriente, patrimonio neto y deuda financiera neta. </w:t>
      </w:r>
      <w:r>
        <w:rPr>
          <w:rFonts w:ascii="Arial" w:hAnsi="Arial"/>
          <w:b/>
          <w:color w:val="212425"/>
          <w:sz w:val="22"/>
        </w:rPr>
        <w:t>No</w:t>
      </w:r>
      <w:r>
        <w:rPr>
          <w:rFonts w:ascii="Arial" w:hAnsi="Arial"/>
          <w:color w:val="212425"/>
          <w:sz w:val="22"/>
        </w:rPr>
        <w:t xml:space="preserve"> hay estado de flujos, CAPEX, caja ni deuda bruta, lo que limita el análisis de repago por caja y estructura de deuda.</w:t>
      </w:r>
    </w:p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Model Builder Agent (`data_quality.missing_fields`); Valuation Reviewer Agent (`data_gaps_and_limitations`).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4.1 Crecimiento y rentabilidad</w:t>
      </w:r>
    </w:p>
    <w:p>
      <w:pPr>
        <w:pStyle w:val="ListBullet"/>
      </w:pPr>
      <w:r>
        <w:rPr>
          <w:rFonts w:ascii="Arial" w:hAnsi="Arial"/>
          <w:sz w:val="22"/>
        </w:rPr>
        <w:t>Ingresos: 32,0M (2022) → 38,0M (2023) → 42,0M (2024)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Crecimiento YoY: </w:t>
      </w:r>
      <w:r>
        <w:rPr>
          <w:rFonts w:ascii="Arial" w:hAnsi="Arial"/>
          <w:b/>
          <w:color w:val="212425"/>
          <w:sz w:val="22"/>
        </w:rPr>
        <w:t>+18,8% (2023)</w:t>
      </w:r>
      <w:r>
        <w:rPr>
          <w:rFonts w:ascii="Arial" w:hAnsi="Arial"/>
          <w:color w:val="212425"/>
          <w:sz w:val="22"/>
        </w:rPr>
        <w:t xml:space="preserve">; </w:t>
      </w:r>
      <w:r>
        <w:rPr>
          <w:rFonts w:ascii="Arial" w:hAnsi="Arial"/>
          <w:b/>
          <w:color w:val="212425"/>
          <w:sz w:val="22"/>
        </w:rPr>
        <w:t>+10,5% (2024)</w:t>
      </w:r>
      <w:r>
        <w:rPr>
          <w:rFonts w:ascii="Arial" w:hAnsi="Arial"/>
          <w:color w:val="212425"/>
          <w:sz w:val="22"/>
        </w:rPr>
        <w:t xml:space="preserve"> (desaceleración)</w:t>
      </w:r>
    </w:p>
    <w:p>
      <w:pPr>
        <w:pStyle w:val="ListBullet"/>
      </w:pPr>
      <w:r>
        <w:rPr>
          <w:rFonts w:ascii="Arial" w:hAnsi="Arial"/>
          <w:sz w:val="22"/>
        </w:rPr>
        <w:t>EBITDA: 3,8M → 4,9M → 5,8M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Crecimiento YoY: </w:t>
      </w:r>
      <w:r>
        <w:rPr>
          <w:rFonts w:ascii="Arial" w:hAnsi="Arial"/>
          <w:b/>
          <w:color w:val="212425"/>
          <w:sz w:val="22"/>
        </w:rPr>
        <w:t>+28,9% (2023)</w:t>
      </w:r>
      <w:r>
        <w:rPr>
          <w:rFonts w:ascii="Arial" w:hAnsi="Arial"/>
          <w:color w:val="212425"/>
          <w:sz w:val="22"/>
        </w:rPr>
        <w:t xml:space="preserve">; </w:t>
      </w:r>
      <w:r>
        <w:rPr>
          <w:rFonts w:ascii="Arial" w:hAnsi="Arial"/>
          <w:b/>
          <w:color w:val="212425"/>
          <w:sz w:val="22"/>
        </w:rPr>
        <w:t>+18,4% (2024)</w:t>
      </w:r>
      <w:r>
        <w:rPr>
          <w:rFonts w:ascii="Arial" w:hAnsi="Arial"/>
          <w:color w:val="212425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Margen EBITDA: 11,9% (2022) → 12,9% (2023) → 13,8% (2024) (mejora ~+1,93 pp 2022-2024)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Model Builder Agent (`periods[].income_statement`, `derived_metrics`); Valuation Reviewer Agent (`trend_summary`).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4.2 Liquidez (proxy)</w:t>
      </w:r>
    </w:p>
    <w:p>
      <w:pPr>
        <w:pStyle w:val="ListBullet"/>
      </w:pPr>
      <w:r>
        <w:rPr>
          <w:rFonts w:ascii="Arial" w:hAnsi="Arial"/>
          <w:sz w:val="22"/>
        </w:rPr>
        <w:t>Current ratio: 1,32x (2022) → 1,36x (2023) → 1,48x (2024)</w:t>
      </w:r>
    </w:p>
    <w:p>
      <w:pPr>
        <w:pStyle w:val="ListBullet"/>
      </w:pPr>
      <w:r>
        <w:rPr>
          <w:rFonts w:ascii="Arial" w:hAnsi="Arial"/>
          <w:sz w:val="22"/>
        </w:rPr>
        <w:t>Fondo de maniobra (proxy = Activo corriente - Pasivo corriente): 2,3M → 3,2M → 4,7M (mejora del colchón de circulante)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Model Builder Agent (`derived_metrics.current_ratio`, balance); Valuation Reviewer Agent (`trend_summary.liquidity`).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4.3 Apalancamiento y servicio de deuda (aprox.)</w:t>
      </w:r>
    </w:p>
    <w:p>
      <w:pPr>
        <w:pStyle w:val="ListBullet"/>
      </w:pPr>
      <w:r>
        <w:rPr>
          <w:rFonts w:ascii="Arial" w:hAnsi="Arial"/>
          <w:sz w:val="22"/>
        </w:rPr>
        <w:t>Deuda financiera neta: 8,0M → 10,5M → 12,0M (incremento asociado a crecimiento/CAPEX según revisión)</w:t>
      </w:r>
    </w:p>
    <w:p>
      <w:pPr>
        <w:pStyle w:val="ListBullet"/>
      </w:pPr>
      <w:r>
        <w:rPr>
          <w:rFonts w:ascii="Arial" w:hAnsi="Arial"/>
          <w:sz w:val="22"/>
        </w:rPr>
        <w:t>ND/EBITDA: 2,11x (2022) → 2,14x (2023) → 2,07x (2024) (estable, ligera mejora en 2024)</w:t>
      </w:r>
    </w:p>
    <w:p>
      <w:pPr>
        <w:pStyle w:val="ListBullet"/>
      </w:pPr>
      <w:r>
        <w:rPr>
          <w:rFonts w:ascii="Arial" w:hAnsi="Arial"/>
          <w:sz w:val="22"/>
        </w:rPr>
        <w:t>Cobertura de intereses (EBITDA/gastos financieros): 8,44x → 9,42x → 9,51x (holgada)</w:t>
      </w:r>
    </w:p>
    <w:p>
      <w:pPr>
        <w:pStyle w:val="ListBullet"/>
      </w:pPr>
      <w:r>
        <w:rPr>
          <w:rFonts w:ascii="Arial" w:hAnsi="Arial"/>
          <w:sz w:val="22"/>
        </w:rPr>
        <w:t>Coste implícito aprox. (gastos financieros / deuda neta): ~5,0%-5,6% (aproximación; puede distorsionarse por uso de deuda neta)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Model Builder Agent (`derived_metrics.net_debt_to_ebitda`, `interest_coverage_ebitda`); Valuation Reviewer Agent (`trend_summary.leverage_and_debt_service`).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212425"/>
          <w:sz w:val="26"/>
        </w:rPr>
        <w:t>5. Señales externas (noticias, litigios, cambios societarios)</w:t>
      </w:r>
    </w:p>
    <w:p/>
    <w:p>
      <w:pPr>
        <w:pStyle w:val="ListBullet"/>
      </w:pPr>
      <w:r>
        <w:rPr>
          <w:rFonts w:ascii="Arial" w:hAnsi="Arial"/>
          <w:sz w:val="22"/>
        </w:rPr>
        <w:t>Base interna de señales/noticias: sin registros para Acme Componentes SL; no se observan “red flags” documentadas desde esa fuente.</w:t>
      </w:r>
    </w:p>
    <w:p>
      <w:pPr>
        <w:pStyle w:val="ListBullet"/>
      </w:pPr>
      <w:r>
        <w:rPr>
          <w:rFonts w:ascii="Arial" w:hAnsi="Arial"/>
          <w:sz w:val="22"/>
        </w:rPr>
        <w:t>Limitación relevante: la ausencia de registros internos no equivale a ausencia de riesgo; se requiere completar con barrido externo (prensa, litigios, sanciones, insolvencias, BORME/Registro Mercantil, etc.).</w:t>
      </w:r>
    </w:p>
    <w:p>
      <w:pPr>
        <w:pStyle w:val="ListBullet"/>
      </w:pPr>
      <w:r>
        <w:rPr>
          <w:rFonts w:ascii="Arial" w:hAnsi="Arial"/>
          <w:sz w:val="22"/>
        </w:rPr>
        <w:t>Screening sanciones/PEP/adverse media: NO CONCLUYENTE / no realizado en este análisis (pendiente para entidad y partes vinculadas: Acme Componentes SL, Roberto Acme Jiménez, Acme Europe Holding GmbH, Klaus Meier).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Market Researcher Agent (resumen); KYC Screener Agent (`screening.status`, `screening_conclusion`, `parties_to_screen`).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212425"/>
          <w:sz w:val="26"/>
        </w:rPr>
        <w:t>6. Evaluación de riesgo (riesgos, mitigantes, comparativa con historial)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6.1 Riesgos identificados</w:t>
      </w:r>
    </w:p>
    <w:p>
      <w:pPr>
        <w:pStyle w:val="ListBullet"/>
      </w:pPr>
      <w:r>
        <w:rPr>
          <w:rFonts w:ascii="Arial" w:hAnsi="Arial"/>
          <w:sz w:val="22"/>
        </w:rPr>
        <w:t>Riesgo de Cumplimiento/KYC (material):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</w:t>
      </w:r>
      <w:r>
        <w:rPr>
          <w:rFonts w:ascii="Arial" w:hAnsi="Arial"/>
          <w:b/>
          <w:color w:val="212425"/>
          <w:sz w:val="22"/>
        </w:rPr>
        <w:t>Falta de screening</w:t>
      </w:r>
      <w:r>
        <w:rPr>
          <w:rFonts w:ascii="Arial" w:hAnsi="Arial"/>
          <w:color w:val="212425"/>
          <w:sz w:val="22"/>
        </w:rPr>
        <w:t xml:space="preserve"> sanciones/PEP/adverse media (</w:t>
      </w:r>
      <w:r>
        <w:rPr>
          <w:rFonts w:ascii="Arial" w:hAnsi="Arial"/>
          <w:b/>
          <w:color w:val="212425"/>
          <w:sz w:val="22"/>
        </w:rPr>
        <w:t>KYC-SCR-01 FAIL</w:t>
      </w:r>
      <w:r>
        <w:rPr>
          <w:rFonts w:ascii="Arial" w:hAnsi="Arial"/>
          <w:color w:val="212425"/>
          <w:sz w:val="22"/>
        </w:rPr>
        <w:t>) → riesgo de exposición a sanciones/reputacional no evaluado.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</w:t>
      </w:r>
      <w:r>
        <w:rPr>
          <w:rFonts w:ascii="Arial" w:hAnsi="Arial"/>
          <w:b/>
          <w:color w:val="212425"/>
          <w:sz w:val="22"/>
        </w:rPr>
        <w:t>UBO entidad (35%) sin documentación ni UBO final</w:t>
      </w:r>
      <w:r>
        <w:rPr>
          <w:rFonts w:ascii="Arial" w:hAnsi="Arial"/>
          <w:color w:val="212425"/>
          <w:sz w:val="22"/>
        </w:rPr>
        <w:t xml:space="preserve"> (</w:t>
      </w:r>
      <w:r>
        <w:rPr>
          <w:rFonts w:ascii="Arial" w:hAnsi="Arial"/>
          <w:b/>
          <w:color w:val="212425"/>
          <w:sz w:val="22"/>
        </w:rPr>
        <w:t>KYC-UBO-03 FAIL</w:t>
      </w:r>
      <w:r>
        <w:rPr>
          <w:rFonts w:ascii="Arial" w:hAnsi="Arial"/>
          <w:color w:val="212425"/>
          <w:sz w:val="22"/>
        </w:rPr>
        <w:t>) → riesgo de opacidad en estructura de propiedad.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</w:t>
      </w:r>
      <w:r>
        <w:rPr>
          <w:rFonts w:ascii="Arial" w:hAnsi="Arial"/>
          <w:b/>
          <w:color w:val="212425"/>
          <w:sz w:val="22"/>
        </w:rPr>
        <w:t>Poderes/autoridad de firma no verificados</w:t>
      </w:r>
      <w:r>
        <w:rPr>
          <w:rFonts w:ascii="Arial" w:hAnsi="Arial"/>
          <w:color w:val="212425"/>
          <w:sz w:val="22"/>
        </w:rPr>
        <w:t xml:space="preserve"> (</w:t>
      </w:r>
      <w:r>
        <w:rPr>
          <w:rFonts w:ascii="Arial" w:hAnsi="Arial"/>
          <w:b/>
          <w:color w:val="212425"/>
          <w:sz w:val="22"/>
        </w:rPr>
        <w:t>KYC-CTRL-01 FAIL</w:t>
      </w:r>
      <w:r>
        <w:rPr>
          <w:rFonts w:ascii="Arial" w:hAnsi="Arial"/>
          <w:color w:val="212425"/>
          <w:sz w:val="22"/>
        </w:rPr>
        <w:t>) → riesgo operativo/contractual.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</w:t>
      </w:r>
      <w:r>
        <w:rPr>
          <w:rFonts w:ascii="Arial" w:hAnsi="Arial"/>
          <w:b/>
          <w:color w:val="212425"/>
          <w:sz w:val="22"/>
        </w:rPr>
        <w:t>SoF/SoW no formalizada</w:t>
      </w:r>
      <w:r>
        <w:rPr>
          <w:rFonts w:ascii="Arial" w:hAnsi="Arial"/>
          <w:color w:val="212425"/>
          <w:sz w:val="22"/>
        </w:rPr>
        <w:t xml:space="preserve"> (</w:t>
      </w:r>
      <w:r>
        <w:rPr>
          <w:rFonts w:ascii="Arial" w:hAnsi="Arial"/>
          <w:b/>
          <w:color w:val="212425"/>
          <w:sz w:val="22"/>
        </w:rPr>
        <w:t>KYC-SOF-01 FAIL_PARTIAL</w:t>
      </w:r>
      <w:r>
        <w:rPr>
          <w:rFonts w:ascii="Arial" w:hAnsi="Arial"/>
          <w:color w:val="212425"/>
          <w:sz w:val="22"/>
        </w:rPr>
        <w:t xml:space="preserve">) y </w:t>
      </w:r>
      <w:r>
        <w:rPr>
          <w:rFonts w:ascii="Arial" w:hAnsi="Arial"/>
          <w:b/>
          <w:color w:val="212425"/>
          <w:sz w:val="22"/>
        </w:rPr>
        <w:t>CRS/FATCA ausente</w:t>
      </w:r>
      <w:r>
        <w:rPr>
          <w:rFonts w:ascii="Arial" w:hAnsi="Arial"/>
          <w:color w:val="212425"/>
          <w:sz w:val="22"/>
        </w:rPr>
        <w:t xml:space="preserve"> (</w:t>
      </w:r>
      <w:r>
        <w:rPr>
          <w:rFonts w:ascii="Arial" w:hAnsi="Arial"/>
          <w:b/>
          <w:color w:val="212425"/>
          <w:sz w:val="22"/>
        </w:rPr>
        <w:t>KYC-TAX-01 FAIL</w:t>
      </w:r>
      <w:r>
        <w:rPr>
          <w:rFonts w:ascii="Arial" w:hAnsi="Arial"/>
          <w:color w:val="212425"/>
          <w:sz w:val="22"/>
        </w:rPr>
        <w:t>).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KYC Screener Agent (`rule_outcomes`, `missing_documents_summary`, `escalation_triggers`).</w:t>
      </w:r>
    </w:p>
    <w:p/>
    <w:p>
      <w:pPr>
        <w:pStyle w:val="ListBullet"/>
      </w:pPr>
      <w:r>
        <w:rPr>
          <w:rFonts w:ascii="Arial" w:hAnsi="Arial"/>
          <w:sz w:val="22"/>
        </w:rPr>
        <w:t>Riesgo de información financiera (calidad/alcance):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Falta de </w:t>
      </w:r>
      <w:r>
        <w:rPr>
          <w:rFonts w:ascii="Arial" w:hAnsi="Arial"/>
          <w:b/>
          <w:color w:val="212425"/>
          <w:sz w:val="22"/>
        </w:rPr>
        <w:t>caja</w:t>
      </w:r>
      <w:r>
        <w:rPr>
          <w:rFonts w:ascii="Arial" w:hAnsi="Arial"/>
          <w:color w:val="212425"/>
          <w:sz w:val="22"/>
        </w:rPr>
        <w:t xml:space="preserve">, </w:t>
      </w:r>
      <w:r>
        <w:rPr>
          <w:rFonts w:ascii="Arial" w:hAnsi="Arial"/>
          <w:b/>
          <w:color w:val="212425"/>
          <w:sz w:val="22"/>
        </w:rPr>
        <w:t>deuda bruta</w:t>
      </w:r>
      <w:r>
        <w:rPr>
          <w:rFonts w:ascii="Arial" w:hAnsi="Arial"/>
          <w:color w:val="212425"/>
          <w:sz w:val="22"/>
        </w:rPr>
        <w:t xml:space="preserve">, </w:t>
      </w:r>
      <w:r>
        <w:rPr>
          <w:rFonts w:ascii="Arial" w:hAnsi="Arial"/>
          <w:b/>
          <w:color w:val="212425"/>
          <w:sz w:val="22"/>
        </w:rPr>
        <w:t>CAPEX</w:t>
      </w:r>
      <w:r>
        <w:rPr>
          <w:rFonts w:ascii="Arial" w:hAnsi="Arial"/>
          <w:color w:val="212425"/>
          <w:sz w:val="22"/>
        </w:rPr>
        <w:t xml:space="preserve"> y </w:t>
      </w:r>
      <w:r>
        <w:rPr>
          <w:rFonts w:ascii="Arial" w:hAnsi="Arial"/>
          <w:b/>
          <w:color w:val="212425"/>
          <w:sz w:val="22"/>
        </w:rPr>
        <w:t>cash flow</w:t>
      </w:r>
      <w:r>
        <w:rPr>
          <w:rFonts w:ascii="Arial" w:hAnsi="Arial"/>
          <w:color w:val="212425"/>
          <w:sz w:val="22"/>
        </w:rPr>
        <w:t xml:space="preserve"> → no se puede estimar </w:t>
      </w:r>
      <w:r>
        <w:rPr>
          <w:rFonts w:ascii="Arial" w:hAnsi="Arial"/>
          <w:b/>
          <w:color w:val="212425"/>
          <w:sz w:val="22"/>
        </w:rPr>
        <w:t>DSCR</w:t>
      </w:r>
      <w:r>
        <w:rPr>
          <w:rFonts w:ascii="Arial" w:hAnsi="Arial"/>
          <w:color w:val="212425"/>
          <w:sz w:val="22"/>
        </w:rPr>
        <w:t xml:space="preserve"> ni validar conversión de EBITDA a caja; tampoco evaluar estructura de vencimientos/garantías.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Model Builder Agent (`data_quality.missing_fields`); Valuation Reviewer Agent (`data_gaps_and_limitations.impact`).</w:t>
      </w:r>
    </w:p>
    <w:p/>
    <w:p>
      <w:pPr>
        <w:pStyle w:val="ListBullet"/>
      </w:pPr>
      <w:r>
        <w:rPr>
          <w:rFonts w:ascii="Arial" w:hAnsi="Arial"/>
          <w:sz w:val="22"/>
        </w:rPr>
        <w:t>Riesgo de crecimiento / normalización de demanda (bajo-medio):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Desaceleración de crecimiento de ingresos en 2024 vs 2023 (18,8% → 10,5%); requiere seguimiento para descartar pérdida de demanda o presión competitiva.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Valuation Reviewer Agent (`trend_summary.revenue.commentary`, `risk_flags_and_monitoring_points.flags`).</w:t>
      </w:r>
    </w:p>
    <w:p/>
    <w:p>
      <w:pPr>
        <w:pStyle w:val="ListBullet"/>
      </w:pPr>
      <w:r>
        <w:rPr>
          <w:rFonts w:ascii="Arial" w:hAnsi="Arial"/>
          <w:sz w:val="22"/>
        </w:rPr>
        <w:t>Riesgo de refinanciación (a confirmar):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- Nota interna: “</w:t>
      </w:r>
      <w:r>
        <w:rPr>
          <w:rFonts w:ascii="Arial" w:hAnsi="Arial"/>
          <w:b/>
          <w:color w:val="212425"/>
          <w:sz w:val="22"/>
        </w:rPr>
        <w:t>Revisar vencimientos de deuda 2027 y necesidad de refinanciación parcial</w:t>
      </w:r>
      <w:r>
        <w:rPr>
          <w:rFonts w:ascii="Arial" w:hAnsi="Arial"/>
          <w:color w:val="212425"/>
          <w:sz w:val="22"/>
        </w:rPr>
        <w:t>.” Sin calendario de deuda no es evaluable en esta fase.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KYC Screener Agent (`internal_notes.analyst_note`); Valuation Reviewer Agent (gap de vencimientos).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6.2 Mitigantes / factores positivos</w:t>
      </w:r>
    </w:p>
    <w:p>
      <w:pPr>
        <w:pStyle w:val="ListBullet"/>
      </w:pPr>
      <w:r>
        <w:rPr>
          <w:rFonts w:ascii="Arial" w:hAnsi="Arial"/>
          <w:sz w:val="22"/>
        </w:rPr>
        <w:t>Evolución financiera favorable: crecimiento y mejora de margen; apalancamiento estable ~2,1x y cobertura de intereses &gt;8x.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Model Builder Agent (ratios); Valuation Reviewer Agent (trend_summary).</w:t>
      </w:r>
    </w:p>
    <w:p/>
    <w:p>
      <w:pPr>
        <w:pStyle w:val="ListBullet"/>
      </w:pPr>
      <w:r>
        <w:rPr>
          <w:rFonts w:ascii="Arial" w:hAnsi="Arial"/>
          <w:sz w:val="22"/>
        </w:rPr>
        <w:t>Historial bancario positivo: relación desde 2022, 0 impagos, operaciones recurrentes y vigentes al corriente (CAPEX, leasing, confirming, cobertura de tipos).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Valuation Reviewer Agent (`banking_history_review`).</w:t>
      </w:r>
    </w:p>
    <w:p/>
    <w:p>
      <w:pPr>
        <w:pStyle w:val="ListBullet"/>
      </w:pPr>
      <w:r>
        <w:rPr>
          <w:rFonts w:ascii="Arial" w:hAnsi="Arial"/>
          <w:sz w:val="22"/>
        </w:rPr>
        <w:t>Gestión de riesgo de tipos: existencia de cobertura de tipo de interés (notional 12,0M) consistente con perfil de deuda relevante (pendiente evaluar términos/efectividad).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Valuation Reviewer Agent (`products_and_operations` y `potential_mismatches_or_questions`).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6.3 Comparativa con historial (coherencia)</w:t>
      </w:r>
    </w:p>
    <w:p>
      <w:pPr>
        <w:pStyle w:val="ListBullet"/>
      </w:pPr>
      <w:r>
        <w:rPr>
          <w:rFonts w:ascii="Arial" w:hAnsi="Arial"/>
          <w:sz w:val="22"/>
        </w:rPr>
        <w:t>El aumento de deuda neta 2022-2024 es coherente con préstamo CAPEX (2023) y leasing (2023), y con herramientas de circulante/confirming (2024).</w:t>
      </w:r>
    </w:p>
    <w:p>
      <w:pPr>
        <w:pStyle w:val="ListBullet"/>
      </w:pPr>
      <w:r>
        <w:rPr>
          <w:rFonts w:ascii="Arial" w:hAnsi="Arial"/>
          <w:sz w:val="22"/>
        </w:rPr>
        <w:t>Comportamiento de pago sin incidencias es consistente con ratios de apalancamiento moderado y cobertura holgada.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Valuation Reviewer Agent (`comparison_model_vs_banking_history.alignment`, `banking_history_review`).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212425"/>
          <w:sz w:val="26"/>
        </w:rPr>
        <w:t>7. Recomendación (para decisión del analista)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Recomendación:</w:t>
      </w:r>
      <w:r>
        <w:rPr>
          <w:rFonts w:ascii="Arial" w:hAnsi="Arial"/>
          <w:color w:val="212425"/>
          <w:sz w:val="22"/>
        </w:rPr>
        <w:t xml:space="preserve"> </w:t>
      </w:r>
      <w:r>
        <w:rPr>
          <w:rFonts w:ascii="Arial" w:hAnsi="Arial"/>
          <w:b/>
          <w:color w:val="212425"/>
          <w:sz w:val="22"/>
        </w:rPr>
        <w:t>ESCALAR</w:t>
      </w:r>
      <w:r>
        <w:rPr>
          <w:rFonts w:ascii="Arial" w:hAnsi="Arial"/>
          <w:color w:val="212425"/>
          <w:sz w:val="22"/>
        </w:rPr>
        <w:t xml:space="preserve"> (a Cumplimiento/KYC) y, en paralelo, </w:t>
      </w:r>
      <w:r>
        <w:rPr>
          <w:rFonts w:ascii="Arial" w:hAnsi="Arial"/>
          <w:b/>
          <w:color w:val="212425"/>
          <w:sz w:val="22"/>
        </w:rPr>
        <w:t>APROBAR CON CONDICIONES</w:t>
      </w:r>
      <w:r>
        <w:rPr>
          <w:rFonts w:ascii="Arial" w:hAnsi="Arial"/>
          <w:color w:val="212425"/>
          <w:sz w:val="22"/>
        </w:rPr>
        <w:t xml:space="preserve"> *solo si* se completa satisfactoriamente el paquete KYC y la información financiera mínima para repago.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Racional (trazable):</w:t>
      </w:r>
      <w:r>
        <w:rPr>
          <w:rFonts w:ascii="Arial" w:hAnsi="Arial"/>
          <w:color w:val="212425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Condición necesaria previa: el expediente KYC presenta fallos en reglas críticas (screening, UBO entidad, poderes) y screening NO CONCLUYENTE, lo que impide una conclusión de cumplimiento.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Fuente:</w:t>
      </w:r>
      <w:r>
        <w:rPr>
          <w:rFonts w:ascii="Arial" w:hAnsi="Arial"/>
          <w:color w:val="212425"/>
          <w:sz w:val="22"/>
        </w:rPr>
        <w:t xml:space="preserve"> KYC Screener Agent (`rule_outcomes`, `screening_conclusion`, `escalation_triggers`).</w:t>
      </w:r>
    </w:p>
    <w:p>
      <w:pPr>
        <w:pStyle w:val="ListBullet"/>
      </w:pPr>
      <w:r>
        <w:rPr>
          <w:rFonts w:ascii="Arial" w:hAnsi="Arial"/>
          <w:sz w:val="22"/>
        </w:rPr>
        <w:t>Capacidad financiera preliminar: métricas 2022-2024 soportan un perfil de riesgo operativo razonable (margen al alza, ND/EBITDA ~2,1x, cobertura &gt;8x) y el historial bancario es positivo.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Model Builder Agent; Valuation Reviewer Agent.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>&gt; La decisión final corresponde al analista humano y queda supeditada a la validación de Cumplimiento y a la completitud de información financiera.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  <w:t>---</w:t>
      </w:r>
    </w:p>
    <w:p/>
    <w:p>
      <w:pPr>
        <w:pStyle w:val="Heading2"/>
        <w:spacing w:before="280" w:after="80"/>
      </w:pPr>
      <w:r>
        <w:rPr>
          <w:rFonts w:ascii="Arial" w:hAnsi="Arial"/>
          <w:color w:val="212425"/>
          <w:sz w:val="26"/>
        </w:rPr>
        <w:t>8. Condiciones y próximos pasos (si aplica)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8.1 Condiciones KYC/Cumplimiento (previas a disposición)</w:t>
      </w:r>
    </w:p>
    <w:p>
      <w:pPr>
        <w:pStyle w:val="ListBullet"/>
      </w:pPr>
      <w:r>
        <w:rPr>
          <w:rFonts w:ascii="Arial" w:hAnsi="Arial"/>
          <w:sz w:val="22"/>
        </w:rPr>
        <w:t>Completar screening sanciones/PEP/adverse media para: Acme Componentes SL, Roberto Acme Jiménez, Acme Europe Holding GmbH, Klaus Meier, con evidencia archivada.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Fuente:</w:t>
      </w:r>
      <w:r>
        <w:rPr>
          <w:rFonts w:ascii="Arial" w:hAnsi="Arial"/>
          <w:color w:val="212425"/>
          <w:sz w:val="22"/>
        </w:rPr>
        <w:t xml:space="preserve"> KYC Screener Agent (`KYC-SCR-01 fail`, `parties_to_screen`).</w:t>
      </w:r>
    </w:p>
    <w:p>
      <w:pPr>
        <w:pStyle w:val="ListBullet"/>
      </w:pPr>
      <w:r>
        <w:rPr>
          <w:rFonts w:ascii="Arial" w:hAnsi="Arial"/>
          <w:sz w:val="22"/>
        </w:rPr>
        <w:t>Aportar ID + DOB del UBO individual (Roberto Acme Jiménez).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Fuente:</w:t>
      </w:r>
      <w:r>
        <w:rPr>
          <w:rFonts w:ascii="Arial" w:hAnsi="Arial"/>
          <w:color w:val="212425"/>
          <w:sz w:val="22"/>
        </w:rPr>
        <w:t xml:space="preserve"> KYC Screener Agent (`KYC-UBO-02 fail`).</w:t>
      </w:r>
    </w:p>
    <w:p>
      <w:pPr>
        <w:pStyle w:val="ListBullet"/>
      </w:pPr>
      <w:r>
        <w:rPr>
          <w:rFonts w:ascii="Arial" w:hAnsi="Arial"/>
          <w:sz w:val="22"/>
        </w:rPr>
        <w:t>Aportar documentación corporativa de Acme Europe Holding GmbH y determinar UBO(s) final(es) (cadena de titularidad).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Fuente:</w:t>
      </w:r>
      <w:r>
        <w:rPr>
          <w:rFonts w:ascii="Arial" w:hAnsi="Arial"/>
          <w:color w:val="212425"/>
          <w:sz w:val="22"/>
        </w:rPr>
        <w:t xml:space="preserve"> KYC Screener Agent (`KYC-UBO-03 fail`).</w:t>
      </w:r>
    </w:p>
    <w:p>
      <w:pPr>
        <w:pStyle w:val="ListBullet"/>
      </w:pPr>
      <w:r>
        <w:rPr>
          <w:rFonts w:ascii="Arial" w:hAnsi="Arial"/>
          <w:sz w:val="22"/>
        </w:rPr>
        <w:t>Aportar poderes/acta y verificación de autoridad de firma de administradores/representantes.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Fuente:</w:t>
      </w:r>
      <w:r>
        <w:rPr>
          <w:rFonts w:ascii="Arial" w:hAnsi="Arial"/>
          <w:color w:val="212425"/>
          <w:sz w:val="22"/>
        </w:rPr>
        <w:t xml:space="preserve"> KYC Screener Agent (`KYC-CTRL-01 fail`).</w:t>
      </w:r>
    </w:p>
    <w:p>
      <w:pPr>
        <w:pStyle w:val="ListBullet"/>
      </w:pPr>
      <w:r>
        <w:rPr>
          <w:rFonts w:ascii="Arial" w:hAnsi="Arial"/>
          <w:sz w:val="22"/>
        </w:rPr>
        <w:t>Aportar prueba de domicilio (≤ 3 meses), CRS/FATCA y formulario KYC de propósito/volúmenes esperados.</w:t>
      </w:r>
    </w:p>
    <w:p>
      <w:pPr>
        <w:spacing w:after="80"/>
      </w:pPr>
      <w:r>
        <w:rPr>
          <w:rFonts w:ascii="Arial" w:hAnsi="Arial"/>
          <w:color w:val="212425"/>
          <w:sz w:val="22"/>
        </w:rPr>
        <w:t xml:space="preserve">  </w:t>
      </w:r>
      <w:r>
        <w:rPr>
          <w:rFonts w:ascii="Arial" w:hAnsi="Arial"/>
          <w:b/>
          <w:color w:val="212425"/>
          <w:sz w:val="22"/>
        </w:rPr>
        <w:t>Fuente:</w:t>
      </w:r>
      <w:r>
        <w:rPr>
          <w:rFonts w:ascii="Arial" w:hAnsi="Arial"/>
          <w:color w:val="212425"/>
          <w:sz w:val="22"/>
        </w:rPr>
        <w:t xml:space="preserve"> KYC Screener Agent (`missing_documents_summary`).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8.2 Información financiera mínima adicional (para cierre de análisis de crédito)</w:t>
      </w:r>
    </w:p>
    <w:p>
      <w:pPr>
        <w:pStyle w:val="ListBullet"/>
      </w:pPr>
      <w:r>
        <w:rPr>
          <w:rFonts w:ascii="Arial" w:hAnsi="Arial"/>
          <w:sz w:val="22"/>
        </w:rPr>
        <w:t>Caja y equivalentes y deuda bruta por instrumento; conciliación con gastos financieros (intereses vs comisiones).</w:t>
      </w:r>
    </w:p>
    <w:p>
      <w:pPr>
        <w:pStyle w:val="ListBullet"/>
      </w:pPr>
      <w:r>
        <w:rPr>
          <w:rFonts w:ascii="Arial" w:hAnsi="Arial"/>
          <w:sz w:val="22"/>
        </w:rPr>
        <w:t>Calendario de vencimientos (incl. foco 2027) y condiciones (tipo fijo/variable, covenants, garantías).</w:t>
      </w:r>
    </w:p>
    <w:p>
      <w:pPr>
        <w:pStyle w:val="ListBullet"/>
      </w:pPr>
      <w:r>
        <w:rPr>
          <w:rFonts w:ascii="Arial" w:hAnsi="Arial"/>
          <w:sz w:val="22"/>
        </w:rPr>
        <w:t>CAPEX 2022-2024 y plan 2025 (incl. expansión/planta en Polonia mencionada internamente) y cash flow operativo / FCF.</w:t>
      </w:r>
    </w:p>
    <w:p>
      <w:pPr>
        <w:pStyle w:val="ListBullet"/>
      </w:pPr>
      <w:r>
        <w:rPr>
          <w:rFonts w:ascii="Arial" w:hAnsi="Arial"/>
          <w:sz w:val="22"/>
        </w:rPr>
        <w:t>Detalle de circulante (clientes, inventario, proveedores) para validar consumo/generación de caja.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Fuentes:</w:t>
      </w:r>
      <w:r>
        <w:rPr>
          <w:rFonts w:ascii="Arial" w:hAnsi="Arial"/>
          <w:color w:val="212425"/>
          <w:sz w:val="22"/>
        </w:rPr>
        <w:t xml:space="preserve"> Valuation Reviewer Agent (`data_gaps_and_limitations`, `potential_mismatches_or_questions`); KYC Screener Agent (`internal_notes.observations`, `internal_notes.analyst_note`).</w:t>
      </w:r>
    </w:p>
    <w:p/>
    <w:p>
      <w:pPr>
        <w:pStyle w:val="Heading3"/>
        <w:spacing w:before="200" w:after="60"/>
      </w:pPr>
      <w:r>
        <w:rPr>
          <w:rFonts w:ascii="Arial" w:hAnsi="Arial"/>
          <w:sz w:val="23"/>
        </w:rPr>
        <w:t>8.3 KPIs de seguimiento recomendados</w:t>
      </w:r>
    </w:p>
    <w:p>
      <w:pPr>
        <w:pStyle w:val="ListBullet"/>
      </w:pPr>
      <w:r>
        <w:rPr>
          <w:rFonts w:ascii="Arial" w:hAnsi="Arial"/>
          <w:sz w:val="22"/>
        </w:rPr>
        <w:t>Net Debt / EBITDA, Interest coverage, EBITDA margin, Current ratio y evolución de circulante neto</w:t>
      </w:r>
    </w:p>
    <w:p>
      <w:pPr>
        <w:pStyle w:val="ListBullet"/>
      </w:pPr>
      <w:r>
        <w:rPr>
          <w:rFonts w:ascii="Arial" w:hAnsi="Arial"/>
          <w:sz w:val="22"/>
        </w:rPr>
        <w:t>CAPEX y FCF (cuando se disponga)</w:t>
      </w:r>
    </w:p>
    <w:p>
      <w:pPr>
        <w:pStyle w:val="ListBullet"/>
      </w:pPr>
      <w:r>
        <w:rPr>
          <w:rFonts w:ascii="Arial" w:hAnsi="Arial"/>
          <w:sz w:val="22"/>
        </w:rPr>
        <w:t>Cumplimiento de reporting (timeliness de auditadas y paquetes periódicos)</w:t>
      </w:r>
    </w:p>
    <w:p/>
    <w:p>
      <w:pPr>
        <w:spacing w:after="80"/>
      </w:pPr>
      <w:r>
        <w:rPr>
          <w:rFonts w:ascii="Arial" w:hAnsi="Arial"/>
          <w:color w:val="212425"/>
          <w:sz w:val="22"/>
        </w:rPr>
      </w:r>
      <w:r>
        <w:rPr>
          <w:rFonts w:ascii="Arial" w:hAnsi="Arial"/>
          <w:b/>
          <w:color w:val="212425"/>
          <w:sz w:val="22"/>
        </w:rPr>
        <w:t>Fuente:</w:t>
      </w:r>
      <w:r>
        <w:rPr>
          <w:rFonts w:ascii="Arial" w:hAnsi="Arial"/>
          <w:color w:val="212425"/>
          <w:sz w:val="22"/>
        </w:rPr>
        <w:t xml:space="preserve"> Valuation Reviewer Agent (`monitoring_kpis_recommended`).</w:t>
      </w:r>
    </w:p>
    <w:p/>
    <w:p>
      <w:pPr>
        <w:jc w:val="center"/>
      </w:pPr>
      <w:r>
        <w:rPr>
          <w:rFonts w:ascii="Arial" w:hAnsi="Arial"/>
          <w:i/>
          <w:color w:val="6B7280"/>
          <w:sz w:val="17"/>
        </w:rPr>
        <w:t>Herramienta de apoyo al analista. Las recomendaciones generadas no constituyen una decision de aprobacion o denegacion de la operacion. La decision final corresponde al analista y al comite de riesgos.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4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