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ED760"/>
          <w:sz w:val="56"/>
          <w:szCs w:val="56"/>
        </w:rPr>
        <w:t xml:space="preserve">Análisis Exploratorio y Dashboard</w:t>
      </w:r>
    </w:p>
    <w:p>
      <w:pPr>
        <w:spacing w:after="400"/>
        <w:jc w:val="center"/>
      </w:pPr>
      <w:r>
        <w:rPr>
          <w:b/>
          <w:bCs/>
          <w:color w:val="121212"/>
          <w:sz w:val="40"/>
          <w:szCs w:val="40"/>
        </w:rPr>
        <w:t xml:space="preserve">Spotify Tracks Dataset</w:t>
      </w:r>
    </w:p>
    <w:p>
      <w:pPr>
        <w:jc w:val="center"/>
      </w:pPr>
      <w:r>
        <w:rPr>
          <w:i/>
          <w:iCs/>
          <w:color w:val="595959"/>
          <w:sz w:val="26"/>
          <w:szCs w:val="26"/>
        </w:rPr>
        <w:t xml:space="preserve">Informe explicativo del análisis de datos</w:t>
      </w:r>
    </w:p>
    <w:p>
      <w:pPr>
        <w:spacing w:before="800"/>
        <w:jc w:val="center"/>
      </w:pPr>
      <w:r>
        <w:rPr>
          <w:color w:val="595959"/>
          <w:sz w:val="22"/>
          <w:szCs w:val="22"/>
        </w:rPr>
        <w:t xml:space="preserve">Proyecto de análisis de datos con Excel y dashboards</w:t>
      </w:r>
    </w:p>
    <w:p>
      <w:r>
        <w:br/>
        <w:t xml:space="preserve"/>
      </w:r>
    </w:p>
    <w:p>
      <w:pPr>
        <w:pageBreakBefore/>
      </w:pPr>
    </w:p>
    <w:p>
      <w:pPr>
        <w:pStyle w:val="Heading1"/>
        <w:spacing w:after="150" w:before="300"/>
      </w:pPr>
      <w:r>
        <w:rPr>
          <w:b/>
          <w:bCs/>
          <w:color w:val="121212"/>
        </w:rPr>
        <w:t xml:space="preserve">1. Introducción y objetivo</w:t>
      </w:r>
    </w:p>
    <w:p>
      <w:pPr>
        <w:spacing w:after="160" w:line="276"/>
      </w:pPr>
      <w:r>
        <w:t xml:space="preserve">Este proyecto tiene como objetivo aplicar los conocimientos adquiridos sobre Excel, dashboards y análisis de datos a un conjunto de datos de elección propia. Para ello se seleccionó el dataset público "Spotify Tracks Dataset", disponible en Kaggle, que reúne información detallada sobre más de cien mil canciones distribuidas en 114 géneros musicales.</w:t>
      </w:r>
    </w:p>
    <w:p>
      <w:pPr>
        <w:spacing w:after="160" w:line="276"/>
      </w:pPr>
      <w:r>
        <w:t xml:space="preserve">El objetivo del análisis es explorar qué caracteriza a los distintos géneros musicales en términos de popularidad, características de audio (energía, bailabilidad, tempo y valence) y contenido explícito, y presentar los hallazgos a través de un dashboard interactivo.</w:t>
      </w:r>
    </w:p>
    <w:p>
      <w:pPr>
        <w:spacing w:after="160" w:line="276"/>
      </w:pPr>
      <w:r>
        <w:t xml:space="preserve">El proyecto abarca las siguientes fases: transformación y limpieza de los datos, análisis descriptivo, construcción de un dashboard y elaboración de este informe explicativo.</w:t>
      </w:r>
    </w:p>
    <w:p>
      <w:pPr>
        <w:pStyle w:val="Heading1"/>
        <w:spacing w:after="150" w:before="300"/>
      </w:pPr>
      <w:r>
        <w:rPr>
          <w:b/>
          <w:bCs/>
          <w:color w:val="121212"/>
        </w:rPr>
        <w:t xml:space="preserve">2. Fuente de datos</w:t>
      </w:r>
    </w:p>
    <w:p>
      <w:pPr>
        <w:spacing w:after="160" w:line="276"/>
      </w:pPr>
      <w:r>
        <w:t xml:space="preserve">Dataset: Spotify Tracks Dataset (Kaggle), disponible en:</w:t>
      </w:r>
    </w:p>
    <w:p>
      <w:pPr>
        <w:spacing w:after="160" w:line="276"/>
      </w:pPr>
      <w:r>
        <w:rPr>
          <w:color w:val="1155CC"/>
        </w:rPr>
        <w:t xml:space="preserve">https://www.kaggle.com/datasets/maharshipandya/-spotify-tracks-dataset</w:t>
      </w:r>
    </w:p>
    <w:p>
      <w:pPr>
        <w:spacing w:after="160" w:line="276"/>
      </w:pPr>
      <w:r>
        <w:t xml:space="preserve">El archivo original contiene 114.000 filas y 21 columnas, incluyendo identificadores de canción, artista y álbum, popularidad, duración, contenido explícito, género musical, y un conjunto de características de audio calculadas por Spotify (danceability, energy, key, loudness, mode, speechiness, acousticness, instrumentalness, liveness, valence, tempo y time_signature).</w:t>
      </w:r>
    </w:p>
    <w:p>
      <w:pPr>
        <w:pStyle w:val="Heading1"/>
        <w:spacing w:after="150" w:before="300"/>
      </w:pPr>
      <w:r>
        <w:rPr>
          <w:b/>
          <w:bCs/>
          <w:color w:val="121212"/>
        </w:rPr>
        <w:t xml:space="preserve">3. Limpieza y transformación de datos</w:t>
      </w:r>
    </w:p>
    <w:p>
      <w:pPr>
        <w:spacing w:after="160" w:line="276"/>
      </w:pPr>
      <w:r>
        <w:t xml:space="preserve">Antes de iniciar el análisis se llevó a cabo un proceso de limpieza y transformación de los datos en Excel, con los siguientes pasos:</w:t>
      </w:r>
    </w:p>
    <w:p>
      <w:pPr>
        <w:pStyle w:val="ListParagraph"/>
        <w:numPr>
          <w:ilvl w:val="0"/>
          <w:numId w:val="2"/>
        </w:numPr>
        <w:spacing w:after="80"/>
      </w:pPr>
      <w:r>
        <w:t xml:space="preserve">Eliminación de una fila con valores nulos, correspondiente a una canción sin artista, álbum ni nombre registrado.</w:t>
      </w:r>
    </w:p>
    <w:p>
      <w:pPr>
        <w:pStyle w:val="ListParagraph"/>
        <w:numPr>
          <w:ilvl w:val="0"/>
          <w:numId w:val="2"/>
        </w:numPr>
        <w:spacing w:after="80"/>
      </w:pPr>
      <w:r>
        <w:t xml:space="preserve">Decisión metodológica sobre los duplicados de track_id: se conservaron, ya que cada duplicado corresponde a la misma canción etiquetada bajo un género distinto. Esto permite comparar métricas por género, que es el eje central del análisis.</w:t>
      </w:r>
    </w:p>
    <w:p>
      <w:pPr>
        <w:pStyle w:val="ListParagraph"/>
        <w:numPr>
          <w:ilvl w:val="0"/>
          <w:numId w:val="2"/>
        </w:numPr>
        <w:spacing w:after="80"/>
      </w:pPr>
      <w:r>
        <w:t xml:space="preserve">Conversión de la duración de las canciones de milisegundos (duration_ms) a minutos (duration_min), para facilitar su interpretación.</w:t>
      </w:r>
    </w:p>
    <w:p>
      <w:pPr>
        <w:pStyle w:val="ListParagraph"/>
        <w:numPr>
          <w:ilvl w:val="0"/>
          <w:numId w:val="2"/>
        </w:numPr>
        <w:spacing w:after="80"/>
      </w:pPr>
      <w:r>
        <w:t xml:space="preserve">Creación de una versión en texto (Sí/No) y una versión numérica (1/0) de la variable explicit, para poder mostrarla de forma legible y, a la vez, calcular promedios y porcentajes.</w:t>
      </w:r>
    </w:p>
    <w:p>
      <w:pPr>
        <w:pStyle w:val="ListParagraph"/>
        <w:numPr>
          <w:ilvl w:val="0"/>
          <w:numId w:val="2"/>
        </w:numPr>
        <w:spacing w:after="80"/>
      </w:pPr>
      <w:r>
        <w:t xml:space="preserve">Revisión de la columna track_genre en busca de inconsistencias de escritura. Se detectaron géneros con nombres similares (por ejemplo, "latin" y "latino"), pero se confirmó que son categorías genuinas y distintas: el dataset está balanceado por diseño, con exactamente 1.000 canciones por cada uno de los 114 géneros.</w:t>
      </w:r>
    </w:p>
    <w:p>
      <w:pPr>
        <w:pStyle w:val="ListParagraph"/>
        <w:numPr>
          <w:ilvl w:val="0"/>
          <w:numId w:val="2"/>
        </w:numPr>
        <w:spacing w:after="80"/>
      </w:pPr>
      <w:r>
        <w:t xml:space="preserve">Verificación de ausencia de valores vacíos en el resto de columnas, mediante formato condicional aplicado a la totalidad de la tabla.</w:t>
      </w:r>
    </w:p>
    <w:p>
      <w:pPr>
        <w:pStyle w:val="ListParagraph"/>
        <w:numPr>
          <w:ilvl w:val="0"/>
          <w:numId w:val="2"/>
        </w:numPr>
        <w:spacing w:after="80"/>
      </w:pPr>
      <w:r>
        <w:t xml:space="preserve">Detección de valores atípicos (outliers): se identificó una canción de 0,14 minutos y otra de 87,29 minutos de duración, así como múltiples canciones con tempo = 0. Este último caso corresponde a una limitación conocida del algoritmo de detección de tempo de Spotify, que no siempre logra identificar un pulso claro, y no a un error introducido durante el análisis.</w:t>
      </w:r>
    </w:p>
    <w:p>
      <w:pPr>
        <w:spacing w:after="160" w:line="276"/>
      </w:pPr>
      <w:r>
        <w:t xml:space="preserve">Estas dos últimas observaciones se documentan como limitaciones de calidad de los datos, sin haber sido eliminadas del conjunto de datos, ya que no distorsionan el análisis agregado por género.</w:t>
      </w:r>
    </w:p>
    <w:p>
      <w:pPr>
        <w:pStyle w:val="Heading1"/>
        <w:spacing w:after="150" w:before="300"/>
      </w:pPr>
      <w:r>
        <w:rPr>
          <w:b/>
          <w:bCs/>
          <w:color w:val="121212"/>
        </w:rPr>
        <w:t xml:space="preserve">4. Análisis descriptivo</w:t>
      </w:r>
    </w:p>
    <w:p>
      <w:pPr>
        <w:spacing w:after="160" w:line="276"/>
      </w:pPr>
      <w:r>
        <w:t xml:space="preserve">Se elaboraron tablas dinámicas para resumir el comportamiento de las variables principales, tanto de forma global como desglosadas por género musical:</w:t>
      </w:r>
    </w:p>
    <w:p>
      <w:pPr>
        <w:pStyle w:val="ListParagraph"/>
        <w:numPr>
          <w:ilvl w:val="0"/>
          <w:numId w:val="2"/>
        </w:numPr>
        <w:spacing w:after="80"/>
      </w:pPr>
      <w:r>
        <w:t xml:space="preserve">Popularidad media, duración media y porcentaje de contenido explícito por género.</w:t>
      </w:r>
    </w:p>
    <w:p>
      <w:pPr>
        <w:pStyle w:val="ListParagraph"/>
        <w:numPr>
          <w:ilvl w:val="0"/>
          <w:numId w:val="2"/>
        </w:numPr>
        <w:spacing w:after="80"/>
      </w:pPr>
      <w:r>
        <w:t xml:space="preserve">Relación entre energía (energy) y bailabilidad (danceability) por género.</w:t>
      </w:r>
    </w:p>
    <w:p>
      <w:pPr>
        <w:pStyle w:val="ListParagraph"/>
        <w:numPr>
          <w:ilvl w:val="0"/>
          <w:numId w:val="2"/>
        </w:numPr>
        <w:spacing w:after="80"/>
      </w:pPr>
      <w:r>
        <w:t xml:space="preserve">Relación entre tempo y valence (estado de ánimo) por género.</w:t>
      </w:r>
    </w:p>
    <w:p>
      <w:pPr>
        <w:pStyle w:val="ListParagraph"/>
        <w:numPr>
          <w:ilvl w:val="0"/>
          <w:numId w:val="2"/>
        </w:numPr>
        <w:spacing w:after="80"/>
      </w:pPr>
      <w:r>
        <w:t xml:space="preserve">Ranking de artistas según número de canciones.</w:t>
      </w:r>
    </w:p>
    <w:p>
      <w:pPr>
        <w:pStyle w:val="ListParagraph"/>
        <w:numPr>
          <w:ilvl w:val="0"/>
          <w:numId w:val="2"/>
        </w:numPr>
        <w:spacing w:after="80"/>
      </w:pPr>
      <w:r>
        <w:t xml:space="preserve">Estadísticos globales: total de canciones, canciones únicas, número de géneros, número de artistas únicos, popularidad media global, duración media global y porcentaje de contenido explícito global.</w:t>
      </w:r>
    </w:p>
    <w:p>
      <w:pPr>
        <w:pStyle w:val="ListParagraph"/>
        <w:numPr>
          <w:ilvl w:val="0"/>
          <w:numId w:val="2"/>
        </w:numPr>
        <w:spacing w:after="80"/>
      </w:pPr>
      <w:r>
        <w:t xml:space="preserve">Medidas de dispersión (mínimo y máximo) para identificar outliers en duración y tempo.</w:t>
      </w:r>
    </w:p>
    <w:p>
      <w:pPr>
        <w:spacing w:after="150" w:before="200"/>
      </w:pPr>
      <w:r>
        <w:rPr>
          <w:b/>
          <w:bCs/>
        </w:rPr>
        <w:t xml:space="preserve">Indicadores globales del dataset</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5500"/>
        <w:gridCol w:w="2500"/>
      </w:tblGrid>
      <w:tr>
        <w:tc>
          <w:tcPr>
            <w:tcW w:type="dxa" w:w="5500"/>
            <w:shd w:fill="1ED760" w:val="clear"/>
            <w:tcMar>
              <w:top w:type="dxa" w:w="80"/>
              <w:left w:type="dxa" w:w="100"/>
              <w:bottom w:type="dxa" w:w="80"/>
              <w:right w:type="dxa" w:w="100"/>
            </w:tcMar>
          </w:tcPr>
          <w:p>
            <w:r>
              <w:rPr>
                <w:b/>
                <w:bCs/>
                <w:color w:val="FFFFFF"/>
              </w:rPr>
              <w:t xml:space="preserve">Indicador</w:t>
            </w:r>
          </w:p>
        </w:tc>
        <w:tc>
          <w:tcPr>
            <w:tcW w:type="dxa" w:w="2500"/>
            <w:shd w:fill="1ED760" w:val="clear"/>
            <w:tcMar>
              <w:top w:type="dxa" w:w="80"/>
              <w:left w:type="dxa" w:w="100"/>
              <w:bottom w:type="dxa" w:w="80"/>
              <w:right w:type="dxa" w:w="100"/>
            </w:tcMar>
          </w:tcPr>
          <w:p>
            <w:r>
              <w:rPr>
                <w:b/>
                <w:bCs/>
                <w:color w:val="FFFFFF"/>
              </w:rPr>
              <w:t xml:space="preserve">Valor</w:t>
            </w:r>
          </w:p>
        </w:tc>
      </w:tr>
      <w:tr>
        <w:tc>
          <w:tcPr>
            <w:tcW w:type="dxa" w:w="5500"/>
            <w:tcMar>
              <w:top w:type="dxa" w:w="80"/>
              <w:left w:type="dxa" w:w="100"/>
              <w:bottom w:type="dxa" w:w="80"/>
              <w:right w:type="dxa" w:w="100"/>
            </w:tcMar>
          </w:tcPr>
          <w:p>
            <w:r>
              <w:rPr>
                <w:b w:val="false"/>
                <w:bCs w:val="false"/>
                <w:color w:val="000000"/>
              </w:rPr>
              <w:t xml:space="preserve">Total de canciones</w:t>
            </w:r>
          </w:p>
        </w:tc>
        <w:tc>
          <w:tcPr>
            <w:tcW w:type="dxa" w:w="2500"/>
            <w:tcMar>
              <w:top w:type="dxa" w:w="80"/>
              <w:left w:type="dxa" w:w="100"/>
              <w:bottom w:type="dxa" w:w="80"/>
              <w:right w:type="dxa" w:w="100"/>
            </w:tcMar>
          </w:tcPr>
          <w:p>
            <w:r>
              <w:rPr>
                <w:b w:val="false"/>
                <w:bCs w:val="false"/>
                <w:color w:val="000000"/>
              </w:rPr>
              <w:t xml:space="preserve">113.999</w:t>
            </w:r>
          </w:p>
        </w:tc>
      </w:tr>
      <w:tr>
        <w:tc>
          <w:tcPr>
            <w:tcW w:type="dxa" w:w="5500"/>
            <w:tcMar>
              <w:top w:type="dxa" w:w="80"/>
              <w:left w:type="dxa" w:w="100"/>
              <w:bottom w:type="dxa" w:w="80"/>
              <w:right w:type="dxa" w:w="100"/>
            </w:tcMar>
          </w:tcPr>
          <w:p>
            <w:r>
              <w:rPr>
                <w:b w:val="false"/>
                <w:bCs w:val="false"/>
                <w:color w:val="000000"/>
              </w:rPr>
              <w:t xml:space="preserve">Canciones únicas (sin duplicados por género)</w:t>
            </w:r>
          </w:p>
        </w:tc>
        <w:tc>
          <w:tcPr>
            <w:tcW w:type="dxa" w:w="2500"/>
            <w:tcMar>
              <w:top w:type="dxa" w:w="80"/>
              <w:left w:type="dxa" w:w="100"/>
              <w:bottom w:type="dxa" w:w="80"/>
              <w:right w:type="dxa" w:w="100"/>
            </w:tcMar>
          </w:tcPr>
          <w:p>
            <w:r>
              <w:rPr>
                <w:b w:val="false"/>
                <w:bCs w:val="false"/>
                <w:color w:val="000000"/>
              </w:rPr>
              <w:t xml:space="preserve">89.740</w:t>
            </w:r>
          </w:p>
        </w:tc>
      </w:tr>
      <w:tr>
        <w:tc>
          <w:tcPr>
            <w:tcW w:type="dxa" w:w="5500"/>
            <w:tcMar>
              <w:top w:type="dxa" w:w="80"/>
              <w:left w:type="dxa" w:w="100"/>
              <w:bottom w:type="dxa" w:w="80"/>
              <w:right w:type="dxa" w:w="100"/>
            </w:tcMar>
          </w:tcPr>
          <w:p>
            <w:r>
              <w:rPr>
                <w:b w:val="false"/>
                <w:bCs w:val="false"/>
                <w:color w:val="000000"/>
              </w:rPr>
              <w:t xml:space="preserve">Número de géneros</w:t>
            </w:r>
          </w:p>
        </w:tc>
        <w:tc>
          <w:tcPr>
            <w:tcW w:type="dxa" w:w="2500"/>
            <w:tcMar>
              <w:top w:type="dxa" w:w="80"/>
              <w:left w:type="dxa" w:w="100"/>
              <w:bottom w:type="dxa" w:w="80"/>
              <w:right w:type="dxa" w:w="100"/>
            </w:tcMar>
          </w:tcPr>
          <w:p>
            <w:r>
              <w:rPr>
                <w:b w:val="false"/>
                <w:bCs w:val="false"/>
                <w:color w:val="000000"/>
              </w:rPr>
              <w:t xml:space="preserve">114</w:t>
            </w:r>
          </w:p>
        </w:tc>
      </w:tr>
      <w:tr>
        <w:tc>
          <w:tcPr>
            <w:tcW w:type="dxa" w:w="5500"/>
            <w:tcMar>
              <w:top w:type="dxa" w:w="80"/>
              <w:left w:type="dxa" w:w="100"/>
              <w:bottom w:type="dxa" w:w="80"/>
              <w:right w:type="dxa" w:w="100"/>
            </w:tcMar>
          </w:tcPr>
          <w:p>
            <w:r>
              <w:rPr>
                <w:b w:val="false"/>
                <w:bCs w:val="false"/>
                <w:color w:val="000000"/>
              </w:rPr>
              <w:t xml:space="preserve">Número de artistas únicos</w:t>
            </w:r>
          </w:p>
        </w:tc>
        <w:tc>
          <w:tcPr>
            <w:tcW w:type="dxa" w:w="2500"/>
            <w:tcMar>
              <w:top w:type="dxa" w:w="80"/>
              <w:left w:type="dxa" w:w="100"/>
              <w:bottom w:type="dxa" w:w="80"/>
              <w:right w:type="dxa" w:w="100"/>
            </w:tcMar>
          </w:tcPr>
          <w:p>
            <w:r>
              <w:rPr>
                <w:b w:val="false"/>
                <w:bCs w:val="false"/>
                <w:color w:val="000000"/>
              </w:rPr>
              <w:t xml:space="preserve">31.429</w:t>
            </w:r>
          </w:p>
        </w:tc>
      </w:tr>
      <w:tr>
        <w:tc>
          <w:tcPr>
            <w:tcW w:type="dxa" w:w="5500"/>
            <w:tcMar>
              <w:top w:type="dxa" w:w="80"/>
              <w:left w:type="dxa" w:w="100"/>
              <w:bottom w:type="dxa" w:w="80"/>
              <w:right w:type="dxa" w:w="100"/>
            </w:tcMar>
          </w:tcPr>
          <w:p>
            <w:r>
              <w:rPr>
                <w:b w:val="false"/>
                <w:bCs w:val="false"/>
                <w:color w:val="000000"/>
              </w:rPr>
              <w:t xml:space="preserve">Popularidad media global</w:t>
            </w:r>
          </w:p>
        </w:tc>
        <w:tc>
          <w:tcPr>
            <w:tcW w:type="dxa" w:w="2500"/>
            <w:tcMar>
              <w:top w:type="dxa" w:w="80"/>
              <w:left w:type="dxa" w:w="100"/>
              <w:bottom w:type="dxa" w:w="80"/>
              <w:right w:type="dxa" w:w="100"/>
            </w:tcMar>
          </w:tcPr>
          <w:p>
            <w:r>
              <w:rPr>
                <w:b w:val="false"/>
                <w:bCs w:val="false"/>
                <w:color w:val="000000"/>
              </w:rPr>
              <w:t xml:space="preserve">33,24 / 100</w:t>
            </w:r>
          </w:p>
        </w:tc>
      </w:tr>
      <w:tr>
        <w:tc>
          <w:tcPr>
            <w:tcW w:type="dxa" w:w="5500"/>
            <w:tcMar>
              <w:top w:type="dxa" w:w="80"/>
              <w:left w:type="dxa" w:w="100"/>
              <w:bottom w:type="dxa" w:w="80"/>
              <w:right w:type="dxa" w:w="100"/>
            </w:tcMar>
          </w:tcPr>
          <w:p>
            <w:r>
              <w:rPr>
                <w:b w:val="false"/>
                <w:bCs w:val="false"/>
                <w:color w:val="000000"/>
              </w:rPr>
              <w:t xml:space="preserve">Duración media global</w:t>
            </w:r>
          </w:p>
        </w:tc>
        <w:tc>
          <w:tcPr>
            <w:tcW w:type="dxa" w:w="2500"/>
            <w:tcMar>
              <w:top w:type="dxa" w:w="80"/>
              <w:left w:type="dxa" w:w="100"/>
              <w:bottom w:type="dxa" w:w="80"/>
              <w:right w:type="dxa" w:w="100"/>
            </w:tcMar>
          </w:tcPr>
          <w:p>
            <w:r>
              <w:rPr>
                <w:b w:val="false"/>
                <w:bCs w:val="false"/>
                <w:color w:val="000000"/>
              </w:rPr>
              <w:t xml:space="preserve">3,80 min</w:t>
            </w:r>
          </w:p>
        </w:tc>
      </w:tr>
      <w:tr>
        <w:tc>
          <w:tcPr>
            <w:tcW w:type="dxa" w:w="5500"/>
            <w:tcMar>
              <w:top w:type="dxa" w:w="80"/>
              <w:left w:type="dxa" w:w="100"/>
              <w:bottom w:type="dxa" w:w="80"/>
              <w:right w:type="dxa" w:w="100"/>
            </w:tcMar>
          </w:tcPr>
          <w:p>
            <w:r>
              <w:rPr>
                <w:b w:val="false"/>
                <w:bCs w:val="false"/>
                <w:color w:val="000000"/>
              </w:rPr>
              <w:t xml:space="preserve">% de canciones explícitas (global)</w:t>
            </w:r>
          </w:p>
        </w:tc>
        <w:tc>
          <w:tcPr>
            <w:tcW w:type="dxa" w:w="2500"/>
            <w:tcMar>
              <w:top w:type="dxa" w:w="80"/>
              <w:left w:type="dxa" w:w="100"/>
              <w:bottom w:type="dxa" w:w="80"/>
              <w:right w:type="dxa" w:w="100"/>
            </w:tcMar>
          </w:tcPr>
          <w:p>
            <w:r>
              <w:rPr>
                <w:b w:val="false"/>
                <w:bCs w:val="false"/>
                <w:color w:val="000000"/>
              </w:rPr>
              <w:t xml:space="preserve">8,55%</w:t>
            </w:r>
          </w:p>
        </w:tc>
      </w:tr>
    </w:tbl>
    <w:p>
      <w:pPr>
        <w:spacing w:after="150" w:before="300"/>
      </w:pPr>
      <w:r>
        <w:rPr>
          <w:b/>
          <w:bCs/>
        </w:rPr>
        <w:t xml:space="preserve">Top 5 géneros más populares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200"/>
      </w:tblGrid>
      <w:tr>
        <w:tc>
          <w:tcPr>
            <w:tcW w:type="dxa" w:w="2200"/>
            <w:shd w:fill="1ED760" w:val="clear"/>
            <w:tcMar>
              <w:top w:type="dxa" w:w="80"/>
              <w:left w:type="dxa" w:w="100"/>
              <w:bottom w:type="dxa" w:w="80"/>
              <w:right w:type="dxa" w:w="100"/>
            </w:tcMar>
          </w:tcPr>
          <w:p>
            <w:r>
              <w:rPr>
                <w:b/>
                <w:bCs/>
                <w:color w:val="FFFFFF"/>
              </w:rPr>
              <w:t xml:space="preserve">Género</w:t>
            </w:r>
          </w:p>
        </w:tc>
        <w:tc>
          <w:tcPr>
            <w:tcW w:type="dxa" w:w="2200"/>
            <w:shd w:fill="1ED760" w:val="clear"/>
            <w:tcMar>
              <w:top w:type="dxa" w:w="80"/>
              <w:left w:type="dxa" w:w="100"/>
              <w:bottom w:type="dxa" w:w="80"/>
              <w:right w:type="dxa" w:w="100"/>
            </w:tcMar>
          </w:tcPr>
          <w:p>
            <w:r>
              <w:rPr>
                <w:b/>
                <w:bCs/>
                <w:color w:val="FFFFFF"/>
              </w:rPr>
              <w:t xml:space="preserve">Popularidad</w:t>
            </w:r>
          </w:p>
        </w:tc>
        <w:tc>
          <w:tcPr>
            <w:tcW w:type="dxa" w:w="2400"/>
            <w:shd w:fill="1ED760" w:val="clear"/>
            <w:tcMar>
              <w:top w:type="dxa" w:w="80"/>
              <w:left w:type="dxa" w:w="100"/>
              <w:bottom w:type="dxa" w:w="80"/>
              <w:right w:type="dxa" w:w="100"/>
            </w:tcMar>
          </w:tcPr>
          <w:p>
            <w:r>
              <w:rPr>
                <w:b/>
                <w:bCs/>
                <w:color w:val="FFFFFF"/>
              </w:rPr>
              <w:t xml:space="preserve">Duración (min)</w:t>
            </w:r>
          </w:p>
        </w:tc>
        <w:tc>
          <w:tcPr>
            <w:tcW w:type="dxa" w:w="2200"/>
            <w:shd w:fill="1ED760" w:val="clear"/>
            <w:tcMar>
              <w:top w:type="dxa" w:w="80"/>
              <w:left w:type="dxa" w:w="100"/>
              <w:bottom w:type="dxa" w:w="80"/>
              <w:right w:type="dxa" w:w="100"/>
            </w:tcMar>
          </w:tcPr>
          <w:p>
            <w:r>
              <w:rPr>
                <w:b/>
                <w:bCs/>
                <w:color w:val="FFFFFF"/>
              </w:rPr>
              <w:t xml:space="preserve">% Explícito</w:t>
            </w:r>
          </w:p>
        </w:tc>
      </w:tr>
      <w:tr>
        <w:tc>
          <w:tcPr>
            <w:tcW w:type="dxa" w:w="2200"/>
            <w:tcMar>
              <w:top w:type="dxa" w:w="80"/>
              <w:left w:type="dxa" w:w="100"/>
              <w:bottom w:type="dxa" w:w="80"/>
              <w:right w:type="dxa" w:w="100"/>
            </w:tcMar>
          </w:tcPr>
          <w:p>
            <w:r>
              <w:rPr>
                <w:b w:val="false"/>
                <w:bCs w:val="false"/>
                <w:color w:val="000000"/>
              </w:rPr>
              <w:t xml:space="preserve">pop-film</w:t>
            </w:r>
          </w:p>
        </w:tc>
        <w:tc>
          <w:tcPr>
            <w:tcW w:type="dxa" w:w="2200"/>
            <w:tcMar>
              <w:top w:type="dxa" w:w="80"/>
              <w:left w:type="dxa" w:w="100"/>
              <w:bottom w:type="dxa" w:w="80"/>
              <w:right w:type="dxa" w:w="100"/>
            </w:tcMar>
          </w:tcPr>
          <w:p>
            <w:r>
              <w:rPr>
                <w:b w:val="false"/>
                <w:bCs w:val="false"/>
                <w:color w:val="000000"/>
              </w:rPr>
              <w:t xml:space="preserve">59,3</w:t>
            </w:r>
          </w:p>
        </w:tc>
        <w:tc>
          <w:tcPr>
            <w:tcW w:type="dxa" w:w="2400"/>
            <w:tcMar>
              <w:top w:type="dxa" w:w="80"/>
              <w:left w:type="dxa" w:w="100"/>
              <w:bottom w:type="dxa" w:w="80"/>
              <w:right w:type="dxa" w:w="100"/>
            </w:tcMar>
          </w:tcPr>
          <w:p>
            <w:r>
              <w:rPr>
                <w:b w:val="false"/>
                <w:bCs w:val="false"/>
                <w:color w:val="000000"/>
              </w:rPr>
              <w:t xml:space="preserve">4,66</w:t>
            </w:r>
          </w:p>
        </w:tc>
        <w:tc>
          <w:tcPr>
            <w:tcW w:type="dxa" w:w="2200"/>
            <w:tcMar>
              <w:top w:type="dxa" w:w="80"/>
              <w:left w:type="dxa" w:w="100"/>
              <w:bottom w:type="dxa" w:w="80"/>
              <w:right w:type="dxa" w:w="100"/>
            </w:tcMar>
          </w:tcPr>
          <w:p>
            <w:r>
              <w:rPr>
                <w:b w:val="false"/>
                <w:bCs w:val="false"/>
                <w:color w:val="000000"/>
              </w:rPr>
              <w:t xml:space="preserve">0,1%</w:t>
            </w:r>
          </w:p>
        </w:tc>
      </w:tr>
      <w:tr>
        <w:tc>
          <w:tcPr>
            <w:tcW w:type="dxa" w:w="2200"/>
            <w:tcMar>
              <w:top w:type="dxa" w:w="80"/>
              <w:left w:type="dxa" w:w="100"/>
              <w:bottom w:type="dxa" w:w="80"/>
              <w:right w:type="dxa" w:w="100"/>
            </w:tcMar>
          </w:tcPr>
          <w:p>
            <w:r>
              <w:rPr>
                <w:b w:val="false"/>
                <w:bCs w:val="false"/>
                <w:color w:val="000000"/>
              </w:rPr>
              <w:t xml:space="preserve">k-pop</w:t>
            </w:r>
          </w:p>
        </w:tc>
        <w:tc>
          <w:tcPr>
            <w:tcW w:type="dxa" w:w="2200"/>
            <w:tcMar>
              <w:top w:type="dxa" w:w="80"/>
              <w:left w:type="dxa" w:w="100"/>
              <w:bottom w:type="dxa" w:w="80"/>
              <w:right w:type="dxa" w:w="100"/>
            </w:tcMar>
          </w:tcPr>
          <w:p>
            <w:r>
              <w:rPr>
                <w:b w:val="false"/>
                <w:bCs w:val="false"/>
                <w:color w:val="000000"/>
              </w:rPr>
              <w:t xml:space="preserve">57,0</w:t>
            </w:r>
          </w:p>
        </w:tc>
        <w:tc>
          <w:tcPr>
            <w:tcW w:type="dxa" w:w="2400"/>
            <w:tcMar>
              <w:top w:type="dxa" w:w="80"/>
              <w:left w:type="dxa" w:w="100"/>
              <w:bottom w:type="dxa" w:w="80"/>
              <w:right w:type="dxa" w:w="100"/>
            </w:tcMar>
          </w:tcPr>
          <w:p>
            <w:r>
              <w:rPr>
                <w:b w:val="false"/>
                <w:bCs w:val="false"/>
                <w:color w:val="000000"/>
              </w:rPr>
              <w:t xml:space="preserve">4,19</w:t>
            </w:r>
          </w:p>
        </w:tc>
        <w:tc>
          <w:tcPr>
            <w:tcW w:type="dxa" w:w="2200"/>
            <w:tcMar>
              <w:top w:type="dxa" w:w="80"/>
              <w:left w:type="dxa" w:w="100"/>
              <w:bottom w:type="dxa" w:w="80"/>
              <w:right w:type="dxa" w:w="100"/>
            </w:tcMar>
          </w:tcPr>
          <w:p>
            <w:r>
              <w:rPr>
                <w:b w:val="false"/>
                <w:bCs w:val="false"/>
                <w:color w:val="000000"/>
              </w:rPr>
              <w:t xml:space="preserve">4,9%</w:t>
            </w:r>
          </w:p>
        </w:tc>
      </w:tr>
      <w:tr>
        <w:tc>
          <w:tcPr>
            <w:tcW w:type="dxa" w:w="2200"/>
            <w:tcMar>
              <w:top w:type="dxa" w:w="80"/>
              <w:left w:type="dxa" w:w="100"/>
              <w:bottom w:type="dxa" w:w="80"/>
              <w:right w:type="dxa" w:w="100"/>
            </w:tcMar>
          </w:tcPr>
          <w:p>
            <w:r>
              <w:rPr>
                <w:b w:val="false"/>
                <w:bCs w:val="false"/>
                <w:color w:val="000000"/>
              </w:rPr>
              <w:t xml:space="preserve">chill</w:t>
            </w:r>
          </w:p>
        </w:tc>
        <w:tc>
          <w:tcPr>
            <w:tcW w:type="dxa" w:w="2200"/>
            <w:tcMar>
              <w:top w:type="dxa" w:w="80"/>
              <w:left w:type="dxa" w:w="100"/>
              <w:bottom w:type="dxa" w:w="80"/>
              <w:right w:type="dxa" w:w="100"/>
            </w:tcMar>
          </w:tcPr>
          <w:p>
            <w:r>
              <w:rPr>
                <w:b w:val="false"/>
                <w:bCs w:val="false"/>
                <w:color w:val="000000"/>
              </w:rPr>
              <w:t xml:space="preserve">53,7</w:t>
            </w:r>
          </w:p>
        </w:tc>
        <w:tc>
          <w:tcPr>
            <w:tcW w:type="dxa" w:w="2400"/>
            <w:tcMar>
              <w:top w:type="dxa" w:w="80"/>
              <w:left w:type="dxa" w:w="100"/>
              <w:bottom w:type="dxa" w:w="80"/>
              <w:right w:type="dxa" w:w="100"/>
            </w:tcMar>
          </w:tcPr>
          <w:p>
            <w:r>
              <w:rPr>
                <w:b w:val="false"/>
                <w:bCs w:val="false"/>
                <w:color w:val="000000"/>
              </w:rPr>
              <w:t xml:space="preserve">3,0*</w:t>
            </w:r>
          </w:p>
        </w:tc>
        <w:tc>
          <w:tcPr>
            <w:tcW w:type="dxa" w:w="2200"/>
            <w:tcMar>
              <w:top w:type="dxa" w:w="80"/>
              <w:left w:type="dxa" w:w="100"/>
              <w:bottom w:type="dxa" w:w="80"/>
              <w:right w:type="dxa" w:w="100"/>
            </w:tcMar>
          </w:tcPr>
          <w:p>
            <w:r>
              <w:rPr>
                <w:b w:val="false"/>
                <w:bCs w:val="false"/>
                <w:color w:val="000000"/>
              </w:rPr>
              <w:t xml:space="preserve">17,1%</w:t>
            </w:r>
          </w:p>
        </w:tc>
      </w:tr>
      <w:tr>
        <w:tc>
          <w:tcPr>
            <w:tcW w:type="dxa" w:w="2200"/>
            <w:tcMar>
              <w:top w:type="dxa" w:w="80"/>
              <w:left w:type="dxa" w:w="100"/>
              <w:bottom w:type="dxa" w:w="80"/>
              <w:right w:type="dxa" w:w="100"/>
            </w:tcMar>
          </w:tcPr>
          <w:p>
            <w:r>
              <w:rPr>
                <w:b w:val="false"/>
                <w:bCs w:val="false"/>
                <w:color w:val="000000"/>
              </w:rPr>
              <w:t xml:space="preserve">sad</w:t>
            </w:r>
          </w:p>
        </w:tc>
        <w:tc>
          <w:tcPr>
            <w:tcW w:type="dxa" w:w="2200"/>
            <w:tcMar>
              <w:top w:type="dxa" w:w="80"/>
              <w:left w:type="dxa" w:w="100"/>
              <w:bottom w:type="dxa" w:w="80"/>
              <w:right w:type="dxa" w:w="100"/>
            </w:tcMar>
          </w:tcPr>
          <w:p>
            <w:r>
              <w:rPr>
                <w:b w:val="false"/>
                <w:bCs w:val="false"/>
                <w:color w:val="000000"/>
              </w:rPr>
              <w:t xml:space="preserve">52,4</w:t>
            </w:r>
          </w:p>
        </w:tc>
        <w:tc>
          <w:tcPr>
            <w:tcW w:type="dxa" w:w="2400"/>
            <w:tcMar>
              <w:top w:type="dxa" w:w="80"/>
              <w:left w:type="dxa" w:w="100"/>
              <w:bottom w:type="dxa" w:w="80"/>
              <w:right w:type="dxa" w:w="100"/>
            </w:tcMar>
          </w:tcPr>
          <w:p>
            <w:r>
              <w:rPr>
                <w:b w:val="false"/>
                <w:bCs w:val="false"/>
                <w:color w:val="000000"/>
              </w:rPr>
              <w:t xml:space="preserve">2,7*</w:t>
            </w:r>
          </w:p>
        </w:tc>
        <w:tc>
          <w:tcPr>
            <w:tcW w:type="dxa" w:w="2200"/>
            <w:tcMar>
              <w:top w:type="dxa" w:w="80"/>
              <w:left w:type="dxa" w:w="100"/>
              <w:bottom w:type="dxa" w:w="80"/>
              <w:right w:type="dxa" w:w="100"/>
            </w:tcMar>
          </w:tcPr>
          <w:p>
            <w:r>
              <w:rPr>
                <w:b w:val="false"/>
                <w:bCs w:val="false"/>
                <w:color w:val="000000"/>
              </w:rPr>
              <w:t xml:space="preserve">45,0%</w:t>
            </w:r>
          </w:p>
        </w:tc>
      </w:tr>
      <w:tr>
        <w:tc>
          <w:tcPr>
            <w:tcW w:type="dxa" w:w="2200"/>
            <w:tcMar>
              <w:top w:type="dxa" w:w="80"/>
              <w:left w:type="dxa" w:w="100"/>
              <w:bottom w:type="dxa" w:w="80"/>
              <w:right w:type="dxa" w:w="100"/>
            </w:tcMar>
          </w:tcPr>
          <w:p>
            <w:r>
              <w:rPr>
                <w:b w:val="false"/>
                <w:bCs w:val="false"/>
                <w:color w:val="000000"/>
              </w:rPr>
              <w:t xml:space="preserve">grunge</w:t>
            </w:r>
          </w:p>
        </w:tc>
        <w:tc>
          <w:tcPr>
            <w:tcW w:type="dxa" w:w="2200"/>
            <w:tcMar>
              <w:top w:type="dxa" w:w="80"/>
              <w:left w:type="dxa" w:w="100"/>
              <w:bottom w:type="dxa" w:w="80"/>
              <w:right w:type="dxa" w:w="100"/>
            </w:tcMar>
          </w:tcPr>
          <w:p>
            <w:r>
              <w:rPr>
                <w:b w:val="false"/>
                <w:bCs w:val="false"/>
                <w:color w:val="000000"/>
              </w:rPr>
              <w:t xml:space="preserve">49,6</w:t>
            </w:r>
          </w:p>
        </w:tc>
        <w:tc>
          <w:tcPr>
            <w:tcW w:type="dxa" w:w="2400"/>
            <w:tcMar>
              <w:top w:type="dxa" w:w="80"/>
              <w:left w:type="dxa" w:w="100"/>
              <w:bottom w:type="dxa" w:w="80"/>
              <w:right w:type="dxa" w:w="100"/>
            </w:tcMar>
          </w:tcPr>
          <w:p>
            <w:r>
              <w:rPr>
                <w:b w:val="false"/>
                <w:bCs w:val="false"/>
                <w:color w:val="000000"/>
              </w:rPr>
              <w:t xml:space="preserve">4,1*</w:t>
            </w:r>
          </w:p>
        </w:tc>
        <w:tc>
          <w:tcPr>
            <w:tcW w:type="dxa" w:w="2200"/>
            <w:tcMar>
              <w:top w:type="dxa" w:w="80"/>
              <w:left w:type="dxa" w:w="100"/>
              <w:bottom w:type="dxa" w:w="80"/>
              <w:right w:type="dxa" w:w="100"/>
            </w:tcMar>
          </w:tcPr>
          <w:p>
            <w:r>
              <w:rPr>
                <w:b w:val="false"/>
                <w:bCs w:val="false"/>
                <w:color w:val="000000"/>
              </w:rPr>
              <w:t xml:space="preserve">7,2%</w:t>
            </w:r>
          </w:p>
        </w:tc>
      </w:tr>
    </w:tbl>
    <w:p>
      <w:pPr>
        <w:spacing w:after="160" w:line="276"/>
      </w:pPr>
      <w:r>
        <w:rPr>
          <w:i/>
          <w:iCs/>
          <w:color w:val="595959"/>
          <w:sz w:val="18"/>
          <w:szCs w:val="18"/>
        </w:rPr>
        <w:t xml:space="preserve">* Valores de duración aproximados según la vista reducida de la tabla dinámica del dashboard.</w:t>
      </w:r>
    </w:p>
    <w:p>
      <w:pPr>
        <w:spacing w:after="160" w:line="276"/>
      </w:pPr>
      <w:r>
        <w:t xml:space="preserve">El género "comedy" destaca como el de mayor proporción de contenido explícito (65,6%), un resultado coherente con el uso frecuente de lenguaje adulto en el humor grabado. En cuanto a duración, el género detroit-techno presenta las canciones más largas (6,20 minutos de media), reflejo de estructuras extendidas típicas de la música electrónica de club.</w:t>
      </w:r>
    </w:p>
    <w:p>
      <w:pPr>
        <w:spacing w:after="160" w:line="276"/>
      </w:pPr>
      <w:r>
        <w:t xml:space="preserve">Respecto al tempo y al estado de ánimo (valence), se observa que la mayoría de géneros se concentran en un rango de tempo relativamente similar, entre 110 y 130 pulsaciones por minuto (BPM) aproximadamente. La principal diferencia entre géneros no reside tanto en la velocidad, sino en el valence: existen géneros con tempos parecidos pero estados de ánimo muy distintos, desde los más melancólicos hasta los más alegres.</w:t>
      </w:r>
    </w:p>
    <w:p>
      <w:pPr>
        <w:pStyle w:val="Heading1"/>
        <w:spacing w:after="150" w:before="300"/>
      </w:pPr>
      <w:r>
        <w:rPr>
          <w:b/>
          <w:bCs/>
          <w:color w:val="121212"/>
        </w:rPr>
        <w:t xml:space="preserve">5. Dashboard</w:t>
      </w:r>
    </w:p>
    <w:p>
      <w:pPr>
        <w:spacing w:after="160" w:line="276"/>
      </w:pPr>
      <w:r>
        <w:t xml:space="preserve">El dashboard se diseñó siguiendo una estructura de tres niveles: indicadores de contexto, hallazgos principales y herramientas de exploración interactiva. La paleta de colores se inspira en la identidad visual de la marca Spotify (verde #1ED760 como color de acento).</w:t>
      </w:r>
    </w:p>
    <w:p>
      <w:pPr>
        <w:pStyle w:val="ListParagraph"/>
        <w:numPr>
          <w:ilvl w:val="0"/>
          <w:numId w:val="2"/>
        </w:numPr>
        <w:spacing w:after="80"/>
      </w:pPr>
      <w:r>
        <w:t xml:space="preserve">Indicadores clave (big numbers): total de canciones, número de géneros y número de artistas se mantienen fijos como referencia de escala del dataset completo; popularidad media, duración media y porcentaje de contenido explícito son dinámicos y responden a los filtros aplicados.</w:t>
      </w:r>
    </w:p>
    <w:p>
      <w:pPr>
        <w:pStyle w:val="ListParagraph"/>
        <w:numPr>
          <w:ilvl w:val="0"/>
          <w:numId w:val="2"/>
        </w:numPr>
        <w:spacing w:after="80"/>
      </w:pPr>
      <w:r>
        <w:t xml:space="preserve">Top 15 géneros por popularidad (gráfico de barras): el hallazgo principal del dashboard.</w:t>
      </w:r>
    </w:p>
    <w:p>
      <w:pPr>
        <w:pStyle w:val="ListParagraph"/>
        <w:numPr>
          <w:ilvl w:val="0"/>
          <w:numId w:val="2"/>
        </w:numPr>
        <w:spacing w:after="80"/>
      </w:pPr>
      <w:r>
        <w:t xml:space="preserve">Top 5 géneros más y menos populares, enriquecidos con duración media y porcentaje de contenido explícito como contexto adicional.</w:t>
      </w:r>
    </w:p>
    <w:p>
      <w:pPr>
        <w:pStyle w:val="ListParagraph"/>
        <w:numPr>
          <w:ilvl w:val="0"/>
          <w:numId w:val="2"/>
        </w:numPr>
        <w:spacing w:after="80"/>
      </w:pPr>
      <w:r>
        <w:t xml:space="preserve">Top 10 artistas con más canciones (gráfico de barras), con la salvedad de que el conteo puede estar inflado en artistas cuyas canciones aparecen etiquetadas en varios géneros.</w:t>
      </w:r>
    </w:p>
    <w:p>
      <w:pPr>
        <w:pStyle w:val="ListParagraph"/>
        <w:numPr>
          <w:ilvl w:val="0"/>
          <w:numId w:val="2"/>
        </w:numPr>
        <w:spacing w:after="80"/>
      </w:pPr>
      <w:r>
        <w:t xml:space="preserve">Tempo vs Valence por género (gráfico de dispersión), que aporta la dimensión de "estado de ánimo" musical, ausente en el resto de gráficos.</w:t>
      </w:r>
    </w:p>
    <w:p>
      <w:pPr>
        <w:pStyle w:val="ListParagraph"/>
        <w:numPr>
          <w:ilvl w:val="0"/>
          <w:numId w:val="2"/>
        </w:numPr>
        <w:spacing w:after="80"/>
      </w:pPr>
      <w:r>
        <w:t xml:space="preserve">Dos segmentos de datos (slicers): género musical y contenido explícito. El slicer de género se conectó únicamente a la tabla de artistas, para evitar romper la comparación entre géneros en el gráfico principal de popularidad; el slicer de contenido explícito se conectó de forma transversal a la mayoría de elementos del dashboard.</w:t>
      </w:r>
    </w:p>
    <w:p>
      <w:pPr>
        <w:pStyle w:val="Heading1"/>
        <w:spacing w:after="150" w:before="300"/>
      </w:pPr>
      <w:r>
        <w:rPr>
          <w:b/>
          <w:bCs/>
          <w:color w:val="121212"/>
        </w:rPr>
        <w:t xml:space="preserve">6. Conclusiones</w:t>
      </w:r>
    </w:p>
    <w:p>
      <w:pPr>
        <w:pStyle w:val="ListParagraph"/>
        <w:numPr>
          <w:ilvl w:val="0"/>
          <w:numId w:val="2"/>
        </w:numPr>
        <w:spacing w:after="80"/>
      </w:pPr>
      <w:r>
        <w:t xml:space="preserve">Los géneros pop-film y k-pop lideran claramente en popularidad media, muy por encima del resto de categorías.</w:t>
      </w:r>
    </w:p>
    <w:p>
      <w:pPr>
        <w:pStyle w:val="ListParagraph"/>
        <w:numPr>
          <w:ilvl w:val="0"/>
          <w:numId w:val="2"/>
        </w:numPr>
        <w:spacing w:after="80"/>
      </w:pPr>
      <w:r>
        <w:t xml:space="preserve">El contenido explícito no es uniforme entre géneros: comedy, emo y sad concentran las proporciones más altas.</w:t>
      </w:r>
    </w:p>
    <w:p>
      <w:pPr>
        <w:pStyle w:val="ListParagraph"/>
        <w:numPr>
          <w:ilvl w:val="0"/>
          <w:numId w:val="2"/>
        </w:numPr>
        <w:spacing w:after="80"/>
      </w:pPr>
      <w:r>
        <w:t xml:space="preserve">La duración de las canciones varía notablemente según el género, con la música electrónica (detroit-techno, minimal-techno) entre las de mayor duración media.</w:t>
      </w:r>
    </w:p>
    <w:p>
      <w:pPr>
        <w:pStyle w:val="ListParagraph"/>
        <w:numPr>
          <w:ilvl w:val="0"/>
          <w:numId w:val="2"/>
        </w:numPr>
        <w:spacing w:after="80"/>
      </w:pPr>
      <w:r>
        <w:t xml:space="preserve">El dataset está balanceado por diseño (1.000 canciones por género), lo que permite comparar géneros entre sí sin que el tamaño de la muestra distorsione los resultados.</w:t>
      </w:r>
    </w:p>
    <w:p>
      <w:pPr>
        <w:pStyle w:val="ListParagraph"/>
        <w:numPr>
          <w:ilvl w:val="0"/>
          <w:numId w:val="2"/>
        </w:numPr>
        <w:spacing w:after="80"/>
      </w:pPr>
      <w:r>
        <w:t xml:space="preserve">El estado de ánimo (valence) varía más entre géneros que el tempo, que se mantiene relativamente estable en torno a 110-130 BPM en la mayoría de los casos.</w:t>
      </w:r>
    </w:p>
    <w:p>
      <w:pPr>
        <w:pStyle w:val="Heading1"/>
        <w:spacing w:after="150" w:before="300"/>
      </w:pPr>
      <w:r>
        <w:rPr>
          <w:b/>
          <w:bCs/>
          <w:color w:val="121212"/>
        </w:rPr>
        <w:t xml:space="preserve">7. Limitaciones</w:t>
      </w:r>
    </w:p>
    <w:p>
      <w:pPr>
        <w:pStyle w:val="ListParagraph"/>
        <w:numPr>
          <w:ilvl w:val="0"/>
          <w:numId w:val="2"/>
        </w:numPr>
        <w:spacing w:after="80"/>
      </w:pPr>
      <w:r>
        <w:t xml:space="preserve">Los duplicados conservados por diseño (misma canción en varios géneros) inflan el conteo de canciones de artistas presentes en múltiples géneros, por lo que el ranking de artistas debe interpretarse con cautela.</w:t>
      </w:r>
    </w:p>
    <w:p>
      <w:pPr>
        <w:pStyle w:val="ListParagraph"/>
        <w:numPr>
          <w:ilvl w:val="0"/>
          <w:numId w:val="2"/>
        </w:numPr>
        <w:spacing w:after="80"/>
      </w:pPr>
      <w:r>
        <w:t xml:space="preserve">Se detectaron valores atípicos de duración y de tempo (tempo = 0), documentados pero no eliminados del conjunto de datos.</w:t>
      </w:r>
    </w:p>
    <w:p>
      <w:pPr>
        <w:pStyle w:val="ListParagraph"/>
        <w:numPr>
          <w:ilvl w:val="0"/>
          <w:numId w:val="2"/>
        </w:numPr>
        <w:spacing w:after="80"/>
      </w:pPr>
      <w:r>
        <w:t xml:space="preserve">Por una limitación técnica de Excel, el gráfico de dispersión Tempo vs Valence no puede conectarse directamente a los segmentos de datos (slicers), por lo que se muestra de forma estática con el conjunto completo de géneros.</w:t>
      </w:r>
    </w:p>
    <w:p>
      <w:pPr>
        <w:pStyle w:val="ListParagraph"/>
        <w:numPr>
          <w:ilvl w:val="0"/>
          <w:numId w:val="2"/>
        </w:numPr>
        <w:spacing w:after="80"/>
      </w:pPr>
      <w:r>
        <w:t xml:space="preserve">El índice de popularidad es una puntuación calculada por Spotify (no una proporción ni un conteo de reproducciones), por lo que se interpreta como una escala relativa de 0 a 100 y no como un porcentaje.</w:t>
      </w:r>
    </w:p>
    <w:p>
      <w:pPr>
        <w:pStyle w:val="Heading1"/>
        <w:spacing w:after="150" w:before="300"/>
      </w:pPr>
      <w:r>
        <w:rPr>
          <w:b/>
          <w:bCs/>
          <w:color w:val="121212"/>
        </w:rPr>
        <w:t xml:space="preserve">8. Próximos pasos</w:t>
      </w:r>
    </w:p>
    <w:p>
      <w:pPr>
        <w:pStyle w:val="ListParagraph"/>
        <w:numPr>
          <w:ilvl w:val="0"/>
          <w:numId w:val="2"/>
        </w:numPr>
        <w:spacing w:after="80"/>
      </w:pPr>
      <w:r>
        <w:t xml:space="preserve">Ampliar el análisis de correlación entre variables de audio adicionales, como energy, loudness y acousticness.</w:t>
      </w:r>
    </w:p>
    <w:p>
      <w:pPr>
        <w:pStyle w:val="ListParagraph"/>
        <w:numPr>
          <w:ilvl w:val="0"/>
          <w:numId w:val="2"/>
        </w:numPr>
        <w:spacing w:after="80"/>
      </w:pPr>
      <w:r>
        <w:t xml:space="preserve">Enriquecer el dataset con datos adicionales, como el número de escuchas mensuales por canción, para analizar la popularidad en relación con el volumen real de reproducciones.</w:t>
      </w:r>
    </w:p>
    <w:p>
      <w:pPr>
        <w:pStyle w:val="ListParagraph"/>
        <w:numPr>
          <w:ilvl w:val="0"/>
          <w:numId w:val="2"/>
        </w:numPr>
        <w:spacing w:after="80"/>
      </w:pPr>
      <w:r>
        <w:t xml:space="preserve">Explorar un análisis de canciones únicas (sin duplicados por género) para comparar rankings de artistas sin el sesgo de las repeticiones.</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2026-07-22T01:03:44.096Z</dcterms:created>
  <dcterms:modified xsi:type="dcterms:W3CDTF">2026-07-22T01:03:44.112Z</dcterms:modified>
</cp:coreProperties>
</file>

<file path=docProps/custom.xml><?xml version="1.0" encoding="utf-8"?>
<Properties xmlns="http://schemas.openxmlformats.org/officeDocument/2006/custom-properties" xmlns:vt="http://schemas.openxmlformats.org/officeDocument/2006/docPropsVTypes"/>
</file>