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TrialNet</w:t>
      </w:r>
      <w:r>
        <w:t xml:space="preserve"> </w:t>
      </w:r>
      <w:r>
        <w:t xml:space="preserve">INS</w:t>
      </w:r>
      <w:r>
        <w:t xml:space="preserve"> </w:t>
      </w:r>
      <w:r>
        <w:t xml:space="preserve">ratio</w:t>
      </w:r>
      <w:r>
        <w:t xml:space="preserve"> </w:t>
      </w:r>
      <w:r>
        <w:t xml:space="preserve">analyses</w:t>
      </w:r>
    </w:p>
    <w:p>
      <w:pPr>
        <w:pStyle w:val="Author"/>
      </w:pPr>
      <w:r>
        <w:t xml:space="preserve">Laura</w:t>
      </w:r>
      <w:r>
        <w:t xml:space="preserve"> </w:t>
      </w:r>
      <w:r>
        <w:t xml:space="preserve">Pyle</w:t>
      </w:r>
    </w:p>
    <w:p>
      <w:pPr>
        <w:pStyle w:val="Date"/>
      </w:pPr>
      <w:r>
        <w:t xml:space="preserve">November</w:t>
      </w:r>
      <w:r>
        <w:t xml:space="preserve"> </w:t>
      </w:r>
      <w:r>
        <w:t xml:space="preserve">11,</w:t>
      </w:r>
      <w:r>
        <w:t xml:space="preserve"> </w:t>
      </w:r>
      <w:r>
        <w:t xml:space="preserve">2018</w:t>
      </w:r>
    </w:p>
    <w:p>
      <w:pPr>
        <w:pStyle w:val="Heading2"/>
      </w:pPr>
      <w:bookmarkStart w:id="21" w:name="background"/>
      <w:bookmarkEnd w:id="21"/>
      <w:r>
        <w:t xml:space="preserve">Background</w:t>
      </w:r>
    </w:p>
    <w:p>
      <w:pPr>
        <w:pStyle w:val="FirstParagraph"/>
      </w:pPr>
      <w:r>
        <w:t xml:space="preserve">The purpose of this analysis is to test whether unmethylated INS ratios and proinsulin ratios differ between 4 groups of TrialNet subjects: T1D, multiple antibody positive, single antibody positive, and negative. The correlation of unmethylated INS ratios and proinsulin ratios with biochemical and ECL antibody levels was also examined.</w:t>
      </w:r>
    </w:p>
    <w:p>
      <w:pPr>
        <w:pStyle w:val="Heading2"/>
      </w:pPr>
      <w:bookmarkStart w:id="22" w:name="methods"/>
      <w:bookmarkEnd w:id="22"/>
      <w:r>
        <w:t xml:space="preserve">Methods</w:t>
      </w:r>
    </w:p>
    <w:p>
      <w:pPr>
        <w:pStyle w:val="FirstParagraph"/>
      </w:pPr>
      <w:r>
        <w:t xml:space="preserve">There were 1703 records in the initial longitudinal dataset, and 144 participants in the participant database.</w:t>
      </w:r>
    </w:p>
    <w:p>
      <w:pPr>
        <w:pStyle w:val="BodyText"/>
      </w:pPr>
      <w:r>
        <w:t xml:space="preserve">The following data manipulation and cleaning steps were performed:</w:t>
      </w:r>
    </w:p>
    <w:p>
      <w:pPr>
        <w:pStyle w:val="Compact"/>
        <w:numPr>
          <w:numId w:val="1001"/>
          <w:ilvl w:val="0"/>
        </w:numPr>
      </w:pPr>
      <w:r>
        <w:t xml:space="preserve">Fasting C-peptide in pM/L was calculated as fasting C-peptide*331.09.</w:t>
      </w:r>
    </w:p>
    <w:p>
      <w:pPr>
        <w:pStyle w:val="Compact"/>
        <w:numPr>
          <w:numId w:val="1001"/>
          <w:ilvl w:val="0"/>
        </w:numPr>
      </w:pPr>
      <w:r>
        <w:t xml:space="preserve">Proinsulin ratios were calculated as proinsulin (pM/L) / C-peptide (pM/L) *100</w:t>
      </w:r>
    </w:p>
    <w:p>
      <w:pPr>
        <w:pStyle w:val="Compact"/>
        <w:numPr>
          <w:numId w:val="1001"/>
          <w:ilvl w:val="0"/>
        </w:numPr>
      </w:pPr>
      <w:r>
        <w:t xml:space="preserve">There were 36 records deleted that were missing both mIAA and ICA512/IA2H results.</w:t>
      </w:r>
    </w:p>
    <w:p>
      <w:pPr>
        <w:pStyle w:val="Compact"/>
        <w:numPr>
          <w:numId w:val="1001"/>
          <w:ilvl w:val="0"/>
        </w:numPr>
      </w:pPr>
      <w:r>
        <w:t xml:space="preserve">There were an additional 40 records deleted that were missing just mIAA.</w:t>
      </w:r>
    </w:p>
    <w:p>
      <w:pPr>
        <w:pStyle w:val="Compact"/>
        <w:numPr>
          <w:numId w:val="1001"/>
          <w:ilvl w:val="0"/>
        </w:numPr>
      </w:pPr>
      <w:r>
        <w:t xml:space="preserve">Antibody results were classifed as positive/negative using the following cutoff values:</w:t>
      </w:r>
    </w:p>
    <w:p>
      <w:pPr>
        <w:pStyle w:val="Compact"/>
        <w:numPr>
          <w:numId w:val="1002"/>
          <w:ilvl w:val="0"/>
        </w:numPr>
      </w:pPr>
      <w:r>
        <w:t xml:space="preserve">mIAA, 0.01</w:t>
      </w:r>
    </w:p>
    <w:p>
      <w:pPr>
        <w:pStyle w:val="Compact"/>
        <w:numPr>
          <w:numId w:val="1002"/>
          <w:ilvl w:val="0"/>
        </w:numPr>
      </w:pPr>
      <w:r>
        <w:t xml:space="preserve">GAD65, 0.032</w:t>
      </w:r>
    </w:p>
    <w:p>
      <w:pPr>
        <w:pStyle w:val="Compact"/>
        <w:numPr>
          <w:numId w:val="1002"/>
          <w:ilvl w:val="0"/>
        </w:numPr>
      </w:pPr>
      <w:r>
        <w:t xml:space="preserve">GAD65H, 20</w:t>
      </w:r>
    </w:p>
    <w:p>
      <w:pPr>
        <w:pStyle w:val="Compact"/>
        <w:numPr>
          <w:numId w:val="1002"/>
          <w:ilvl w:val="0"/>
        </w:numPr>
      </w:pPr>
      <w:r>
        <w:t xml:space="preserve">ICA512, 0.049</w:t>
      </w:r>
    </w:p>
    <w:p>
      <w:pPr>
        <w:pStyle w:val="Compact"/>
        <w:numPr>
          <w:numId w:val="1002"/>
          <w:ilvl w:val="0"/>
        </w:numPr>
      </w:pPr>
      <w:r>
        <w:t xml:space="preserve">IA_2H, 5</w:t>
      </w:r>
    </w:p>
    <w:p>
      <w:pPr>
        <w:pStyle w:val="Compact"/>
        <w:numPr>
          <w:numId w:val="1002"/>
          <w:ilvl w:val="0"/>
        </w:numPr>
      </w:pPr>
      <w:r>
        <w:t xml:space="preserve">ZnT8, 0.02</w:t>
      </w:r>
    </w:p>
    <w:p>
      <w:pPr>
        <w:pStyle w:val="Compact"/>
        <w:numPr>
          <w:numId w:val="1003"/>
          <w:ilvl w:val="0"/>
        </w:numPr>
      </w:pPr>
      <w:r>
        <w:t xml:space="preserve">The categorical variables (positive/negative) for GAD65 and GAD65H were combined into one variable, as were the categorical variables for ICA512 and IA_2H.</w:t>
      </w:r>
    </w:p>
    <w:p>
      <w:pPr>
        <w:pStyle w:val="Compact"/>
        <w:numPr>
          <w:numId w:val="1003"/>
          <w:ilvl w:val="0"/>
        </w:numPr>
      </w:pPr>
      <w:r>
        <w:t xml:space="preserve">The number of positive antibodies at each visit was calculated as the sum of ICA512/IA2H, GAD65/GAD65H, mIAA, and ZnT8.</w:t>
      </w:r>
    </w:p>
    <w:p>
      <w:pPr>
        <w:pStyle w:val="Compact"/>
        <w:numPr>
          <w:numId w:val="1003"/>
          <w:ilvl w:val="0"/>
        </w:numPr>
      </w:pPr>
      <w:r>
        <w:t xml:space="preserve">For analyses using the continuous value of the antibodies, GAD65 and GAD65H were combined by calculating the Z-score of each variable and then combining the Z-scores into one variable. The same procedure was followed for ICA512/IA2H.</w:t>
      </w:r>
    </w:p>
    <w:p>
      <w:pPr>
        <w:pStyle w:val="Compact"/>
        <w:numPr>
          <w:numId w:val="1003"/>
          <w:ilvl w:val="0"/>
        </w:numPr>
      </w:pPr>
      <w:r>
        <w:t xml:space="preserve">There were 12 subjects who did not have any proinsulin results who were excluded from analysis.</w:t>
      </w:r>
    </w:p>
    <w:p>
      <w:pPr>
        <w:pStyle w:val="Compact"/>
        <w:numPr>
          <w:numId w:val="1003"/>
          <w:ilvl w:val="0"/>
        </w:numPr>
      </w:pPr>
      <w:r>
        <w:t xml:space="preserve">Participants were classified in the T1D group if they ever had a diagnosis of T1D.</w:t>
      </w:r>
      <w:r>
        <w:br w:type="textWrapping"/>
      </w:r>
    </w:p>
    <w:p>
      <w:pPr>
        <w:pStyle w:val="Compact"/>
        <w:numPr>
          <w:numId w:val="1003"/>
          <w:ilvl w:val="0"/>
        </w:numPr>
      </w:pPr>
      <w:r>
        <w:t xml:space="preserve">If a participant was not in the T1D group, they were classfied by antibody status as below. This resulted in 15 participants in the T1D group, 34 participants in the multiple antibody positive group, 68 participants in the single antibody positive group, and 15 participants in the negative group.</w:t>
      </w:r>
    </w:p>
    <w:p>
      <w:pPr>
        <w:pStyle w:val="Compact"/>
        <w:numPr>
          <w:numId w:val="1004"/>
          <w:ilvl w:val="0"/>
        </w:numPr>
      </w:pPr>
      <w:r>
        <w:t xml:space="preserve">If they were multiple antibody positive at any visit, they were classified as multiple antibody positive.</w:t>
      </w:r>
    </w:p>
    <w:p>
      <w:pPr>
        <w:pStyle w:val="Compact"/>
        <w:numPr>
          <w:numId w:val="1004"/>
          <w:ilvl w:val="0"/>
        </w:numPr>
      </w:pPr>
      <w:r>
        <w:t xml:space="preserve">If they were never multiple antibody positive, but were single antibody positive at 2 or more visits, they were classified as single antibody positive.</w:t>
      </w:r>
    </w:p>
    <w:p>
      <w:pPr>
        <w:pStyle w:val="Compact"/>
        <w:numPr>
          <w:numId w:val="1004"/>
          <w:ilvl w:val="0"/>
        </w:numPr>
      </w:pPr>
      <w:r>
        <w:t xml:space="preserve">Otherwise, they were classifed as antibody negative.</w:t>
      </w:r>
    </w:p>
    <w:p>
      <w:pPr>
        <w:pStyle w:val="Compact"/>
        <w:numPr>
          <w:numId w:val="1005"/>
          <w:ilvl w:val="0"/>
        </w:numPr>
      </w:pPr>
      <w:r>
        <w:t xml:space="preserve">For cross-sectional analyses, unmethylated INS ratios and proinsulin ratios were selected as follows:</w:t>
      </w:r>
    </w:p>
    <w:p>
      <w:pPr>
        <w:pStyle w:val="Compact"/>
        <w:numPr>
          <w:numId w:val="1006"/>
          <w:ilvl w:val="0"/>
        </w:numPr>
      </w:pPr>
      <w:r>
        <w:t xml:space="preserve">For the T1D group, the result closest to the date of diagnosis was used.</w:t>
      </w:r>
    </w:p>
    <w:p>
      <w:pPr>
        <w:pStyle w:val="Compact"/>
        <w:numPr>
          <w:numId w:val="1006"/>
          <w:ilvl w:val="0"/>
        </w:numPr>
      </w:pPr>
      <w:r>
        <w:t xml:space="preserve">For all other groups, the most recent result was used.</w:t>
      </w:r>
    </w:p>
    <w:p>
      <w:pPr>
        <w:pStyle w:val="Heading2"/>
      </w:pPr>
      <w:bookmarkStart w:id="23" w:name="results"/>
      <w:bookmarkEnd w:id="23"/>
      <w:r>
        <w:t xml:space="preserve">Results</w:t>
      </w:r>
    </w:p>
    <w:p>
      <w:pPr>
        <w:pStyle w:val="FirstParagraph"/>
      </w:pPr>
      <w:r>
        <w:t xml:space="preserve">Tables 2 and 3 show the results of the group comparisons for unmethylated INS ratio and proinsulin ratio.</w:t>
      </w:r>
    </w:p>
    <w:p>
      <w:pPr>
        <w:pStyle w:val="TableCaption"/>
      </w:pPr>
      <w:r>
        <w:t xml:space="preserve">Table 2. Unmethylated insulin ratios.</w:t>
      </w:r>
    </w:p>
    <w:tbl>
      <w:tblPr>
        <w:tblStyle w:val="TableNormal"/>
        <w:tblW w:type="pct" w:w="0.0"/>
        <w:tblLook w:firstRow="1"/>
        <w:tblCaption w:val="Table 2. Unmethylated insulin ratios."/>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(n=103)</w:t>
            </w:r>
          </w:p>
        </w:tc>
        <w:tc>
          <w:tcPr>
            <w:tcBorders>
              <w:bottom w:val="single"/>
            </w:tcBorders>
            <w:vAlign w:val="bottom"/>
          </w:tcPr>
          <w:p>
            <w:pPr>
              <w:pStyle w:val="Compact"/>
              <w:jc w:val="left"/>
            </w:pPr>
            <w:r>
              <w:t xml:space="preserve">0 (n=13)</w:t>
            </w:r>
          </w:p>
        </w:tc>
        <w:tc>
          <w:tcPr>
            <w:tcBorders>
              <w:bottom w:val="single"/>
            </w:tcBorders>
            <w:vAlign w:val="bottom"/>
          </w:tcPr>
          <w:p>
            <w:pPr>
              <w:pStyle w:val="Compact"/>
              <w:jc w:val="left"/>
            </w:pPr>
            <w:r>
              <w:t xml:space="preserve">1 (n=42)</w:t>
            </w:r>
          </w:p>
        </w:tc>
        <w:tc>
          <w:tcPr>
            <w:tcBorders>
              <w:bottom w:val="single"/>
            </w:tcBorders>
            <w:vAlign w:val="bottom"/>
          </w:tcPr>
          <w:p>
            <w:pPr>
              <w:pStyle w:val="Compact"/>
              <w:jc w:val="left"/>
            </w:pPr>
            <w:r>
              <w:t xml:space="preserve">2 (n=33)</w:t>
            </w:r>
          </w:p>
        </w:tc>
        <w:tc>
          <w:tcPr>
            <w:tcBorders>
              <w:bottom w:val="single"/>
            </w:tcBorders>
            <w:vAlign w:val="bottom"/>
          </w:tcPr>
          <w:p>
            <w:pPr>
              <w:pStyle w:val="Compact"/>
              <w:jc w:val="left"/>
            </w:pPr>
            <w:r>
              <w:t xml:space="preserve">3 (n=15)</w:t>
            </w:r>
          </w:p>
        </w:tc>
        <w:tc>
          <w:tcPr>
            <w:tcBorders>
              <w:bottom w:val="single"/>
            </w:tcBorders>
            <w:vAlign w:val="bottom"/>
          </w:tcPr>
          <w:p>
            <w:pPr>
              <w:pStyle w:val="Compact"/>
              <w:jc w:val="left"/>
            </w:pPr>
            <w:r>
              <w:t xml:space="preserve">P Value</w:t>
            </w:r>
          </w:p>
        </w:tc>
      </w:tr>
      <w:tr>
        <w:tc>
          <w:p>
            <w:pPr>
              <w:pStyle w:val="Compact"/>
              <w:jc w:val="left"/>
            </w:pPr>
            <w:r>
              <w:rPr>
                <w:b/>
              </w:rPr>
              <w:t xml:space="preserve">INS ratio</w:t>
            </w:r>
          </w:p>
        </w:tc>
        <w:tc>
          <w:p>
            <w:pPr>
              <w:pStyle w:val="Compact"/>
              <w:jc w:val="left"/>
            </w:pPr>
            <w:r>
              <w:t xml:space="preserve">0.14±0.04</w:t>
            </w:r>
          </w:p>
        </w:tc>
        <w:tc>
          <w:p>
            <w:pPr>
              <w:pStyle w:val="Compact"/>
              <w:jc w:val="left"/>
            </w:pPr>
            <w:r>
              <w:t xml:space="preserve">0.14±0.05</w:t>
            </w:r>
          </w:p>
        </w:tc>
        <w:tc>
          <w:p>
            <w:pPr>
              <w:pStyle w:val="Compact"/>
              <w:jc w:val="left"/>
            </w:pPr>
            <w:r>
              <w:t xml:space="preserve">0.15±0.05</w:t>
            </w:r>
          </w:p>
        </w:tc>
        <w:tc>
          <w:p>
            <w:pPr>
              <w:pStyle w:val="Compact"/>
              <w:jc w:val="left"/>
            </w:pPr>
            <w:r>
              <w:t xml:space="preserve">0.14±0.04</w:t>
            </w:r>
          </w:p>
        </w:tc>
        <w:tc>
          <w:p>
            <w:pPr>
              <w:pStyle w:val="Compact"/>
              <w:jc w:val="left"/>
            </w:pPr>
            <w:r>
              <w:t xml:space="preserve">0.13±0.04</w:t>
            </w:r>
          </w:p>
        </w:tc>
        <w:tc>
          <w:p>
            <w:pPr>
              <w:pStyle w:val="Compact"/>
              <w:jc w:val="left"/>
            </w:pPr>
            <w:r>
              <w:t xml:space="preserve">0.4092</w:t>
            </w:r>
          </w:p>
        </w:tc>
      </w:tr>
      <w:tr>
        <w:tc>
          <w:p>
            <w:pPr>
              <w:pStyle w:val="Compact"/>
              <w:jc w:val="left"/>
            </w:pPr>
          </w:p>
        </w:tc>
        <w:tc>
          <w:p>
            <w:pStyle w:val="Compact"/>
          </w:p>
        </w:tc>
        <w:tc>
          <w:p>
            <w:pStyle w:val="Compact"/>
          </w:p>
        </w:tc>
        <w:tc>
          <w:p>
            <w:pStyle w:val="Compact"/>
          </w:p>
        </w:tc>
        <w:tc>
          <w:p>
            <w:pStyle w:val="Compact"/>
          </w:p>
        </w:tc>
        <w:tc>
          <w:p>
            <w:pStyle w:val="Compact"/>
          </w:p>
        </w:tc>
        <w:tc>
          <w:p>
            <w:pStyle w:val="Compact"/>
          </w:p>
        </w:tc>
      </w:tr>
    </w:tbl>
    <w:p>
      <w:pPr>
        <w:pStyle w:val="TableCaption"/>
      </w:pPr>
      <w:r>
        <w:t xml:space="preserve">Table 3. Proinsulin ratios.</w:t>
      </w:r>
    </w:p>
    <w:tbl>
      <w:tblPr>
        <w:tblStyle w:val="TableNormal"/>
        <w:tblW w:type="pct" w:w="0.0"/>
        <w:tblLook w:firstRow="1"/>
        <w:tblCaption w:val="Table 3. Proinsulin ratios."/>
      </w:tblPr>
      <w:tblGrid/>
      <w:tr>
        <w:trPr>
          <w:cnfStyle w:firstRow="1"/>
        </w:trPr>
        <w:tc>
          <w:tcPr>
            <w:tcBorders>
              <w:bottom w:val="single"/>
            </w:tcBorders>
            <w:vAlign w:val="bottom"/>
          </w:tcPr>
          <w:p>
            <w:pPr>
              <w:pStyle w:val="Compact"/>
              <w:jc w:val="left"/>
            </w:pPr>
            <w:r>
              <w:t xml:space="preserve">Characteristic</w:t>
            </w:r>
          </w:p>
        </w:tc>
        <w:tc>
          <w:tcPr>
            <w:tcBorders>
              <w:bottom w:val="single"/>
            </w:tcBorders>
            <w:vAlign w:val="bottom"/>
          </w:tcPr>
          <w:p>
            <w:pPr>
              <w:pStyle w:val="Compact"/>
              <w:jc w:val="left"/>
            </w:pPr>
            <w:r>
              <w:t xml:space="preserve">All (n=98)</w:t>
            </w:r>
          </w:p>
        </w:tc>
        <w:tc>
          <w:tcPr>
            <w:tcBorders>
              <w:bottom w:val="single"/>
            </w:tcBorders>
            <w:vAlign w:val="bottom"/>
          </w:tcPr>
          <w:p>
            <w:pPr>
              <w:pStyle w:val="Compact"/>
              <w:jc w:val="left"/>
            </w:pPr>
            <w:r>
              <w:t xml:space="preserve">0 (n=9)</w:t>
            </w:r>
          </w:p>
        </w:tc>
        <w:tc>
          <w:tcPr>
            <w:tcBorders>
              <w:bottom w:val="single"/>
            </w:tcBorders>
            <w:vAlign w:val="bottom"/>
          </w:tcPr>
          <w:p>
            <w:pPr>
              <w:pStyle w:val="Compact"/>
              <w:jc w:val="left"/>
            </w:pPr>
            <w:r>
              <w:t xml:space="preserve">1 (n=44)</w:t>
            </w:r>
          </w:p>
        </w:tc>
        <w:tc>
          <w:tcPr>
            <w:tcBorders>
              <w:bottom w:val="single"/>
            </w:tcBorders>
            <w:vAlign w:val="bottom"/>
          </w:tcPr>
          <w:p>
            <w:pPr>
              <w:pStyle w:val="Compact"/>
              <w:jc w:val="left"/>
            </w:pPr>
            <w:r>
              <w:t xml:space="preserve">2 (n=32)</w:t>
            </w:r>
          </w:p>
        </w:tc>
        <w:tc>
          <w:tcPr>
            <w:tcBorders>
              <w:bottom w:val="single"/>
            </w:tcBorders>
            <w:vAlign w:val="bottom"/>
          </w:tcPr>
          <w:p>
            <w:pPr>
              <w:pStyle w:val="Compact"/>
              <w:jc w:val="left"/>
            </w:pPr>
            <w:r>
              <w:t xml:space="preserve">3 (n=13)</w:t>
            </w:r>
          </w:p>
        </w:tc>
        <w:tc>
          <w:tcPr>
            <w:tcBorders>
              <w:bottom w:val="single"/>
            </w:tcBorders>
            <w:vAlign w:val="bottom"/>
          </w:tcPr>
          <w:p>
            <w:pPr>
              <w:pStyle w:val="Compact"/>
              <w:jc w:val="left"/>
            </w:pPr>
            <w:r>
              <w:t xml:space="preserve">P Value</w:t>
            </w:r>
          </w:p>
        </w:tc>
      </w:tr>
      <w:tr>
        <w:tc>
          <w:p>
            <w:pPr>
              <w:pStyle w:val="Compact"/>
              <w:jc w:val="left"/>
            </w:pPr>
            <w:r>
              <w:rPr>
                <w:b/>
              </w:rPr>
              <w:t xml:space="preserve">Proinsulin ratio</w:t>
            </w:r>
          </w:p>
        </w:tc>
        <w:tc>
          <w:p>
            <w:pPr>
              <w:pStyle w:val="Compact"/>
              <w:jc w:val="left"/>
            </w:pPr>
            <w:r>
              <w:t xml:space="preserve">4.27±4.2</w:t>
            </w:r>
          </w:p>
        </w:tc>
        <w:tc>
          <w:p>
            <w:pPr>
              <w:pStyle w:val="Compact"/>
              <w:jc w:val="left"/>
            </w:pPr>
            <w:r>
              <w:t xml:space="preserve">5.09±5.24</w:t>
            </w:r>
          </w:p>
        </w:tc>
        <w:tc>
          <w:p>
            <w:pPr>
              <w:pStyle w:val="Compact"/>
              <w:jc w:val="left"/>
            </w:pPr>
            <w:r>
              <w:t xml:space="preserve">3.85±4</w:t>
            </w:r>
          </w:p>
        </w:tc>
        <w:tc>
          <w:p>
            <w:pPr>
              <w:pStyle w:val="Compact"/>
              <w:jc w:val="left"/>
            </w:pPr>
            <w:r>
              <w:t xml:space="preserve">4.74±4.61</w:t>
            </w:r>
          </w:p>
        </w:tc>
        <w:tc>
          <w:p>
            <w:pPr>
              <w:pStyle w:val="Compact"/>
              <w:jc w:val="left"/>
            </w:pPr>
            <w:r>
              <w:t xml:space="preserve">3.97±3.18</w:t>
            </w:r>
          </w:p>
        </w:tc>
        <w:tc>
          <w:p>
            <w:pPr>
              <w:pStyle w:val="Compact"/>
              <w:jc w:val="left"/>
            </w:pPr>
            <w:r>
              <w:t xml:space="preserve">0.7457</w:t>
            </w:r>
          </w:p>
        </w:tc>
      </w:tr>
      <w:tr>
        <w:tc>
          <w:p>
            <w:pPr>
              <w:pStyle w:val="Compact"/>
              <w:jc w:val="left"/>
            </w:pPr>
          </w:p>
        </w:tc>
        <w:tc>
          <w:p>
            <w:pStyle w:val="Compact"/>
          </w:p>
        </w:tc>
        <w:tc>
          <w:p>
            <w:pStyle w:val="Compact"/>
          </w:p>
        </w:tc>
        <w:tc>
          <w:p>
            <w:pStyle w:val="Compact"/>
          </w:p>
        </w:tc>
        <w:tc>
          <w:p>
            <w:pStyle w:val="Compact"/>
          </w:p>
        </w:tc>
        <w:tc>
          <w:p>
            <w:pStyle w:val="Compact"/>
          </w:p>
        </w:tc>
        <w:tc>
          <w:p>
            <w:pStyle w:val="Compact"/>
          </w:p>
        </w:tc>
      </w:tr>
    </w:tbl>
    <w:p>
      <w:pPr>
        <w:pStyle w:val="BodyText"/>
      </w:pPr>
      <w:r>
        <w:t xml:space="preserve">Tables 4 and 5 show the correlations of unmethylated INS and proinsulin ratios with continuous antibody levels.</w:t>
      </w:r>
    </w:p>
    <w:p>
      <w:pPr>
        <w:pStyle w:val="TableCaption"/>
      </w:pPr>
      <w:r>
        <w:t xml:space="preserve">Table 4. Correlation of unmethylated insulin ratios with antibody levels.</w:t>
      </w:r>
    </w:p>
    <w:tbl>
      <w:tblPr>
        <w:tblStyle w:val="TableNormal"/>
        <w:tblW w:type="pct" w:w="0.0"/>
        <w:tblLook w:firstRow="1"/>
        <w:tblCaption w:val="Table 4. Correlation of unmethylated insulin ratios with antibody levels."/>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row</w:t>
            </w:r>
          </w:p>
        </w:tc>
        <w:tc>
          <w:tcPr>
            <w:tcBorders>
              <w:bottom w:val="single"/>
            </w:tcBorders>
            <w:vAlign w:val="bottom"/>
          </w:tcPr>
          <w:p>
            <w:pPr>
              <w:pStyle w:val="Compact"/>
              <w:jc w:val="left"/>
            </w:pPr>
            <w:r>
              <w:t xml:space="preserve">column</w:t>
            </w:r>
          </w:p>
        </w:tc>
        <w:tc>
          <w:tcPr>
            <w:tcBorders>
              <w:bottom w:val="single"/>
            </w:tcBorders>
            <w:vAlign w:val="bottom"/>
          </w:tcPr>
          <w:p>
            <w:pPr>
              <w:pStyle w:val="Compact"/>
              <w:jc w:val="right"/>
            </w:pPr>
            <w:r>
              <w:t xml:space="preserve">cor</w:t>
            </w:r>
          </w:p>
        </w:tc>
        <w:tc>
          <w:tcPr>
            <w:tcBorders>
              <w:bottom w:val="single"/>
            </w:tcBorders>
            <w:vAlign w:val="bottom"/>
          </w:tcPr>
          <w:p>
            <w:pPr>
              <w:pStyle w:val="Compact"/>
              <w:jc w:val="right"/>
            </w:pPr>
            <w:r>
              <w:t xml:space="preserve">p</w:t>
            </w:r>
          </w:p>
        </w:tc>
      </w:tr>
      <w:tr>
        <w:tc>
          <w:p>
            <w:pPr>
              <w:pStyle w:val="Compact"/>
              <w:jc w:val="left"/>
            </w:pPr>
            <w:r>
              <w:t xml:space="preserve">1</w:t>
            </w:r>
          </w:p>
        </w:tc>
        <w:tc>
          <w:p>
            <w:pPr>
              <w:pStyle w:val="Compact"/>
              <w:jc w:val="left"/>
            </w:pPr>
            <w:r>
              <w:t xml:space="preserve">U_MplusU_Ratio_Zen</w:t>
            </w:r>
          </w:p>
        </w:tc>
        <w:tc>
          <w:p>
            <w:pPr>
              <w:pStyle w:val="Compact"/>
              <w:jc w:val="left"/>
            </w:pPr>
            <w:r>
              <w:t xml:space="preserve">gadz</w:t>
            </w:r>
          </w:p>
        </w:tc>
        <w:tc>
          <w:p>
            <w:pPr>
              <w:pStyle w:val="Compact"/>
              <w:jc w:val="right"/>
            </w:pPr>
            <w:r>
              <w:t xml:space="preserve">-0.0389409</w:t>
            </w:r>
          </w:p>
        </w:tc>
        <w:tc>
          <w:p>
            <w:pPr>
              <w:pStyle w:val="Compact"/>
              <w:jc w:val="right"/>
            </w:pPr>
            <w:r>
              <w:t xml:space="preserve">0.6961436</w:t>
            </w:r>
          </w:p>
        </w:tc>
      </w:tr>
      <w:tr>
        <w:tc>
          <w:p>
            <w:pPr>
              <w:pStyle w:val="Compact"/>
              <w:jc w:val="left"/>
            </w:pPr>
            <w:r>
              <w:t xml:space="preserve">2</w:t>
            </w:r>
          </w:p>
        </w:tc>
        <w:tc>
          <w:p>
            <w:pPr>
              <w:pStyle w:val="Compact"/>
              <w:jc w:val="left"/>
            </w:pPr>
            <w:r>
              <w:t xml:space="preserve">U_MplusU_Ratio_Zen</w:t>
            </w:r>
          </w:p>
        </w:tc>
        <w:tc>
          <w:p>
            <w:pPr>
              <w:pStyle w:val="Compact"/>
              <w:jc w:val="left"/>
            </w:pPr>
            <w:r>
              <w:t xml:space="preserve">ia2z</w:t>
            </w:r>
          </w:p>
        </w:tc>
        <w:tc>
          <w:p>
            <w:pPr>
              <w:pStyle w:val="Compact"/>
              <w:jc w:val="right"/>
            </w:pPr>
            <w:r>
              <w:t xml:space="preserve">-0.1151146</w:t>
            </w:r>
          </w:p>
        </w:tc>
        <w:tc>
          <w:p>
            <w:pPr>
              <w:pStyle w:val="Compact"/>
              <w:jc w:val="right"/>
            </w:pPr>
            <w:r>
              <w:t xml:space="preserve">0.2469123</w:t>
            </w:r>
          </w:p>
        </w:tc>
      </w:tr>
      <w:tr>
        <w:tc>
          <w:p>
            <w:pPr>
              <w:pStyle w:val="Compact"/>
              <w:jc w:val="left"/>
            </w:pPr>
            <w:r>
              <w:t xml:space="preserve">4</w:t>
            </w:r>
          </w:p>
        </w:tc>
        <w:tc>
          <w:p>
            <w:pPr>
              <w:pStyle w:val="Compact"/>
              <w:jc w:val="left"/>
            </w:pPr>
            <w:r>
              <w:t xml:space="preserve">U_MplusU_Ratio_Zen</w:t>
            </w:r>
          </w:p>
        </w:tc>
        <w:tc>
          <w:p>
            <w:pPr>
              <w:pStyle w:val="Compact"/>
              <w:jc w:val="left"/>
            </w:pPr>
            <w:r>
              <w:t xml:space="preserve">mIAA</w:t>
            </w:r>
          </w:p>
        </w:tc>
        <w:tc>
          <w:p>
            <w:pPr>
              <w:pStyle w:val="Compact"/>
              <w:jc w:val="right"/>
            </w:pPr>
            <w:r>
              <w:t xml:space="preserve">0.0438417</w:t>
            </w:r>
          </w:p>
        </w:tc>
        <w:tc>
          <w:p>
            <w:pPr>
              <w:pStyle w:val="Compact"/>
              <w:jc w:val="right"/>
            </w:pPr>
            <w:r>
              <w:t xml:space="preserve">0.6601357</w:t>
            </w:r>
          </w:p>
        </w:tc>
      </w:tr>
      <w:tr>
        <w:tc>
          <w:p>
            <w:pPr>
              <w:pStyle w:val="Compact"/>
              <w:jc w:val="left"/>
            </w:pPr>
            <w:r>
              <w:t xml:space="preserve">7</w:t>
            </w:r>
          </w:p>
        </w:tc>
        <w:tc>
          <w:p>
            <w:pPr>
              <w:pStyle w:val="Compact"/>
              <w:jc w:val="left"/>
            </w:pPr>
            <w:r>
              <w:t xml:space="preserve">U_MplusU_Ratio_Zen</w:t>
            </w:r>
          </w:p>
        </w:tc>
        <w:tc>
          <w:p>
            <w:pPr>
              <w:pStyle w:val="Compact"/>
              <w:jc w:val="left"/>
            </w:pPr>
            <w:r>
              <w:t xml:space="preserve">ZnT8</w:t>
            </w:r>
          </w:p>
        </w:tc>
        <w:tc>
          <w:p>
            <w:pPr>
              <w:pStyle w:val="Compact"/>
              <w:jc w:val="right"/>
            </w:pPr>
            <w:r>
              <w:t xml:space="preserve">-0.1786856</w:t>
            </w:r>
          </w:p>
        </w:tc>
        <w:tc>
          <w:p>
            <w:pPr>
              <w:pStyle w:val="Compact"/>
              <w:jc w:val="right"/>
            </w:pPr>
            <w:r>
              <w:t xml:space="preserve">0.0767954</w:t>
            </w:r>
          </w:p>
        </w:tc>
      </w:tr>
      <w:tr>
        <w:tc>
          <w:p>
            <w:pPr>
              <w:pStyle w:val="Compact"/>
              <w:jc w:val="left"/>
            </w:pPr>
            <w:r>
              <w:t xml:space="preserve">11</w:t>
            </w:r>
          </w:p>
        </w:tc>
        <w:tc>
          <w:p>
            <w:pPr>
              <w:pStyle w:val="Compact"/>
              <w:jc w:val="left"/>
            </w:pPr>
            <w:r>
              <w:t xml:space="preserve">U_MplusU_Ratio_Zen</w:t>
            </w:r>
          </w:p>
        </w:tc>
        <w:tc>
          <w:p>
            <w:pPr>
              <w:pStyle w:val="Compact"/>
              <w:jc w:val="left"/>
            </w:pPr>
            <w:r>
              <w:t xml:space="preserve">ICA</w:t>
            </w:r>
          </w:p>
        </w:tc>
        <w:tc>
          <w:p>
            <w:pPr>
              <w:pStyle w:val="Compact"/>
              <w:jc w:val="right"/>
            </w:pPr>
            <w:r>
              <w:t xml:space="preserve">-0.1318898</w:t>
            </w:r>
          </w:p>
        </w:tc>
        <w:tc>
          <w:p>
            <w:pPr>
              <w:pStyle w:val="Compact"/>
              <w:jc w:val="right"/>
            </w:pPr>
            <w:r>
              <w:t xml:space="preserve">0.2002195</w:t>
            </w:r>
          </w:p>
        </w:tc>
      </w:tr>
      <w:tr>
        <w:tc>
          <w:p>
            <w:pPr>
              <w:pStyle w:val="Compact"/>
              <w:jc w:val="left"/>
            </w:pPr>
            <w:r>
              <w:t xml:space="preserve">16</w:t>
            </w:r>
          </w:p>
        </w:tc>
        <w:tc>
          <w:p>
            <w:pPr>
              <w:pStyle w:val="Compact"/>
              <w:jc w:val="left"/>
            </w:pPr>
            <w:r>
              <w:t xml:space="preserve">U_MplusU_Ratio_Zen</w:t>
            </w:r>
          </w:p>
        </w:tc>
        <w:tc>
          <w:p>
            <w:pPr>
              <w:pStyle w:val="Compact"/>
              <w:jc w:val="left"/>
            </w:pPr>
            <w:r>
              <w:t xml:space="preserve">ECL_GADA</w:t>
            </w:r>
          </w:p>
        </w:tc>
        <w:tc>
          <w:p>
            <w:pPr>
              <w:pStyle w:val="Compact"/>
              <w:jc w:val="right"/>
            </w:pPr>
            <w:r>
              <w:t xml:space="preserve">-0.1034135</w:t>
            </w:r>
          </w:p>
        </w:tc>
        <w:tc>
          <w:p>
            <w:pPr>
              <w:pStyle w:val="Compact"/>
              <w:jc w:val="right"/>
            </w:pPr>
            <w:r>
              <w:t xml:space="preserve">0.3186267</w:t>
            </w:r>
          </w:p>
        </w:tc>
      </w:tr>
      <w:tr>
        <w:tc>
          <w:p>
            <w:pPr>
              <w:pStyle w:val="Compact"/>
              <w:jc w:val="left"/>
            </w:pPr>
            <w:r>
              <w:t xml:space="preserve">22</w:t>
            </w:r>
          </w:p>
        </w:tc>
        <w:tc>
          <w:p>
            <w:pPr>
              <w:pStyle w:val="Compact"/>
              <w:jc w:val="left"/>
            </w:pPr>
            <w:r>
              <w:t xml:space="preserve">U_MplusU_Ratio_Zen</w:t>
            </w:r>
          </w:p>
        </w:tc>
        <w:tc>
          <w:p>
            <w:pPr>
              <w:pStyle w:val="Compact"/>
              <w:jc w:val="left"/>
            </w:pPr>
            <w:r>
              <w:t xml:space="preserve">ECL_IA2A</w:t>
            </w:r>
          </w:p>
        </w:tc>
        <w:tc>
          <w:p>
            <w:pPr>
              <w:pStyle w:val="Compact"/>
              <w:jc w:val="right"/>
            </w:pPr>
            <w:r>
              <w:t xml:space="preserve">-0.1174538</w:t>
            </w:r>
          </w:p>
        </w:tc>
        <w:tc>
          <w:p>
            <w:pPr>
              <w:pStyle w:val="Compact"/>
              <w:jc w:val="right"/>
            </w:pPr>
            <w:r>
              <w:t xml:space="preserve">0.2569743</w:t>
            </w:r>
          </w:p>
        </w:tc>
      </w:tr>
      <w:tr>
        <w:tc>
          <w:p>
            <w:pPr>
              <w:pStyle w:val="Compact"/>
              <w:jc w:val="left"/>
            </w:pPr>
            <w:r>
              <w:t xml:space="preserve">29</w:t>
            </w:r>
          </w:p>
        </w:tc>
        <w:tc>
          <w:p>
            <w:pPr>
              <w:pStyle w:val="Compact"/>
              <w:jc w:val="left"/>
            </w:pPr>
            <w:r>
              <w:t xml:space="preserve">U_MplusU_Ratio_Zen</w:t>
            </w:r>
          </w:p>
        </w:tc>
        <w:tc>
          <w:p>
            <w:pPr>
              <w:pStyle w:val="Compact"/>
              <w:jc w:val="left"/>
            </w:pPr>
            <w:r>
              <w:t xml:space="preserve">ECL_IAA</w:t>
            </w:r>
          </w:p>
        </w:tc>
        <w:tc>
          <w:p>
            <w:pPr>
              <w:pStyle w:val="Compact"/>
              <w:jc w:val="right"/>
            </w:pPr>
            <w:r>
              <w:t xml:space="preserve">-0.1174538</w:t>
            </w:r>
          </w:p>
        </w:tc>
        <w:tc>
          <w:p>
            <w:pPr>
              <w:pStyle w:val="Compact"/>
              <w:jc w:val="right"/>
            </w:pPr>
            <w:r>
              <w:t xml:space="preserve">0.2569743</w:t>
            </w:r>
          </w:p>
        </w:tc>
      </w:tr>
      <w:tr>
        <w:tc>
          <w:p>
            <w:pPr>
              <w:pStyle w:val="Compact"/>
              <w:jc w:val="left"/>
            </w:pPr>
          </w:p>
        </w:tc>
        <w:tc>
          <w:p>
            <w:pStyle w:val="Compact"/>
          </w:p>
        </w:tc>
        <w:tc>
          <w:p>
            <w:pStyle w:val="Compact"/>
          </w:p>
        </w:tc>
        <w:tc>
          <w:p>
            <w:pStyle w:val="Compact"/>
          </w:p>
        </w:tc>
        <w:tc>
          <w:p>
            <w:pStyle w:val="Compact"/>
          </w:p>
        </w:tc>
      </w:tr>
    </w:tbl>
    <w:p>
      <w:pPr>
        <w:pStyle w:val="TableCaption"/>
      </w:pPr>
      <w:r>
        <w:t xml:space="preserve">Table 5. Correlation of proinsulin ratios with antibody levels.</w:t>
      </w:r>
    </w:p>
    <w:tbl>
      <w:tblPr>
        <w:tblStyle w:val="TableNormal"/>
        <w:tblW w:type="pct" w:w="0.0"/>
        <w:tblLook w:firstRow="1"/>
        <w:tblCaption w:val="Table 5. Correlation of proinsulin ratios with antibody levels."/>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row</w:t>
            </w:r>
          </w:p>
        </w:tc>
        <w:tc>
          <w:tcPr>
            <w:tcBorders>
              <w:bottom w:val="single"/>
            </w:tcBorders>
            <w:vAlign w:val="bottom"/>
          </w:tcPr>
          <w:p>
            <w:pPr>
              <w:pStyle w:val="Compact"/>
              <w:jc w:val="left"/>
            </w:pPr>
            <w:r>
              <w:t xml:space="preserve">column</w:t>
            </w:r>
          </w:p>
        </w:tc>
        <w:tc>
          <w:tcPr>
            <w:tcBorders>
              <w:bottom w:val="single"/>
            </w:tcBorders>
            <w:vAlign w:val="bottom"/>
          </w:tcPr>
          <w:p>
            <w:pPr>
              <w:pStyle w:val="Compact"/>
              <w:jc w:val="right"/>
            </w:pPr>
            <w:r>
              <w:t xml:space="preserve">cor</w:t>
            </w:r>
          </w:p>
        </w:tc>
        <w:tc>
          <w:tcPr>
            <w:tcBorders>
              <w:bottom w:val="single"/>
            </w:tcBorders>
            <w:vAlign w:val="bottom"/>
          </w:tcPr>
          <w:p>
            <w:pPr>
              <w:pStyle w:val="Compact"/>
              <w:jc w:val="right"/>
            </w:pPr>
            <w:r>
              <w:t xml:space="preserve">p</w:t>
            </w:r>
          </w:p>
        </w:tc>
      </w:tr>
      <w:tr>
        <w:tc>
          <w:p>
            <w:pPr>
              <w:pStyle w:val="Compact"/>
              <w:jc w:val="left"/>
            </w:pPr>
            <w:r>
              <w:t xml:space="preserve">1</w:t>
            </w:r>
          </w:p>
        </w:tc>
        <w:tc>
          <w:p>
            <w:pPr>
              <w:pStyle w:val="Compact"/>
              <w:jc w:val="left"/>
            </w:pPr>
            <w:r>
              <w:t xml:space="preserve">Pro_pep</w:t>
            </w:r>
          </w:p>
        </w:tc>
        <w:tc>
          <w:p>
            <w:pPr>
              <w:pStyle w:val="Compact"/>
              <w:jc w:val="left"/>
            </w:pPr>
            <w:r>
              <w:t xml:space="preserve">gadz</w:t>
            </w:r>
          </w:p>
        </w:tc>
        <w:tc>
          <w:p>
            <w:pPr>
              <w:pStyle w:val="Compact"/>
              <w:jc w:val="right"/>
            </w:pPr>
            <w:r>
              <w:t xml:space="preserve">0.1317711</w:t>
            </w:r>
          </w:p>
        </w:tc>
        <w:tc>
          <w:p>
            <w:pPr>
              <w:pStyle w:val="Compact"/>
              <w:jc w:val="right"/>
            </w:pPr>
            <w:r>
              <w:t xml:space="preserve">0.1958802</w:t>
            </w:r>
          </w:p>
        </w:tc>
      </w:tr>
      <w:tr>
        <w:tc>
          <w:p>
            <w:pPr>
              <w:pStyle w:val="Compact"/>
              <w:jc w:val="left"/>
            </w:pPr>
            <w:r>
              <w:t xml:space="preserve">2</w:t>
            </w:r>
          </w:p>
        </w:tc>
        <w:tc>
          <w:p>
            <w:pPr>
              <w:pStyle w:val="Compact"/>
              <w:jc w:val="left"/>
            </w:pPr>
            <w:r>
              <w:t xml:space="preserve">Pro_pep</w:t>
            </w:r>
          </w:p>
        </w:tc>
        <w:tc>
          <w:p>
            <w:pPr>
              <w:pStyle w:val="Compact"/>
              <w:jc w:val="left"/>
            </w:pPr>
            <w:r>
              <w:t xml:space="preserve">ia2z</w:t>
            </w:r>
          </w:p>
        </w:tc>
        <w:tc>
          <w:p>
            <w:pPr>
              <w:pStyle w:val="Compact"/>
              <w:jc w:val="right"/>
            </w:pPr>
            <w:r>
              <w:t xml:space="preserve">0.1020925</w:t>
            </w:r>
          </w:p>
        </w:tc>
        <w:tc>
          <w:p>
            <w:pPr>
              <w:pStyle w:val="Compact"/>
              <w:jc w:val="right"/>
            </w:pPr>
            <w:r>
              <w:t xml:space="preserve">0.3171590</w:t>
            </w:r>
          </w:p>
        </w:tc>
      </w:tr>
      <w:tr>
        <w:tc>
          <w:p>
            <w:pPr>
              <w:pStyle w:val="Compact"/>
              <w:jc w:val="left"/>
            </w:pPr>
            <w:r>
              <w:t xml:space="preserve">4</w:t>
            </w:r>
          </w:p>
        </w:tc>
        <w:tc>
          <w:p>
            <w:pPr>
              <w:pStyle w:val="Compact"/>
              <w:jc w:val="left"/>
            </w:pPr>
            <w:r>
              <w:t xml:space="preserve">Pro_pep</w:t>
            </w:r>
          </w:p>
        </w:tc>
        <w:tc>
          <w:p>
            <w:pPr>
              <w:pStyle w:val="Compact"/>
              <w:jc w:val="left"/>
            </w:pPr>
            <w:r>
              <w:t xml:space="preserve">mIAA</w:t>
            </w:r>
          </w:p>
        </w:tc>
        <w:tc>
          <w:p>
            <w:pPr>
              <w:pStyle w:val="Compact"/>
              <w:jc w:val="right"/>
            </w:pPr>
            <w:r>
              <w:t xml:space="preserve">0.1792480</w:t>
            </w:r>
          </w:p>
        </w:tc>
        <w:tc>
          <w:p>
            <w:pPr>
              <w:pStyle w:val="Compact"/>
              <w:jc w:val="right"/>
            </w:pPr>
            <w:r>
              <w:t xml:space="preserve">0.0773908</w:t>
            </w:r>
          </w:p>
        </w:tc>
      </w:tr>
      <w:tr>
        <w:tc>
          <w:p>
            <w:pPr>
              <w:pStyle w:val="Compact"/>
              <w:jc w:val="left"/>
            </w:pPr>
            <w:r>
              <w:t xml:space="preserve">7</w:t>
            </w:r>
          </w:p>
        </w:tc>
        <w:tc>
          <w:p>
            <w:pPr>
              <w:pStyle w:val="Compact"/>
              <w:jc w:val="left"/>
            </w:pPr>
            <w:r>
              <w:t xml:space="preserve">Pro_pep</w:t>
            </w:r>
          </w:p>
        </w:tc>
        <w:tc>
          <w:p>
            <w:pPr>
              <w:pStyle w:val="Compact"/>
              <w:jc w:val="left"/>
            </w:pPr>
            <w:r>
              <w:t xml:space="preserve">ZnT8</w:t>
            </w:r>
          </w:p>
        </w:tc>
        <w:tc>
          <w:p>
            <w:pPr>
              <w:pStyle w:val="Compact"/>
              <w:jc w:val="right"/>
            </w:pPr>
            <w:r>
              <w:t xml:space="preserve">0.0149201</w:t>
            </w:r>
          </w:p>
        </w:tc>
        <w:tc>
          <w:p>
            <w:pPr>
              <w:pStyle w:val="Compact"/>
              <w:jc w:val="right"/>
            </w:pPr>
            <w:r>
              <w:t xml:space="preserve">0.8840676</w:t>
            </w:r>
          </w:p>
        </w:tc>
      </w:tr>
      <w:tr>
        <w:tc>
          <w:p>
            <w:pPr>
              <w:pStyle w:val="Compact"/>
              <w:jc w:val="left"/>
            </w:pPr>
            <w:r>
              <w:t xml:space="preserve">11</w:t>
            </w:r>
          </w:p>
        </w:tc>
        <w:tc>
          <w:p>
            <w:pPr>
              <w:pStyle w:val="Compact"/>
              <w:jc w:val="left"/>
            </w:pPr>
            <w:r>
              <w:t xml:space="preserve">Pro_pep</w:t>
            </w:r>
          </w:p>
        </w:tc>
        <w:tc>
          <w:p>
            <w:pPr>
              <w:pStyle w:val="Compact"/>
              <w:jc w:val="left"/>
            </w:pPr>
            <w:r>
              <w:t xml:space="preserve">ICA</w:t>
            </w:r>
          </w:p>
        </w:tc>
        <w:tc>
          <w:p>
            <w:pPr>
              <w:pStyle w:val="Compact"/>
              <w:jc w:val="right"/>
            </w:pPr>
            <w:r>
              <w:t xml:space="preserve">0.1227451</w:t>
            </w:r>
          </w:p>
        </w:tc>
        <w:tc>
          <w:p>
            <w:pPr>
              <w:pStyle w:val="Compact"/>
              <w:jc w:val="right"/>
            </w:pPr>
            <w:r>
              <w:t xml:space="preserve">0.2360095</w:t>
            </w:r>
          </w:p>
        </w:tc>
      </w:tr>
      <w:tr>
        <w:tc>
          <w:p>
            <w:pPr>
              <w:pStyle w:val="Compact"/>
              <w:jc w:val="left"/>
            </w:pPr>
            <w:r>
              <w:t xml:space="preserve">16</w:t>
            </w:r>
          </w:p>
        </w:tc>
        <w:tc>
          <w:p>
            <w:pPr>
              <w:pStyle w:val="Compact"/>
              <w:jc w:val="left"/>
            </w:pPr>
            <w:r>
              <w:t xml:space="preserve">Pro_pep</w:t>
            </w:r>
          </w:p>
        </w:tc>
        <w:tc>
          <w:p>
            <w:pPr>
              <w:pStyle w:val="Compact"/>
              <w:jc w:val="left"/>
            </w:pPr>
            <w:r>
              <w:t xml:space="preserve">ECL_GADA</w:t>
            </w:r>
          </w:p>
        </w:tc>
        <w:tc>
          <w:p>
            <w:pPr>
              <w:pStyle w:val="Compact"/>
              <w:jc w:val="right"/>
            </w:pPr>
            <w:r>
              <w:t xml:space="preserve">0.1883748</w:t>
            </w:r>
          </w:p>
        </w:tc>
        <w:tc>
          <w:p>
            <w:pPr>
              <w:pStyle w:val="Compact"/>
              <w:jc w:val="right"/>
            </w:pPr>
            <w:r>
              <w:t xml:space="preserve">0.0737462</w:t>
            </w:r>
          </w:p>
        </w:tc>
      </w:tr>
      <w:tr>
        <w:tc>
          <w:p>
            <w:pPr>
              <w:pStyle w:val="Compact"/>
              <w:jc w:val="left"/>
            </w:pPr>
            <w:r>
              <w:t xml:space="preserve">22</w:t>
            </w:r>
          </w:p>
        </w:tc>
        <w:tc>
          <w:p>
            <w:pPr>
              <w:pStyle w:val="Compact"/>
              <w:jc w:val="left"/>
            </w:pPr>
            <w:r>
              <w:t xml:space="preserve">Pro_pep</w:t>
            </w:r>
          </w:p>
        </w:tc>
        <w:tc>
          <w:p>
            <w:pPr>
              <w:pStyle w:val="Compact"/>
              <w:jc w:val="left"/>
            </w:pPr>
            <w:r>
              <w:t xml:space="preserve">ECL_IA2A</w:t>
            </w:r>
          </w:p>
        </w:tc>
        <w:tc>
          <w:p>
            <w:pPr>
              <w:pStyle w:val="Compact"/>
              <w:jc w:val="right"/>
            </w:pPr>
            <w:r>
              <w:t xml:space="preserve">0.2405371</w:t>
            </w:r>
          </w:p>
        </w:tc>
        <w:tc>
          <w:p>
            <w:pPr>
              <w:pStyle w:val="Compact"/>
              <w:jc w:val="right"/>
            </w:pPr>
            <w:r>
              <w:t xml:space="preserve">0.0216366</w:t>
            </w:r>
          </w:p>
        </w:tc>
      </w:tr>
      <w:tr>
        <w:tc>
          <w:p>
            <w:pPr>
              <w:pStyle w:val="Compact"/>
              <w:jc w:val="left"/>
            </w:pPr>
            <w:r>
              <w:t xml:space="preserve">29</w:t>
            </w:r>
          </w:p>
        </w:tc>
        <w:tc>
          <w:p>
            <w:pPr>
              <w:pStyle w:val="Compact"/>
              <w:jc w:val="left"/>
            </w:pPr>
            <w:r>
              <w:t xml:space="preserve">Pro_pep</w:t>
            </w:r>
          </w:p>
        </w:tc>
        <w:tc>
          <w:p>
            <w:pPr>
              <w:pStyle w:val="Compact"/>
              <w:jc w:val="left"/>
            </w:pPr>
            <w:r>
              <w:t xml:space="preserve">ECL_IAA</w:t>
            </w:r>
          </w:p>
        </w:tc>
        <w:tc>
          <w:p>
            <w:pPr>
              <w:pStyle w:val="Compact"/>
              <w:jc w:val="right"/>
            </w:pPr>
            <w:r>
              <w:t xml:space="preserve">0.2405371</w:t>
            </w:r>
          </w:p>
        </w:tc>
        <w:tc>
          <w:p>
            <w:pPr>
              <w:pStyle w:val="Compact"/>
              <w:jc w:val="right"/>
            </w:pPr>
            <w:r>
              <w:t xml:space="preserve">0.0216366</w:t>
            </w:r>
          </w:p>
        </w:tc>
      </w:tr>
      <w:tr>
        <w:tc>
          <w:p>
            <w:pPr>
              <w:pStyle w:val="Compact"/>
              <w:jc w:val="left"/>
            </w:pPr>
          </w:p>
        </w:tc>
        <w:tc>
          <w:p>
            <w:pStyle w:val="Compact"/>
          </w:p>
        </w:tc>
        <w:tc>
          <w:p>
            <w:pStyle w:val="Compact"/>
          </w:p>
        </w:tc>
        <w:tc>
          <w:p>
            <w:pStyle w:val="Compact"/>
          </w:p>
        </w:tc>
        <w:tc>
          <w:p>
            <w:pStyle w:val="Compact"/>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5623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c0c9f55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f114f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6">
    <w:nsid w:val="7739f407"/>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212">
    <w:nsid w:val="81cb4870"/>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4">
    <w:abstractNumId w:val="991"/>
  </w:num>
  <w:num w:numId="1005">
    <w:abstractNumId w:val="9942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TrialNet INS ratio analyses</dc:title>
  <dc:creator>Laura Pyle</dc:creator>
  <dcterms:created xsi:type="dcterms:W3CDTF">2018-11-12T03:06:23Z</dcterms:created>
  <dcterms:modified xsi:type="dcterms:W3CDTF">2018-11-12T03:06:23Z</dcterms:modified>
</cp:coreProperties>
</file>