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Protocolo de consulta — v1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Actividad “Nada sin fuente” — Sistema de fuentes (Semana 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24/09/2026</w:t>
            </w:r>
          </w:p>
        </w:tc>
      </w:tr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Juan Roa, Gabriel Aldana y Laura Rodríguez</w:t>
            </w:r>
          </w:p>
        </w:tc>
      </w:tr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NotebookLM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Rol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Asistente de revisión de literatura, anclado exclusivamente a las fuentes cargadas en este notebook de NotebookLM.</w:t>
      </w:r>
    </w:p>
    <w:p>
      <w:pPr>
        <w:pStyle w:val="Heading1"/>
        <w:spacing w:after="120" w:before="240"/>
      </w:pPr>
      <w:r>
        <w:t xml:space="preserve">Fuentes permitidas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10 documentos en el corpus. Ocho quedaron emparejados con filas del experimento (algunos estudios cubren más de una fila, porque fueron citados en más de una consulta):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Gansemer-Topf, Orazem &amp; Wohlgemuth.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“Do liberal arts colleges maximize profit?”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Southern Economic Journal,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Curs &amp; Singell.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“Aim High or Go Low? Pricing Strategies…”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The Journal of Higher Education, 2010. Verificar si el mismo archivo corresponde también al manuscrito de 2009.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Baine &amp; Brakora.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“Tuition Equity: A Study of the Impact of Upper/Lower Division Tuition Rates”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ASEE, 2023. NO es el de “Disparate Impacts of Block Tuition” — ese artículo no está cargado en el corpus.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Hemelt &amp; Stange.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“Marginal Pricing and Student Investment in Higher Education”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of Policy Analysis and Management. DOI confirmado corresponde a 2014; el archivo del corpus dice 2016 — verificar antes de citar el año en la memoria.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Ward &amp; Corral.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“Resetting Prices: Estimating the Effect of Tuition Reset Policies…”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Research in Higher Education, 2022. El archivo del corpus indica “J. Dean” como primer autor — verificar que corresponda a J. Ward antes de citar.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Kevin Stange.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“Differential Pricing in Undergraduate Education”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of Policy Analysis and Management. El archivo del corpus indica 2013; registro previo indicaba 2015 — verificar si son dos versiones del mismo estudio.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Bachmeier &amp; Marcus.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“The Effect of Tuition Fees on University Graduation”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Education Finance and Policy. El archivo del corpus indica 2025; la publicación final verificada es 2026 — puede ser la versión “online first”.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Ralf Minor.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“How Tuition Fees Affected Student Enrollment…: the Aftermath of a German Quasi-Experiment”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for Labour Market Research, 2023.</w:t>
      </w:r>
    </w:p>
    <w:p>
      <w:pPr>
        <w:pStyle w:val="Heading1"/>
        <w:spacing w:after="120" w:before="240"/>
      </w:pPr>
      <w:r>
        <w:t xml:space="preserve">Fuentes NO permitidas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Descargadas pero sin verificar ni emparejar con ninguna fila del Excel — no deben citarse hasta que pasen por el proceso de clasificación: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Chad Eickhoff (2026), “Enrolled Credits” — sin emparejar.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Serena Klempin (2014), “Redefining Full Time” — sin emparejar.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Baine &amp; Brakora, “Disparate Impacts of Block Tuition” — verificado, pero el PDF no está cargado en este notebook.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Formato de cita exigido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Documento (autor, año) + página o sección. Si el documento no tiene paginación clara, citar la sección (ej. “Abstract”, “Results”).</w:t>
      </w:r>
    </w:p>
    <w:p>
      <w:pPr>
        <w:pStyle w:val="Heading1"/>
        <w:spacing w:after="120" w:before="240"/>
      </w:pPr>
      <w:r>
        <w:t xml:space="preserve">Qué responde cuando no está en las fuentes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Debe decir explícitamente “esto no está en los documentos cargados en este notebook”, sin usar conocimiento externo ni general. No debe inventar ni aproximar.</w:t>
      </w:r>
    </w:p>
    <w:p>
      <w:pPr>
        <w:pStyle w:val="Heading1"/>
        <w:spacing w:after="120" w:before="240"/>
      </w:pPr>
      <w:r>
        <w:t xml:space="preserve">Qué cambió respecto a la versión anterior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Primera versión (v1). No aplica.</w:t>
      </w:r>
    </w:p>
    <w:p>
      <w:pPr>
        <w:pStyle w:val="Heading1"/>
        <w:spacing w:after="120" w:before="240"/>
      </w:pPr>
      <w:r>
        <w:t xml:space="preserve">Prompt base usado en el sistema</w:t>
      </w:r>
    </w:p>
    <w:p>
      <w:pPr>
        <w:pBdr>
          <w:left w:val="single" w:color="1F2A44" w:sz="12" w:space="8"/>
        </w:pBdr>
        <w:spacing w:after="200"/>
        <w:ind w:left="288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“Responde ÚNICAMENTE con base en los documentos que te he adjuntado. Para cada afirmación, cita el documento (autor, año) y la página o sección exacta de donde sale. Si la pregunta no puede responderse con la información contenida en estos documentos, dilo explícitamente: ‘Esto no está en los documentos cargados’, en vez de usar conocimiento externo.”</w:t>
      </w:r>
    </w:p>
    <w:p>
      <w:pPr>
        <w:pStyle w:val="Heading1"/>
        <w:spacing w:after="120" w:before="240"/>
      </w:pPr>
      <w:r>
        <w:t xml:space="preserve">Pendiente antes de la sustentación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Verificar las 4 discrepancias de año/autor señaladas arriba abriendo cada PDF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que el sistema se abstiene correctamente al preguntar sobre block tuition (fuente no cargada).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2026-10-01T22:03:05.442Z</dcterms:created>
  <dcterms:modified xsi:type="dcterms:W3CDTF">2026-10-01T22:03:05.446Z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