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rPr>
          <w:rFonts w:ascii="Calibri" w:cs="Calibri" w:eastAsia="Calibri" w:hAnsi="Calibri"/>
          <w:b/>
          <w:bCs/>
          <w:sz w:val="32"/>
          <w:szCs w:val="32"/>
        </w:rPr>
        <w:t>Protocolo de consulta — v2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>Actividad “Nada sin fuente” — corpus actualizado (10 PDF; Semana 3)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F2F2F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Fecha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>2026-10-02</w:t>
            </w:r>
          </w:p>
        </w:tc>
      </w:tr>
      <w:tr>
        <w:tc>
          <w:tcPr>
            <w:tcW w:type="dxa" w:w="3000"/>
            <w:shd w:fill="F2F2F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Equipo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Juan Roa, Gabriel Aldana y Laura Rodríguez</w:t>
            </w:r>
          </w:p>
        </w:tc>
      </w:tr>
      <w:tr>
        <w:tc>
          <w:tcPr>
            <w:tcW w:type="dxa" w:w="3000"/>
            <w:shd w:fill="F2F2F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Herramienta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NotebookLM</w:t>
            </w:r>
          </w:p>
        </w:tc>
      </w:tr>
    </w:tbl>
    <w:p>
      <w:pPr>
        <w:spacing w:after="200"/>
      </w:pPr>
    </w:p>
    <w:p>
      <w:pPr>
        <w:pStyle w:val="Heading1"/>
        <w:spacing w:after="120" w:before="240"/>
      </w:pPr>
      <w:r>
        <w:t xml:space="preserve">Rol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Asistente de revisión de literatura, anclado exclusivamente a las fuentes cargadas en este notebook de NotebookLM.</w:t>
      </w:r>
    </w:p>
    <w:p>
      <w:pPr>
        <w:pStyle w:val="Heading1"/>
        <w:spacing w:after="120" w:before="240"/>
      </w:pPr>
      <w:r>
        <w:t xml:space="preserve">Fuentes permitidas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>El corpus local final contiene 10 documentos. Ocho sostienen las 11 filas de trazabilidad del experimento; Eickhoff (2026) y Klempin (2014) se añadieron como fuentes complementarias con aval docente reportado por el equipo. No alterar con estas adiciones los conteos ni las filas de Semana 1. Cargar y seleccionar los 10 PDF en NotebookLM antes de aplicar este protocolo.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Gansemer-Topf, Orazem &amp; Wohlgemuth.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“Do liberal arts colleges maximize profit?”</w:t>
      </w:r>
    </w:p>
    <w:p>
      <w:pPr>
        <w:spacing w:after="140"/>
        <w:ind w:left="504"/>
      </w:pPr>
      <w:r>
        <w:rPr>
          <w:rFonts w:ascii="Calibri" w:cs="Calibri" w:eastAsia="Calibri" w:hAnsi="Calibri"/>
          <w:color w:val="595959"/>
          <w:sz w:val="19"/>
          <w:szCs w:val="19"/>
        </w:rPr>
        <w:t xml:space="preserve">Southern Economic Journal, 2021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Curs &amp; Singell.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“Aim High or Go Low? Pricing Strategies…”</w:t>
      </w:r>
    </w:p>
    <w:p>
      <w:pPr>
        <w:spacing w:after="140"/>
        <w:ind w:left="504"/>
      </w:pPr>
      <w:r>
        <w:rPr>
          <w:rFonts w:ascii="Calibri" w:cs="Calibri" w:eastAsia="Calibri" w:hAnsi="Calibri"/>
          <w:color w:val="595959"/>
          <w:sz w:val="19"/>
          <w:szCs w:val="19"/>
        </w:rPr>
        <w:t xml:space="preserve">The Journal of Higher Education, 2010. Verificar si el mismo archivo corresponde también al manuscrito de 2009.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Baine &amp; Brakora.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“Tuition Equity: A Study of the Impact of Upper/Lower Division Tuition Rates”</w:t>
      </w:r>
    </w:p>
    <w:p>
      <w:pPr>
        <w:spacing w:after="140"/>
        <w:ind w:left="504"/>
      </w:pPr>
      <w:r>
        <w:rPr>
          <w:rFonts w:ascii="Calibri" w:cs="Calibri" w:eastAsia="Calibri" w:hAnsi="Calibri"/>
          <w:color w:val="595959"/>
          <w:sz w:val="19"/>
          <w:szCs w:val="19"/>
        </w:rPr>
        <w:t xml:space="preserve">ASEE, 2023. NO es el de “Disparate Impacts of Block Tuition” — ese artículo no está cargado en el corpus.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Hemelt &amp; Stange.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“Marginal Pricing and Student Investment in Higher Education”</w:t>
      </w:r>
    </w:p>
    <w:p>
      <w:pPr>
        <w:spacing w:after="140"/>
        <w:ind w:left="504"/>
      </w:pPr>
      <w:r>
        <w:rPr>
          <w:rFonts w:ascii="Calibri" w:cs="Calibri" w:eastAsia="Calibri" w:hAnsi="Calibri"/>
          <w:color w:val="595959"/>
          <w:sz w:val="19"/>
          <w:szCs w:val="19"/>
        </w:rPr>
        <w:t xml:space="preserve">Journal of Policy Analysis and Management. DOI confirmado corresponde a 2014; el archivo del corpus dice 2016 — verificar antes de citar el año en la memoria.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Ward &amp; Corral.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“Resetting Prices: Estimating the Effect of Tuition Reset Policies…”</w:t>
      </w:r>
    </w:p>
    <w:p>
      <w:pPr>
        <w:spacing w:after="140"/>
        <w:ind w:left="504"/>
      </w:pPr>
      <w:r>
        <w:rPr>
          <w:rFonts w:ascii="Calibri" w:cs="Calibri" w:eastAsia="Calibri" w:hAnsi="Calibri"/>
          <w:color w:val="595959"/>
          <w:sz w:val="19"/>
          <w:szCs w:val="19"/>
        </w:rPr>
        <w:t xml:space="preserve">Research in Higher Education, 2022. El archivo del corpus indica “J. Dean” como primer autor — verificar que corresponda a J. Ward antes de citar.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Kevin Stange.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“Differential Pricing in Undergraduate Education”</w:t>
      </w:r>
    </w:p>
    <w:p>
      <w:pPr>
        <w:spacing w:after="140"/>
        <w:ind w:left="504"/>
      </w:pPr>
      <w:r>
        <w:rPr>
          <w:rFonts w:ascii="Calibri" w:cs="Calibri" w:eastAsia="Calibri" w:hAnsi="Calibri"/>
          <w:color w:val="595959"/>
          <w:sz w:val="19"/>
          <w:szCs w:val="19"/>
        </w:rPr>
        <w:t xml:space="preserve">Journal of Policy Analysis and Management. El archivo del corpus indica 2013; registro previo indicaba 2015 — verificar si son dos versiones del mismo estudio.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Bachmeier &amp; Marcus.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“The Effect of Tuition Fees on University Graduation”</w:t>
      </w:r>
    </w:p>
    <w:p>
      <w:pPr>
        <w:spacing w:after="140"/>
        <w:ind w:left="504"/>
      </w:pPr>
      <w:r>
        <w:rPr>
          <w:rFonts w:ascii="Calibri" w:cs="Calibri" w:eastAsia="Calibri" w:hAnsi="Calibri"/>
          <w:color w:val="595959"/>
          <w:sz w:val="19"/>
          <w:szCs w:val="19"/>
        </w:rPr>
        <w:t xml:space="preserve">Education Finance and Policy. El archivo del corpus indica 2025; la publicación final verificada es 2026 — puede ser la versión “online first”.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Ralf Minor.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“How Tuition Fees Affected Student Enrollment…: the Aftermath of a German Quasi-Experiment”</w:t>
      </w:r>
    </w:p>
    <w:p>
      <w:pPr>
        <w:spacing w:after="140"/>
        <w:ind w:left="504"/>
      </w:pPr>
      <w:r>
        <w:rPr>
          <w:rFonts w:ascii="Calibri" w:cs="Calibri" w:eastAsia="Calibri" w:hAnsi="Calibri"/>
          <w:color w:val="595959"/>
          <w:sz w:val="19"/>
          <w:szCs w:val="19"/>
        </w:rPr>
        <w:t xml:space="preserve">Journal for Labour Market Research, 2023.</w:t>
      </w:r>
    </w:p>
    <w:p>
      <w:pPr>
        <w:pStyle w:val="Heading1"/>
        <w:spacing w:after="120" w:before="240"/>
      </w:pPr>
      <w:r>
        <w:t>Fuentes complementarias añadidas al corpus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>Incluidas en el corpus local final con aval docente reportado por el equipo; son complementarias y no se emparejan con filas del experimento: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>Chad Arthur Eickhoff (2026), The Impact of Tuition Structures on Enrolled Credits. Disertación EdD, Northern Arizona University. PDF incluido: corpus/incluido/EnrolledCredits_ChadEickhoff2026.pdf.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>Serena Klempin (2014), Redefining Full-Time in College: Evidence on 15-Credit Strategies. Community College Research Center, Teachers College, Columbia University. PDF incluido: corpus/incluido/RedefiningFullTime_SerenaKlempin2014.pdf.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>Fuente no cargada: Baine &amp; Brakora, “Disparate Impacts of Block Tuition”. El PDF cargado de esos autores es el estudio de tarifas lower/upper division; no atribuirle resultados del artículo sobre block tuition.</w:t>
      </w:r>
    </w:p>
    <w:p>
      <w:pPr>
        <w:spacing w:after="100"/>
      </w:pPr>
    </w:p>
    <w:p>
      <w:pPr>
        <w:pStyle w:val="Heading1"/>
        <w:spacing w:after="120" w:before="240"/>
      </w:pPr>
      <w:r>
        <w:t xml:space="preserve">Formato de cita exigido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Documento (autor, año) + página o sección. Si el documento no tiene paginación clara, citar la sección (ej. “Abstract”, “Results”).</w:t>
      </w:r>
    </w:p>
    <w:p>
      <w:pPr>
        <w:pStyle w:val="Heading1"/>
        <w:spacing w:after="120" w:before="240"/>
      </w:pPr>
      <w:r>
        <w:t xml:space="preserve">Qué responde cuando no está en las fuentes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Debe decir explícitamente “esto no está en los documentos cargados en este notebook”, sin usar conocimiento externo ni general. No debe inventar ni aproximar.</w:t>
      </w:r>
    </w:p>
    <w:p>
      <w:pPr>
        <w:pStyle w:val="Heading1"/>
        <w:spacing w:after="120" w:before="240"/>
      </w:pPr>
      <w:r>
        <w:t xml:space="preserve">Qué cambió respecto a la versión anterior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>Versión 2 (2026-10-02). Se incorporan Eickhoff (2026) y Klempin (2014) al corpus permitido según el aval docente reportado por el equipo; las 11 filas y conteos del experimento original se mantienen sin cambios.</w:t>
      </w:r>
    </w:p>
    <w:p>
      <w:pPr>
        <w:pStyle w:val="Heading1"/>
        <w:spacing w:after="120" w:before="240"/>
      </w:pPr>
      <w:r>
        <w:t xml:space="preserve">Prompt base usado en el sistema</w:t>
      </w:r>
    </w:p>
    <w:p>
      <w:pPr>
        <w:pBdr>
          <w:left w:val="single" w:color="1F2A44" w:sz="12" w:space="8"/>
        </w:pBdr>
        <w:spacing w:after="200"/>
        <w:ind w:left="288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“Responde ÚNICAMENTE con base en los documentos que te he adjuntado. Para cada afirmación, cita el documento (autor, año) y la página o sección exacta de donde sale. Si la pregunta no puede responderse con la información contenida en estos documentos, dilo explícitamente: ‘Esto no está en los documentos cargados’, en vez de usar conocimiento externo.”</w:t>
      </w:r>
    </w:p>
    <w:p>
      <w:pPr>
        <w:pStyle w:val="Heading1"/>
        <w:spacing w:after="120" w:before="240"/>
      </w:pPr>
      <w:r>
        <w:t xml:space="preserve">Pendiente antes de la sustentación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>Cargar/seleccionar los 10 PDF en NotebookLM y repetir las preguntas de Eickhoff (Q17) y Klempin (Q18); las respuestas anteriores indican que ambas fuentes estaban desmarcadas. Ejecutar también Q19–Q20 del banco actualizado. Verificar las cuatro discrepancias bibliográficas señaladas arriba abriendo cada PDF directamente.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>Con el corpus actualizado, probar que NotebookLM se abstiene de atribuir a Baine &amp; Brakora el artículo de block tuition que no está cargado y que reconoce los límites de las preguntas sin respuesta.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2026-10-01T22:03:05.442Z</dcterms:created>
  <dcterms:modified xsi:type="dcterms:W3CDTF">2026-10-01T22:03:05.446Z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