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B9AAD" w14:textId="77777777" w:rsidR="009B1D75" w:rsidRDefault="00000000">
      <w:pPr>
        <w:pStyle w:val="Ttulo"/>
        <w:jc w:val="center"/>
      </w:pPr>
      <w:r>
        <w:t>Memoria del sistema de fuentes y su evaluación</w:t>
      </w:r>
    </w:p>
    <w:p w14:paraId="60E9C499" w14:textId="77777777" w:rsidR="009B1D75" w:rsidRDefault="00000000">
      <w:pPr>
        <w:jc w:val="center"/>
      </w:pPr>
      <w:r>
        <w:rPr>
          <w:b/>
          <w:color w:val="4B535C"/>
        </w:rPr>
        <w:t>NADA SIN FUENTE  |  Universidad Santo Tomás  |  2 de octubre de 2026</w:t>
      </w:r>
    </w:p>
    <w:p w14:paraId="0328150D" w14:textId="6F35679B" w:rsidR="009B1D75" w:rsidRDefault="00000000">
      <w:pPr>
        <w:jc w:val="center"/>
      </w:pPr>
      <w:r>
        <w:rPr>
          <w:sz w:val="17"/>
        </w:rPr>
        <w:t>Juan Roa · Gabriel Aldana · Laura Rodríguez</w:t>
      </w:r>
      <w:r>
        <w:rPr>
          <w:sz w:val="17"/>
        </w:rPr>
        <w:br/>
      </w:r>
      <w:r w:rsidR="00712E59">
        <w:rPr>
          <w:sz w:val="17"/>
        </w:rPr>
        <w:t xml:space="preserve">Consultoria e </w:t>
      </w:r>
      <w:proofErr w:type="spellStart"/>
      <w:r w:rsidR="00712E59">
        <w:rPr>
          <w:sz w:val="17"/>
        </w:rPr>
        <w:t>Investigación</w:t>
      </w:r>
      <w:proofErr w:type="spellEnd"/>
      <w:r>
        <w:rPr>
          <w:sz w:val="17"/>
        </w:rPr>
        <w:br/>
      </w:r>
      <w:proofErr w:type="spellStart"/>
      <w:r>
        <w:rPr>
          <w:sz w:val="17"/>
        </w:rPr>
        <w:t>Docente</w:t>
      </w:r>
      <w:proofErr w:type="spellEnd"/>
      <w:r>
        <w:rPr>
          <w:sz w:val="17"/>
        </w:rPr>
        <w:t>: Javier Mauricio Sierra</w:t>
      </w:r>
    </w:p>
    <w:p w14:paraId="33BC43AE" w14:textId="77777777" w:rsidR="009B1D75" w:rsidRDefault="00000000">
      <w:r>
        <w:t>El equipo construyó y probó un flujo de consulta con fuentes académicas sobre los efectos del cobro de matrícula por crédito frente a la tarifa plana. El diagnóstico mostró que la generación sin fuentes produce referencias inventadas; la búsqueda bibliográfica y el contexto cerrado mejoraron la proporción de referencias utilizables en esta muestra. NotebookLM quedó como herramienta de consulta del corpus de diez PDF. La evaluación final encontró respuestas con citas localizables y también límites de precisión que deben conservarse en la interpretación.</w:t>
      </w:r>
    </w:p>
    <w:p w14:paraId="587D2747" w14:textId="77777777" w:rsidR="009B1D75" w:rsidRDefault="00000000">
      <w:pPr>
        <w:pStyle w:val="Ttulo1"/>
      </w:pPr>
      <w:r>
        <w:t>1. Diagnóstico</w:t>
      </w:r>
    </w:p>
    <w:p w14:paraId="5458C10F" w14:textId="77777777" w:rsidR="009B1D75" w:rsidRDefault="00000000">
      <w:r>
        <w:t>En las tres consultas iniciales, el tratamiento A (chat sin fuentes ni navegación) produjo referencias plausibles que no se pudieron localizar o que no respaldaban lo atribuido. En dos casos, Denning, Marx y Turner y DesJardins y Bell, los autores eran reales, pero el artículo citado no; una clasificación inicial de “Utilizable” se corrigió tras verificación manual y consulta de Crossref. También apareció una referencia real usada fuera de alcance: el trabajo de Gansemer-Topf y Schuh trata gastos institucionales y persistencia, no el efecto de una tarifa sobre la progresión crediticia. Estos casos exigieron abrir registros y documentos y dejar evidencia de la decisión.</w:t>
      </w:r>
    </w:p>
    <w:p w14:paraId="6BF3365C" w14:textId="77777777" w:rsidR="009B1D75" w:rsidRDefault="00000000">
      <w:r>
        <w:t>Las clasificaciones se hicieron por separado y a ciegas; los desacuerdos se conservaron antes de acordar una categoría final. La hoja de conteo registra cuatro desacuerdos entre 37 referencias comparables (10,8 %): dos en A, uno en B y uno en C. El proceso mostró que “existe” no basta: también hay que verificar que el texto sostenga la afirmación.</w:t>
      </w:r>
    </w:p>
    <w:p w14:paraId="6C79666C" w14:textId="77777777" w:rsidR="009B1D75" w:rsidRDefault="00000000">
      <w:pPr>
        <w:pStyle w:val="Ttulo1"/>
      </w:pPr>
      <w:r>
        <w:t>2. Experimento y decisión</w:t>
      </w:r>
    </w:p>
    <w:p w14:paraId="085B38F2" w14:textId="77777777" w:rsidR="009B1D75" w:rsidRDefault="00000000">
      <w:r>
        <w:t>Cada integrante formuló una consulta y el equipo comparó tres tratamientos: A, chat sin fuentes ni navegación; B, búsqueda bibliográfica con Consensus; y C, contexto cerrado con PDF propios. Se usaron las primeras referencias de cada salida y se clasificaron como Utilizable, Existe pero no dice eso o No existe. Los conteos finales del Excel maestro fueron:</w:t>
      </w:r>
    </w:p>
    <w:tbl>
      <w:tblPr>
        <w:tblW w:w="0" w:type="auto"/>
        <w:jc w:val="center"/>
        <w:tblLayout w:type="fixed"/>
        <w:tblLook w:val="04A0" w:firstRow="1" w:lastRow="0" w:firstColumn="1" w:lastColumn="0" w:noHBand="0" w:noVBand="1"/>
      </w:tblPr>
      <w:tblGrid>
        <w:gridCol w:w="1181"/>
        <w:gridCol w:w="1469"/>
        <w:gridCol w:w="1944"/>
        <w:gridCol w:w="1267"/>
        <w:gridCol w:w="2045"/>
      </w:tblGrid>
      <w:tr w:rsidR="009B1D75" w14:paraId="27A6ABB7" w14:textId="77777777">
        <w:trPr>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24476B"/>
            <w:vAlign w:val="center"/>
          </w:tcPr>
          <w:p w14:paraId="2EA44B32" w14:textId="77777777" w:rsidR="009B1D75" w:rsidRDefault="00000000">
            <w:pPr>
              <w:jc w:val="center"/>
            </w:pPr>
            <w:r>
              <w:rPr>
                <w:b/>
                <w:color w:val="FFFFFF"/>
                <w:sz w:val="16"/>
              </w:rPr>
              <w:t>Tratamiento</w:t>
            </w:r>
          </w:p>
        </w:tc>
        <w:tc>
          <w:tcPr>
            <w:tcW w:w="1469" w:type="dxa"/>
            <w:tcBorders>
              <w:top w:val="single" w:sz="4" w:space="0" w:color="D9D9D9"/>
              <w:left w:val="single" w:sz="4" w:space="0" w:color="D9D9D9"/>
              <w:bottom w:val="single" w:sz="4" w:space="0" w:color="D9D9D9"/>
              <w:right w:val="single" w:sz="4" w:space="0" w:color="D9D9D9"/>
            </w:tcBorders>
            <w:shd w:val="clear" w:color="auto" w:fill="24476B"/>
            <w:vAlign w:val="center"/>
          </w:tcPr>
          <w:p w14:paraId="6FE5883D" w14:textId="77777777" w:rsidR="009B1D75" w:rsidRDefault="00000000">
            <w:pPr>
              <w:jc w:val="center"/>
            </w:pPr>
            <w:r>
              <w:rPr>
                <w:b/>
                <w:color w:val="FFFFFF"/>
                <w:sz w:val="16"/>
              </w:rPr>
              <w:t>Utilizables</w:t>
            </w:r>
          </w:p>
        </w:tc>
        <w:tc>
          <w:tcPr>
            <w:tcW w:w="1944" w:type="dxa"/>
            <w:tcBorders>
              <w:top w:val="single" w:sz="4" w:space="0" w:color="D9D9D9"/>
              <w:left w:val="single" w:sz="4" w:space="0" w:color="D9D9D9"/>
              <w:bottom w:val="single" w:sz="4" w:space="0" w:color="D9D9D9"/>
              <w:right w:val="single" w:sz="4" w:space="0" w:color="D9D9D9"/>
            </w:tcBorders>
            <w:shd w:val="clear" w:color="auto" w:fill="24476B"/>
            <w:vAlign w:val="center"/>
          </w:tcPr>
          <w:p w14:paraId="53A88C83" w14:textId="77777777" w:rsidR="009B1D75" w:rsidRDefault="00000000">
            <w:pPr>
              <w:jc w:val="center"/>
            </w:pPr>
            <w:r>
              <w:rPr>
                <w:b/>
                <w:color w:val="FFFFFF"/>
                <w:sz w:val="16"/>
              </w:rPr>
              <w:t>Otras / no existentes</w:t>
            </w:r>
          </w:p>
        </w:tc>
        <w:tc>
          <w:tcPr>
            <w:tcW w:w="1267" w:type="dxa"/>
            <w:tcBorders>
              <w:top w:val="single" w:sz="4" w:space="0" w:color="D9D9D9"/>
              <w:left w:val="single" w:sz="4" w:space="0" w:color="D9D9D9"/>
              <w:bottom w:val="single" w:sz="4" w:space="0" w:color="D9D9D9"/>
              <w:right w:val="single" w:sz="4" w:space="0" w:color="D9D9D9"/>
            </w:tcBorders>
            <w:shd w:val="clear" w:color="auto" w:fill="24476B"/>
            <w:vAlign w:val="center"/>
          </w:tcPr>
          <w:p w14:paraId="04235D47" w14:textId="77777777" w:rsidR="009B1D75" w:rsidRDefault="00000000">
            <w:pPr>
              <w:jc w:val="center"/>
            </w:pPr>
            <w:r>
              <w:rPr>
                <w:b/>
                <w:color w:val="FFFFFF"/>
                <w:sz w:val="16"/>
              </w:rPr>
              <w:t>Proporción</w:t>
            </w:r>
          </w:p>
        </w:tc>
        <w:tc>
          <w:tcPr>
            <w:tcW w:w="2045" w:type="dxa"/>
            <w:tcBorders>
              <w:top w:val="single" w:sz="4" w:space="0" w:color="D9D9D9"/>
              <w:left w:val="single" w:sz="4" w:space="0" w:color="D9D9D9"/>
              <w:bottom w:val="single" w:sz="4" w:space="0" w:color="D9D9D9"/>
              <w:right w:val="single" w:sz="4" w:space="0" w:color="D9D9D9"/>
            </w:tcBorders>
            <w:shd w:val="clear" w:color="auto" w:fill="24476B"/>
            <w:vAlign w:val="center"/>
          </w:tcPr>
          <w:p w14:paraId="5BBE1E8B" w14:textId="77777777" w:rsidR="009B1D75" w:rsidRDefault="00000000">
            <w:pPr>
              <w:jc w:val="center"/>
            </w:pPr>
            <w:r>
              <w:rPr>
                <w:b/>
                <w:color w:val="FFFFFF"/>
                <w:sz w:val="16"/>
              </w:rPr>
              <w:t>IC 95 % Wilson</w:t>
            </w:r>
          </w:p>
        </w:tc>
      </w:tr>
      <w:tr w:rsidR="009B1D75" w14:paraId="7D9594D5" w14:textId="77777777">
        <w:trPr>
          <w:jc w:val="center"/>
        </w:trPr>
        <w:tc>
          <w:tcPr>
            <w:tcW w:w="1181" w:type="dxa"/>
            <w:tcBorders>
              <w:top w:val="single" w:sz="4" w:space="0" w:color="D9D9D9"/>
              <w:left w:val="single" w:sz="4" w:space="0" w:color="D9D9D9"/>
              <w:bottom w:val="single" w:sz="4" w:space="0" w:color="D9D9D9"/>
              <w:right w:val="single" w:sz="4" w:space="0" w:color="D9D9D9"/>
            </w:tcBorders>
            <w:vAlign w:val="center"/>
          </w:tcPr>
          <w:p w14:paraId="40165091" w14:textId="77777777" w:rsidR="009B1D75" w:rsidRDefault="00000000">
            <w:pPr>
              <w:jc w:val="center"/>
            </w:pPr>
            <w:r>
              <w:rPr>
                <w:sz w:val="16"/>
              </w:rPr>
              <w:t>A · control</w:t>
            </w:r>
          </w:p>
        </w:tc>
        <w:tc>
          <w:tcPr>
            <w:tcW w:w="1469" w:type="dxa"/>
            <w:tcBorders>
              <w:top w:val="single" w:sz="4" w:space="0" w:color="D9D9D9"/>
              <w:left w:val="single" w:sz="4" w:space="0" w:color="D9D9D9"/>
              <w:bottom w:val="single" w:sz="4" w:space="0" w:color="D9D9D9"/>
              <w:right w:val="single" w:sz="4" w:space="0" w:color="D9D9D9"/>
            </w:tcBorders>
            <w:vAlign w:val="center"/>
          </w:tcPr>
          <w:p w14:paraId="331D9049" w14:textId="77777777" w:rsidR="009B1D75" w:rsidRDefault="00000000">
            <w:pPr>
              <w:jc w:val="center"/>
            </w:pPr>
            <w:r>
              <w:rPr>
                <w:sz w:val="16"/>
              </w:rPr>
              <w:t>4 / 15</w:t>
            </w:r>
          </w:p>
        </w:tc>
        <w:tc>
          <w:tcPr>
            <w:tcW w:w="1944" w:type="dxa"/>
            <w:tcBorders>
              <w:top w:val="single" w:sz="4" w:space="0" w:color="D9D9D9"/>
              <w:left w:val="single" w:sz="4" w:space="0" w:color="D9D9D9"/>
              <w:bottom w:val="single" w:sz="4" w:space="0" w:color="D9D9D9"/>
              <w:right w:val="single" w:sz="4" w:space="0" w:color="D9D9D9"/>
            </w:tcBorders>
            <w:vAlign w:val="center"/>
          </w:tcPr>
          <w:p w14:paraId="1035108C" w14:textId="77777777" w:rsidR="009B1D75" w:rsidRDefault="00000000">
            <w:r>
              <w:rPr>
                <w:sz w:val="16"/>
              </w:rPr>
              <w:t>2 no respaldan; 9 no existen</w:t>
            </w:r>
          </w:p>
        </w:tc>
        <w:tc>
          <w:tcPr>
            <w:tcW w:w="1267" w:type="dxa"/>
            <w:tcBorders>
              <w:top w:val="single" w:sz="4" w:space="0" w:color="D9D9D9"/>
              <w:left w:val="single" w:sz="4" w:space="0" w:color="D9D9D9"/>
              <w:bottom w:val="single" w:sz="4" w:space="0" w:color="D9D9D9"/>
              <w:right w:val="single" w:sz="4" w:space="0" w:color="D9D9D9"/>
            </w:tcBorders>
            <w:vAlign w:val="center"/>
          </w:tcPr>
          <w:p w14:paraId="5EC87E09" w14:textId="77777777" w:rsidR="009B1D75" w:rsidRDefault="00000000">
            <w:pPr>
              <w:jc w:val="center"/>
            </w:pPr>
            <w:r>
              <w:rPr>
                <w:sz w:val="16"/>
              </w:rPr>
              <w:t>26,7 %</w:t>
            </w:r>
          </w:p>
        </w:tc>
        <w:tc>
          <w:tcPr>
            <w:tcW w:w="2045" w:type="dxa"/>
            <w:tcBorders>
              <w:top w:val="single" w:sz="4" w:space="0" w:color="D9D9D9"/>
              <w:left w:val="single" w:sz="4" w:space="0" w:color="D9D9D9"/>
              <w:bottom w:val="single" w:sz="4" w:space="0" w:color="D9D9D9"/>
              <w:right w:val="single" w:sz="4" w:space="0" w:color="D9D9D9"/>
            </w:tcBorders>
            <w:vAlign w:val="center"/>
          </w:tcPr>
          <w:p w14:paraId="4C97FB6E" w14:textId="77777777" w:rsidR="009B1D75" w:rsidRDefault="00000000">
            <w:pPr>
              <w:jc w:val="center"/>
            </w:pPr>
            <w:r>
              <w:rPr>
                <w:sz w:val="16"/>
              </w:rPr>
              <w:t>10,9–52,0 %</w:t>
            </w:r>
          </w:p>
        </w:tc>
      </w:tr>
      <w:tr w:rsidR="009B1D75" w14:paraId="2C7F4144" w14:textId="77777777">
        <w:trPr>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5F9"/>
            <w:vAlign w:val="center"/>
          </w:tcPr>
          <w:p w14:paraId="6E7BA277" w14:textId="77777777" w:rsidR="009B1D75" w:rsidRDefault="00000000">
            <w:pPr>
              <w:jc w:val="center"/>
            </w:pPr>
            <w:r>
              <w:rPr>
                <w:sz w:val="16"/>
              </w:rPr>
              <w:t>B · Consensus</w:t>
            </w:r>
          </w:p>
        </w:tc>
        <w:tc>
          <w:tcPr>
            <w:tcW w:w="1469" w:type="dxa"/>
            <w:tcBorders>
              <w:top w:val="single" w:sz="4" w:space="0" w:color="D9D9D9"/>
              <w:left w:val="single" w:sz="4" w:space="0" w:color="D9D9D9"/>
              <w:bottom w:val="single" w:sz="4" w:space="0" w:color="D9D9D9"/>
              <w:right w:val="single" w:sz="4" w:space="0" w:color="D9D9D9"/>
            </w:tcBorders>
            <w:shd w:val="clear" w:color="auto" w:fill="F1F5F9"/>
            <w:vAlign w:val="center"/>
          </w:tcPr>
          <w:p w14:paraId="1814AF6F" w14:textId="77777777" w:rsidR="009B1D75" w:rsidRDefault="00000000">
            <w:pPr>
              <w:jc w:val="center"/>
            </w:pPr>
            <w:r>
              <w:rPr>
                <w:sz w:val="16"/>
              </w:rPr>
              <w:t>11 / 15</w:t>
            </w:r>
          </w:p>
        </w:tc>
        <w:tc>
          <w:tcPr>
            <w:tcW w:w="1944" w:type="dxa"/>
            <w:tcBorders>
              <w:top w:val="single" w:sz="4" w:space="0" w:color="D9D9D9"/>
              <w:left w:val="single" w:sz="4" w:space="0" w:color="D9D9D9"/>
              <w:bottom w:val="single" w:sz="4" w:space="0" w:color="D9D9D9"/>
              <w:right w:val="single" w:sz="4" w:space="0" w:color="D9D9D9"/>
            </w:tcBorders>
            <w:shd w:val="clear" w:color="auto" w:fill="F1F5F9"/>
            <w:vAlign w:val="center"/>
          </w:tcPr>
          <w:p w14:paraId="6C9B0712" w14:textId="77777777" w:rsidR="009B1D75" w:rsidRDefault="00000000">
            <w:r>
              <w:rPr>
                <w:sz w:val="16"/>
              </w:rPr>
              <w:t>2 no respaldan; 2 no existen</w:t>
            </w:r>
          </w:p>
        </w:tc>
        <w:tc>
          <w:tcPr>
            <w:tcW w:w="1267" w:type="dxa"/>
            <w:tcBorders>
              <w:top w:val="single" w:sz="4" w:space="0" w:color="D9D9D9"/>
              <w:left w:val="single" w:sz="4" w:space="0" w:color="D9D9D9"/>
              <w:bottom w:val="single" w:sz="4" w:space="0" w:color="D9D9D9"/>
              <w:right w:val="single" w:sz="4" w:space="0" w:color="D9D9D9"/>
            </w:tcBorders>
            <w:shd w:val="clear" w:color="auto" w:fill="F1F5F9"/>
            <w:vAlign w:val="center"/>
          </w:tcPr>
          <w:p w14:paraId="126B1DE6" w14:textId="77777777" w:rsidR="009B1D75" w:rsidRDefault="00000000">
            <w:pPr>
              <w:jc w:val="center"/>
            </w:pPr>
            <w:r>
              <w:rPr>
                <w:sz w:val="16"/>
              </w:rPr>
              <w:t>73,3 %</w:t>
            </w:r>
          </w:p>
        </w:tc>
        <w:tc>
          <w:tcPr>
            <w:tcW w:w="2045" w:type="dxa"/>
            <w:tcBorders>
              <w:top w:val="single" w:sz="4" w:space="0" w:color="D9D9D9"/>
              <w:left w:val="single" w:sz="4" w:space="0" w:color="D9D9D9"/>
              <w:bottom w:val="single" w:sz="4" w:space="0" w:color="D9D9D9"/>
              <w:right w:val="single" w:sz="4" w:space="0" w:color="D9D9D9"/>
            </w:tcBorders>
            <w:shd w:val="clear" w:color="auto" w:fill="F1F5F9"/>
            <w:vAlign w:val="center"/>
          </w:tcPr>
          <w:p w14:paraId="3266CACF" w14:textId="77777777" w:rsidR="009B1D75" w:rsidRDefault="00000000">
            <w:pPr>
              <w:jc w:val="center"/>
            </w:pPr>
            <w:r>
              <w:rPr>
                <w:sz w:val="16"/>
              </w:rPr>
              <w:t>48,0–89,1 %</w:t>
            </w:r>
          </w:p>
        </w:tc>
      </w:tr>
      <w:tr w:rsidR="009B1D75" w14:paraId="1C88C2B0" w14:textId="77777777">
        <w:trPr>
          <w:jc w:val="center"/>
        </w:trPr>
        <w:tc>
          <w:tcPr>
            <w:tcW w:w="1181" w:type="dxa"/>
            <w:tcBorders>
              <w:top w:val="single" w:sz="4" w:space="0" w:color="D9D9D9"/>
              <w:left w:val="single" w:sz="4" w:space="0" w:color="D9D9D9"/>
              <w:bottom w:val="single" w:sz="4" w:space="0" w:color="D9D9D9"/>
              <w:right w:val="single" w:sz="4" w:space="0" w:color="D9D9D9"/>
            </w:tcBorders>
            <w:vAlign w:val="center"/>
          </w:tcPr>
          <w:p w14:paraId="28F78DEB" w14:textId="77777777" w:rsidR="009B1D75" w:rsidRDefault="00000000">
            <w:pPr>
              <w:jc w:val="center"/>
            </w:pPr>
            <w:r>
              <w:rPr>
                <w:sz w:val="16"/>
              </w:rPr>
              <w:t>C · PDF propios</w:t>
            </w:r>
          </w:p>
        </w:tc>
        <w:tc>
          <w:tcPr>
            <w:tcW w:w="1469" w:type="dxa"/>
            <w:tcBorders>
              <w:top w:val="single" w:sz="4" w:space="0" w:color="D9D9D9"/>
              <w:left w:val="single" w:sz="4" w:space="0" w:color="D9D9D9"/>
              <w:bottom w:val="single" w:sz="4" w:space="0" w:color="D9D9D9"/>
              <w:right w:val="single" w:sz="4" w:space="0" w:color="D9D9D9"/>
            </w:tcBorders>
            <w:vAlign w:val="center"/>
          </w:tcPr>
          <w:p w14:paraId="3C0C3D66" w14:textId="77777777" w:rsidR="009B1D75" w:rsidRDefault="00000000">
            <w:pPr>
              <w:jc w:val="center"/>
            </w:pPr>
            <w:r>
              <w:rPr>
                <w:sz w:val="16"/>
              </w:rPr>
              <w:t>7 / 7</w:t>
            </w:r>
          </w:p>
        </w:tc>
        <w:tc>
          <w:tcPr>
            <w:tcW w:w="1944" w:type="dxa"/>
            <w:tcBorders>
              <w:top w:val="single" w:sz="4" w:space="0" w:color="D9D9D9"/>
              <w:left w:val="single" w:sz="4" w:space="0" w:color="D9D9D9"/>
              <w:bottom w:val="single" w:sz="4" w:space="0" w:color="D9D9D9"/>
              <w:right w:val="single" w:sz="4" w:space="0" w:color="D9D9D9"/>
            </w:tcBorders>
            <w:vAlign w:val="center"/>
          </w:tcPr>
          <w:p w14:paraId="3C9C4167" w14:textId="77777777" w:rsidR="009B1D75" w:rsidRDefault="00000000">
            <w:r>
              <w:rPr>
                <w:sz w:val="16"/>
              </w:rPr>
              <w:t>0; todas utilizables</w:t>
            </w:r>
          </w:p>
        </w:tc>
        <w:tc>
          <w:tcPr>
            <w:tcW w:w="1267" w:type="dxa"/>
            <w:tcBorders>
              <w:top w:val="single" w:sz="4" w:space="0" w:color="D9D9D9"/>
              <w:left w:val="single" w:sz="4" w:space="0" w:color="D9D9D9"/>
              <w:bottom w:val="single" w:sz="4" w:space="0" w:color="D9D9D9"/>
              <w:right w:val="single" w:sz="4" w:space="0" w:color="D9D9D9"/>
            </w:tcBorders>
            <w:vAlign w:val="center"/>
          </w:tcPr>
          <w:p w14:paraId="5185F3F8" w14:textId="77777777" w:rsidR="009B1D75" w:rsidRDefault="00000000">
            <w:pPr>
              <w:jc w:val="center"/>
            </w:pPr>
            <w:r>
              <w:rPr>
                <w:sz w:val="16"/>
              </w:rPr>
              <w:t>100 %</w:t>
            </w:r>
          </w:p>
        </w:tc>
        <w:tc>
          <w:tcPr>
            <w:tcW w:w="2045" w:type="dxa"/>
            <w:tcBorders>
              <w:top w:val="single" w:sz="4" w:space="0" w:color="D9D9D9"/>
              <w:left w:val="single" w:sz="4" w:space="0" w:color="D9D9D9"/>
              <w:bottom w:val="single" w:sz="4" w:space="0" w:color="D9D9D9"/>
              <w:right w:val="single" w:sz="4" w:space="0" w:color="D9D9D9"/>
            </w:tcBorders>
            <w:vAlign w:val="center"/>
          </w:tcPr>
          <w:p w14:paraId="1AED4BFC" w14:textId="77777777" w:rsidR="009B1D75" w:rsidRDefault="00000000">
            <w:pPr>
              <w:jc w:val="center"/>
            </w:pPr>
            <w:r>
              <w:rPr>
                <w:sz w:val="16"/>
              </w:rPr>
              <w:t>64,6–100 %</w:t>
            </w:r>
          </w:p>
        </w:tc>
      </w:tr>
    </w:tbl>
    <w:p w14:paraId="45A19FFF" w14:textId="77777777" w:rsidR="009B1D75" w:rsidRDefault="00000000">
      <w:r>
        <w:t>Las proporciones favorecen B y C frente al control, pero los tamaños son pequeños y los intervalos de Wilson del 95 % son amplios; por eso no se interpreta el 100 % de C como garantía de desempeño futuro. La tabla de decisión evaluó contexto cerrado, cita con localización, privacidad, costo, exportación APA 7 y reproducibilidad. El equipo eligió NotebookLM por su respuesta anclada al corpus y la cita con página disponible desde la interfaz. La elección se apoya en esos criterios y en la prueba, no en una afirmación de superioridad universal.</w:t>
      </w:r>
    </w:p>
    <w:p w14:paraId="6483CD1B" w14:textId="77777777" w:rsidR="009B1D75" w:rsidRDefault="00000000">
      <w:r>
        <w:br w:type="page"/>
      </w:r>
    </w:p>
    <w:p w14:paraId="2F606BFC" w14:textId="77777777" w:rsidR="009B1D75" w:rsidRDefault="00000000">
      <w:pPr>
        <w:pStyle w:val="Ttulo1"/>
      </w:pPr>
      <w:r>
        <w:lastRenderedPageBreak/>
        <w:t>3. El sistema</w:t>
      </w:r>
    </w:p>
    <w:p w14:paraId="211B80F5" w14:textId="77777777" w:rsidR="009B1D75" w:rsidRDefault="00000000">
      <w:r>
        <w:t>El corpus local final reúne diez PDF académicos. Ocho se emparejaron con las once filas históricas de trazabilidad del experimento; Eickhoff (2026) y Klempin (2014) se incorporaron después como fuentes complementarias con aval del docente reportado por el equipo, sin alterar los conteos de Semana 1. La procedencia, las exclusiones y las adiciones se registran en Entregable 3. NotebookLM se configuró como un cuaderno de consulta con estos diez documentos seleccionados. El sistema utiliza la recuperación y las citas nativas de la plataforma; el equipo no construyó un índice propio de embeddings ni una API de recuperación, por lo que esos parámetros no aplican.</w:t>
      </w:r>
    </w:p>
    <w:p w14:paraId="372F0BC0" w14:textId="77777777" w:rsidR="009B1D75" w:rsidRDefault="00000000">
      <w:r>
        <w:t>La regla de uso es seguir la cita hasta el PDF y verificar que la ubicación respalde la afirmación. El corpus sí contiene el estudio de Baine y Brakora sobre tarifas upper/lower division, pero no el artículo “Disparate Impacts of Block Tuition”; las respuestas no deben atribuir hallazgos de block tuition a ese PDF. El acta de datos de contraparte parece no aplicar porque el corpus actual contiene artículos e informes académicos, no documentos privados entregados por una contraparte. Si se añaden datos de ese tipo, se debe obtener el acuerdo antes de cargarlos en un servicio en la nube.</w:t>
      </w:r>
    </w:p>
    <w:p w14:paraId="22E288F0" w14:textId="77777777" w:rsidR="009B1D75" w:rsidRDefault="00000000">
      <w:pPr>
        <w:pStyle w:val="Ttulo1"/>
      </w:pPr>
      <w:r>
        <w:t>4. Evaluación</w:t>
      </w:r>
    </w:p>
    <w:p w14:paraId="67AC1DE6" w14:textId="77777777" w:rsidR="009B1D75" w:rsidRDefault="00000000">
      <w:r>
        <w:t>El banco final contiene 20 preguntas ejecutadas en NotebookLM: 17 con una respuesta esperada y tres sin respuesta completa esperada (Q16, de abstención parcial, y Q19–Q20, de abstención). En el registro v4 se anotaron la página o los chips que mostró la plataforma, si la cita abrió, si el fragmento apoyaba la respuesta, su corrección y la abstención. Se abrió al menos una cita representativa para cada uno de los diez PDF y se confirmó el nombre del archivo y el fragmento. El registro lleva a la respuesta y sus chips en el cuaderno; no se guardó una captura independiente por corrida.</w:t>
      </w:r>
    </w:p>
    <w:p w14:paraId="51040208" w14:textId="77777777" w:rsidR="009B1D75" w:rsidRDefault="00000000">
      <w:r>
        <w:t>La pregunta Q20 obtuvo una abstención apropiada: el corpus no permite estimar créditos ni ingresos para la Universidad Santo Tomás en 2025. Q16 también corrigió la premisa: la fuente cargada de Baine y Brakora no estudia block tuition. Como caso de respuesta parcial se documentó Q19: al pedir un monto anual de ingresos, NotebookLM respondió “$0” adicional apoyándose en la discusión condicional de Eickhoff (p. 108 del PDF), que explica que más créditos sin elevar la tarifa base no generarían ingreso adicional. La fuente no mide una cifra de ingresos brutos anuales; se marcó parcial y se anotó el matiz. La causa observable es que la salida convirtió una implicación condicional sobre ingreso marginal en un monto para una pregunta de ingreso anual; no se atribuye una causa interna no comprobada al modelo.</w:t>
      </w:r>
    </w:p>
    <w:p w14:paraId="21CEC1F4" w14:textId="77777777" w:rsidR="009B1D75" w:rsidRDefault="00000000">
      <w:r>
        <w:t>El banco evalúa NotebookLM con el corpus final; no repite las 20 preguntas en A y B. Por tanto, no se presenta como comparación experimental por tratamiento. La auditoría cruzada entre equipos no se ha realizado porque la contraparte aún no está disponible; esta memoria no atribuye resultados ni firmas a esa revisión.</w:t>
      </w:r>
    </w:p>
    <w:p w14:paraId="13F36757" w14:textId="77777777" w:rsidR="009B1D75" w:rsidRDefault="00000000">
      <w:r>
        <w:br w:type="page"/>
      </w:r>
    </w:p>
    <w:p w14:paraId="7BD022D5" w14:textId="77777777" w:rsidR="009B1D75" w:rsidRDefault="00000000">
      <w:pPr>
        <w:pStyle w:val="Ttulo1"/>
      </w:pPr>
      <w:r>
        <w:lastRenderedPageBreak/>
        <w:t>5. Qué corregimos de nuestro anteproyecto</w:t>
      </w:r>
    </w:p>
    <w:p w14:paraId="7AD5485A" w14:textId="77777777" w:rsidR="009B1D75" w:rsidRDefault="00000000">
      <w:r>
        <w:t>El 2 de octubre de 2026, Juan Roa detectó que el anteproyecto “Pérdida o ganancia — Cobro por créditos”, en su estado del arte, atribuía a Eickhoff (2026) tres resultados sin que el documento tuviera registro de verificación: una asociación de +0,462 créditos por periodo, un aumento de 3,25 % y un “equitable lift” para todos los grupos, junto con una penalización por crédito para quienes toman menos créditos.</w:t>
      </w:r>
    </w:p>
    <w:p w14:paraId="63459204" w14:textId="77777777" w:rsidR="009B1D75" w:rsidRDefault="00000000">
      <w:r>
        <w:t>Al contrastar el PDF incorporado al corpus, confirmamos que el coeficiente de +0,462 créditos por periodo sí aparece en los resultados de regresión (PDF p. 90; página impresa 77; p &lt; 0,001); también se resume en el abstract (PDF p. 3). La cifra de 3,25 % aparece en la discusión presupuestal (PDF p. 108; página impresa 95), pero se calcula allí a partir de un aumento medio de 0,43 créditos. Por ello, ambas cifras tienen respaldo, aunque no deben presentarse como si el 3,25 % se calculara directamente del coeficiente 0,462.</w:t>
      </w:r>
    </w:p>
    <w:p w14:paraId="7EFF7DE3" w14:textId="77777777" w:rsidR="009B1D75" w:rsidRDefault="00000000">
      <w:r>
        <w:t>El estudio emplea “equitable lift” para describir un aumento de créditos observado entre grupos demográficos sin ampliación de las brechas existentes; no afirma que cada grupo reciba exactamente el mismo aumento ni que las brechas desaparezcan. Estas persistieron bajo ambas estructuras (PDF pp. 3 y 97; páginas impresas iii y 84). El documento también describe la subvención cruzada: quienes se ubican cerca del umbral reciben menos créditos “gratis” y enfrentan un costo por crédito más alto (PDF p. 18; página impresa 5); para un título de 120 créditos, cursar 12 en vez de 15 por periodo puede elevar 25 % el costo total (PDF p. 56; página impresa 43). La expresión “quienes tienen más restricciones” debe presentarse como interpretación sobre las condiciones asociadas a cursar menos créditos, no como efecto causal medido por este estudio.</w:t>
      </w:r>
    </w:p>
    <w:p w14:paraId="2A8D76E3" w14:textId="77777777" w:rsidR="009B1D75" w:rsidRDefault="00000000">
      <w:r>
        <w:t>La afirmación no era inventada, pero estaba insuficientemente calificada y sin trazabilidad formal. La formalizamos como fuente complementaria posterior al experimento, con Juan Roa como verificador, fecha 2026-10-02 y páginas específicas en Entregable 3/evidencia_generada/fuentes_adicionales_corpus.csv. Eickhoff ya está en el corpus final y en NotebookLM por aval docente reportado por el equipo; su incorporación no modifica retroactivamente las 11 filas ni los conteos de Semana 1. Para citarlo con precisión, dejamos separadas la estimación de regresión (+0,462), la variación media usada para el 3,25 % (+0,43) y la interpretación limitada de “equitable lift”.</w:t>
      </w:r>
    </w:p>
    <w:p w14:paraId="10169B0A" w14:textId="77777777" w:rsidR="009B1D75" w:rsidRDefault="00000000">
      <w:r>
        <w:t>Redacción revisada: “Eickhoff (2026) encontró que la estructura plateau se asoció con 0,462 créditos adicionales por periodo en su modelo de regresión (p &lt; 0,001). En otra sección, reportó un aumento medio de 0,43 créditos, equivalente al 3,25 %, para discutir los costos de instrucción. El estudio observó un aumento de créditos entre los grupos examinados sin ampliar las brechas existentes; estas persistieron, junto con diferencias en el acceso a créditos sin costo adicional”.</w:t>
      </w:r>
    </w:p>
    <w:p w14:paraId="4E46876E" w14:textId="77777777" w:rsidR="009B1D75" w:rsidRDefault="00000000">
      <w:pPr>
        <w:pStyle w:val="Ttulo1"/>
      </w:pPr>
      <w:r>
        <w:t>6. Declaración de uso de IA</w:t>
      </w:r>
    </w:p>
    <w:p w14:paraId="02C654AA" w14:textId="77777777" w:rsidR="009B1D75" w:rsidRDefault="00000000">
      <w:r>
        <w:t>Herramientas y usos. Consensus se usó para búsqueda bibliográfica en el tratamiento B. Gemini se usó para generar respuestas sin fuentes en el control A. NotebookLM fue la herramienta elegida para consultar el corpus cerrado, responder las 20 preguntas y mostrar citas con localización. OpenCode apoyó la programación en Python de los scripts de emparejamiento de archivos y generación de procedencia/trazabilidad. ChatGPT/Codex se usó como apoyo para organizar entregables, analizar resultados y preparar este documento y el registro de evaluación. Las versiones exactas de los servicios no quedaron anotadas durante las corridas.</w:t>
      </w:r>
    </w:p>
    <w:p w14:paraId="0DAABF19" w14:textId="77777777" w:rsidR="009B1D75" w:rsidRDefault="00000000">
      <w:r>
        <w:t>Decisión y control humano. NotebookLM se eligió frente a las alternativas evaluadas con seis criterios porque permite consultar un corpus delimitado y seguir citas con página desde la interfaz. La IA no tomó la decisión final de clasificación: los tres integrantes revisaron las referencias a ciegas, discutieron los desacuerdos y corrigieron casos con revisión manual y Crossref. El equipo también contrastó los fragmentos de NotebookLM con los PDF. No se usó IA para inventar datos de la Universidad Santo Tomás ni para sustituir la auditoría cruzada. Se corrigieron dos citas de artículos inexistentes atribuidas a autores reales y se acotaron afirmaciones que excedían el alcance de las fuentes, incluida la interpretación de Q19. La auditoría cruzada no se realizó porque no fue posible coordinar otro equipo. El hallazgo sobre Eickhoff ya quedó verificado y formalizado en el registro de fuentes complementarias; cualquier revisión posterior de otro equipo debe añadirse como evidencia nueva, sin presentarla como realizada.</w:t>
      </w:r>
    </w:p>
    <w:sectPr w:rsidR="009B1D75" w:rsidSect="00034616">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41787089">
    <w:abstractNumId w:val="8"/>
  </w:num>
  <w:num w:numId="2" w16cid:durableId="343440211">
    <w:abstractNumId w:val="6"/>
  </w:num>
  <w:num w:numId="3" w16cid:durableId="2045322050">
    <w:abstractNumId w:val="5"/>
  </w:num>
  <w:num w:numId="4" w16cid:durableId="900557210">
    <w:abstractNumId w:val="4"/>
  </w:num>
  <w:num w:numId="5" w16cid:durableId="1375157898">
    <w:abstractNumId w:val="7"/>
  </w:num>
  <w:num w:numId="6" w16cid:durableId="888538489">
    <w:abstractNumId w:val="3"/>
  </w:num>
  <w:num w:numId="7" w16cid:durableId="1575124705">
    <w:abstractNumId w:val="2"/>
  </w:num>
  <w:num w:numId="8" w16cid:durableId="1636521155">
    <w:abstractNumId w:val="1"/>
  </w:num>
  <w:num w:numId="9" w16cid:durableId="1550460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2E59"/>
    <w:rsid w:val="007A7721"/>
    <w:rsid w:val="009B1D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E28D7E2-40D0-4BB9-849F-E9B4DED94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color w:val="232B34"/>
      <w:sz w:val="18"/>
    </w:rPr>
  </w:style>
  <w:style w:type="paragraph" w:styleId="Ttulo1">
    <w:name w:val="heading 1"/>
    <w:basedOn w:val="Normal"/>
    <w:next w:val="Normal"/>
    <w:link w:val="Ttulo1Car"/>
    <w:uiPriority w:val="9"/>
    <w:qFormat/>
    <w:rsid w:val="00FC693F"/>
    <w:pPr>
      <w:keepNext/>
      <w:keepLines/>
      <w:spacing w:before="100"/>
      <w:outlineLvl w:val="0"/>
    </w:pPr>
    <w:rPr>
      <w:rFonts w:asciiTheme="majorHAnsi" w:eastAsiaTheme="majorEastAsia" w:hAnsiTheme="majorHAnsi" w:cstheme="majorBidi"/>
      <w:b/>
      <w:bCs/>
      <w:color w:val="000000"/>
      <w:sz w:val="25"/>
      <w:szCs w:val="28"/>
    </w:rPr>
  </w:style>
  <w:style w:type="paragraph" w:styleId="Ttulo2">
    <w:name w:val="heading 2"/>
    <w:basedOn w:val="Normal"/>
    <w:next w:val="Normal"/>
    <w:link w:val="Ttulo2Car"/>
    <w:uiPriority w:val="9"/>
    <w:unhideWhenUsed/>
    <w:qFormat/>
    <w:rsid w:val="00FC693F"/>
    <w:pPr>
      <w:keepNext/>
      <w:keepLines/>
      <w:spacing w:before="100"/>
      <w:outlineLvl w:val="1"/>
    </w:pPr>
    <w:rPr>
      <w:rFonts w:asciiTheme="majorHAnsi" w:eastAsiaTheme="majorEastAsia" w:hAnsiTheme="majorHAnsi" w:cstheme="majorBidi"/>
      <w:b/>
      <w:bCs/>
      <w:color w:val="000000"/>
      <w:sz w:val="2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1620</Words>
  <Characters>8915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del sistema de fuentes y su evaluación</dc:title>
  <dc:subject>Proyecto Nada sin fuente</dc:subject>
  <dc:creator>Juan Roa; Gabriel Aldana; Laura Rodríguez</dc:creator>
  <cp:keywords/>
  <dc:description>generated by python-docx</dc:description>
  <cp:lastModifiedBy>Juan Roa Castañeda</cp:lastModifiedBy>
  <cp:revision>2</cp:revision>
  <dcterms:created xsi:type="dcterms:W3CDTF">2013-12-23T23:15:00Z</dcterms:created>
  <dcterms:modified xsi:type="dcterms:W3CDTF">2026-10-02T23:50:00Z</dcterms:modified>
  <cp:category/>
</cp:coreProperties>
</file>