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B59" w:rsidRPr="00B33CD3" w:rsidRDefault="000E1B59" w:rsidP="000E1B59">
      <w:pPr>
        <w:jc w:val="center"/>
        <w:rPr>
          <w:rFonts w:ascii="Arial" w:hAnsi="Arial" w:cs="Arial"/>
          <w:b/>
        </w:rPr>
      </w:pPr>
      <w:r w:rsidRPr="00B33CD3">
        <w:rPr>
          <w:rFonts w:ascii="Arial" w:hAnsi="Arial" w:cs="Arial"/>
          <w:b/>
        </w:rPr>
        <w:t xml:space="preserve">Metadata for </w:t>
      </w:r>
      <w:r>
        <w:rPr>
          <w:rFonts w:ascii="Arial" w:hAnsi="Arial" w:cs="Arial"/>
          <w:b/>
        </w:rPr>
        <w:t>TombContentsMaster.csv</w:t>
      </w:r>
    </w:p>
    <w:p w:rsidR="000E1B59" w:rsidRDefault="000E1B59" w:rsidP="000E1B59">
      <w:pPr>
        <w:rPr>
          <w:rFonts w:ascii="Arial" w:hAnsi="Arial" w:cs="Arial"/>
        </w:rPr>
      </w:pPr>
    </w:p>
    <w:p w:rsidR="000E1B59" w:rsidRDefault="000E1B59" w:rsidP="000E1B59">
      <w:pPr>
        <w:rPr>
          <w:rFonts w:ascii="Arial" w:hAnsi="Arial" w:cs="Arial"/>
          <w:color w:val="24292E"/>
          <w:shd w:val="clear" w:color="auto" w:fill="FFFFFF"/>
        </w:rPr>
      </w:pPr>
      <w:r w:rsidRPr="00B33CD3">
        <w:rPr>
          <w:rFonts w:ascii="Arial" w:hAnsi="Arial" w:cs="Arial"/>
        </w:rPr>
        <w:t>Tomb</w:t>
      </w:r>
      <w:r>
        <w:rPr>
          <w:rFonts w:ascii="Arial" w:hAnsi="Arial" w:cs="Arial"/>
        </w:rPr>
        <w:t>ContentsMaster</w:t>
      </w:r>
      <w:r w:rsidRPr="00B33CD3">
        <w:rPr>
          <w:rFonts w:ascii="Arial" w:hAnsi="Arial" w:cs="Arial"/>
        </w:rPr>
        <w:t xml:space="preserve">.csv contains </w:t>
      </w:r>
      <w:r>
        <w:rPr>
          <w:rFonts w:ascii="Arial" w:hAnsi="Arial" w:cs="Arial"/>
        </w:rPr>
        <w:t>all documented grave goods from</w:t>
      </w:r>
      <w:r w:rsidRPr="00B33CD3">
        <w:rPr>
          <w:rFonts w:ascii="Arial" w:hAnsi="Arial" w:cs="Arial"/>
        </w:rPr>
        <w:t xml:space="preserve"> </w:t>
      </w:r>
      <w:proofErr w:type="spellStart"/>
      <w:r w:rsidRPr="00B33CD3">
        <w:rPr>
          <w:rFonts w:ascii="Arial" w:hAnsi="Arial" w:cs="Arial"/>
        </w:rPr>
        <w:t>PreBA</w:t>
      </w:r>
      <w:proofErr w:type="spellEnd"/>
      <w:r w:rsidRPr="00B33CD3">
        <w:rPr>
          <w:rFonts w:ascii="Arial" w:hAnsi="Arial" w:cs="Arial"/>
        </w:rPr>
        <w:t xml:space="preserve"> tombs across the island of Cyprus.  This file includes the metadata, or explanation of data in each column of the spreadsheet.  </w:t>
      </w:r>
      <w:r w:rsidRPr="00B33CD3">
        <w:rPr>
          <w:rFonts w:ascii="Arial" w:hAnsi="Arial" w:cs="Arial"/>
          <w:color w:val="24292E"/>
          <w:shd w:val="clear" w:color="auto" w:fill="FFFFFF"/>
        </w:rPr>
        <w:t>The Tomb</w:t>
      </w:r>
      <w:r>
        <w:rPr>
          <w:rFonts w:ascii="Arial" w:hAnsi="Arial" w:cs="Arial"/>
          <w:color w:val="24292E"/>
          <w:shd w:val="clear" w:color="auto" w:fill="FFFFFF"/>
        </w:rPr>
        <w:t>ContentsMaster</w:t>
      </w:r>
      <w:r w:rsidRPr="00B33CD3">
        <w:rPr>
          <w:rFonts w:ascii="Arial" w:hAnsi="Arial" w:cs="Arial"/>
          <w:color w:val="24292E"/>
          <w:shd w:val="clear" w:color="auto" w:fill="FFFFFF"/>
        </w:rPr>
        <w:t xml:space="preserve">.csv file includes </w:t>
      </w:r>
      <w:r>
        <w:rPr>
          <w:rFonts w:ascii="Arial" w:hAnsi="Arial" w:cs="Arial"/>
          <w:color w:val="24292E"/>
          <w:shd w:val="clear" w:color="auto" w:fill="FFFFFF"/>
        </w:rPr>
        <w:t>the total numbers of different categories of grave goods</w:t>
      </w:r>
      <w:r w:rsidR="00B16105">
        <w:rPr>
          <w:rFonts w:ascii="Arial" w:hAnsi="Arial" w:cs="Arial"/>
          <w:color w:val="24292E"/>
          <w:shd w:val="clear" w:color="auto" w:fill="FFFFFF"/>
        </w:rPr>
        <w:t xml:space="preserve">: </w:t>
      </w:r>
      <w:r>
        <w:rPr>
          <w:rFonts w:ascii="Arial" w:hAnsi="Arial" w:cs="Arial"/>
          <w:color w:val="24292E"/>
          <w:shd w:val="clear" w:color="auto" w:fill="FFFFFF"/>
        </w:rPr>
        <w:t>the total number of pots, total number of intra-regional trade goods, inter-regional trade goods, on-island traded goods and international trade goods, total ideological resources, total minerals, total metals, total locally produced goods, total artifacts, and total objects associated with funerary feasts.</w:t>
      </w:r>
    </w:p>
    <w:p w:rsidR="000E1B59" w:rsidRDefault="000E1B59" w:rsidP="000E1B59">
      <w:pPr>
        <w:rPr>
          <w:rFonts w:ascii="Arial" w:hAnsi="Arial" w:cs="Arial"/>
          <w:color w:val="24292E"/>
          <w:shd w:val="clear" w:color="auto" w:fill="FFFFFF"/>
        </w:rPr>
      </w:pPr>
    </w:p>
    <w:p w:rsidR="000E1B59" w:rsidRPr="00B33CD3" w:rsidRDefault="000E1B59" w:rsidP="000E1B59">
      <w:pPr>
        <w:rPr>
          <w:rFonts w:ascii="Arial" w:hAnsi="Arial" w:cs="Arial"/>
          <w:color w:val="24292E"/>
          <w:shd w:val="clear" w:color="auto" w:fill="FFFFFF"/>
        </w:rPr>
      </w:pPr>
      <w:proofErr w:type="spellStart"/>
      <w:r w:rsidRPr="00B33CD3">
        <w:rPr>
          <w:rFonts w:ascii="Arial" w:hAnsi="Arial" w:cs="Arial"/>
          <w:b/>
          <w:color w:val="24292E"/>
          <w:shd w:val="clear" w:color="auto" w:fill="FFFFFF"/>
        </w:rPr>
        <w:t>SiteName</w:t>
      </w:r>
      <w:proofErr w:type="spellEnd"/>
      <w:r w:rsidRPr="00B33CD3">
        <w:rPr>
          <w:rFonts w:ascii="Arial" w:hAnsi="Arial" w:cs="Arial"/>
          <w:color w:val="24292E"/>
          <w:shd w:val="clear" w:color="auto" w:fill="FFFFFF"/>
        </w:rPr>
        <w:t xml:space="preserve">: Name of cemetery or site where tomb is located. </w:t>
      </w:r>
    </w:p>
    <w:p w:rsidR="000E1B59" w:rsidRPr="00B33CD3" w:rsidRDefault="000E1B59" w:rsidP="000E1B59">
      <w:pPr>
        <w:rPr>
          <w:rFonts w:ascii="Arial" w:hAnsi="Arial" w:cs="Arial"/>
          <w:color w:val="24292E"/>
          <w:shd w:val="clear" w:color="auto" w:fill="FFFFFF"/>
        </w:rPr>
      </w:pPr>
      <w:r w:rsidRPr="00B33CD3">
        <w:rPr>
          <w:rFonts w:ascii="Arial" w:hAnsi="Arial" w:cs="Arial"/>
          <w:b/>
          <w:color w:val="24292E"/>
          <w:shd w:val="clear" w:color="auto" w:fill="FFFFFF"/>
        </w:rPr>
        <w:t>Region</w:t>
      </w:r>
      <w:r w:rsidRPr="00B33CD3">
        <w:rPr>
          <w:rFonts w:ascii="Arial" w:hAnsi="Arial" w:cs="Arial"/>
          <w:color w:val="24292E"/>
          <w:shd w:val="clear" w:color="auto" w:fill="FFFFFF"/>
        </w:rPr>
        <w:t>: Cyprus was divided into three regions for this research: North Coast (North), Central Plain (Central), and South Coast (South). All tombs are labelled with one of the three region names indicated in parenthesis.</w:t>
      </w:r>
    </w:p>
    <w:p w:rsidR="000E1B59" w:rsidRPr="00B33CD3" w:rsidRDefault="000E1B59" w:rsidP="000E1B59">
      <w:pPr>
        <w:rPr>
          <w:rFonts w:ascii="Arial" w:hAnsi="Arial" w:cs="Arial"/>
          <w:color w:val="24292E"/>
          <w:shd w:val="clear" w:color="auto" w:fill="FFFFFF"/>
        </w:rPr>
      </w:pPr>
      <w:r w:rsidRPr="00B33CD3">
        <w:rPr>
          <w:rFonts w:ascii="Arial" w:hAnsi="Arial" w:cs="Arial"/>
          <w:b/>
          <w:color w:val="24292E"/>
          <w:shd w:val="clear" w:color="auto" w:fill="FFFFFF"/>
        </w:rPr>
        <w:t>Period</w:t>
      </w:r>
      <w:r w:rsidRPr="00B33CD3">
        <w:rPr>
          <w:rFonts w:ascii="Arial" w:hAnsi="Arial" w:cs="Arial"/>
          <w:color w:val="24292E"/>
          <w:shd w:val="clear" w:color="auto" w:fill="FFFFFF"/>
        </w:rPr>
        <w:t xml:space="preserve">: The dating scheme used in this research splits the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into the Philia Phase (2400-2250 </w:t>
      </w:r>
      <w:proofErr w:type="spellStart"/>
      <w:r w:rsidRPr="00B33CD3">
        <w:rPr>
          <w:rFonts w:ascii="Arial" w:hAnsi="Arial" w:cs="Arial"/>
          <w:color w:val="24292E"/>
          <w:shd w:val="clear" w:color="auto" w:fill="FFFFFF"/>
        </w:rPr>
        <w:t>cal</w:t>
      </w:r>
      <w:proofErr w:type="spellEnd"/>
      <w:r w:rsidRPr="00B33CD3">
        <w:rPr>
          <w:rFonts w:ascii="Arial" w:hAnsi="Arial" w:cs="Arial"/>
          <w:color w:val="24292E"/>
          <w:shd w:val="clear" w:color="auto" w:fill="FFFFFF"/>
        </w:rPr>
        <w:t xml:space="preserve"> BC),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1 (2250-2000 </w:t>
      </w:r>
      <w:proofErr w:type="spellStart"/>
      <w:r w:rsidRPr="00B33CD3">
        <w:rPr>
          <w:rFonts w:ascii="Arial" w:hAnsi="Arial" w:cs="Arial"/>
          <w:color w:val="24292E"/>
          <w:shd w:val="clear" w:color="auto" w:fill="FFFFFF"/>
        </w:rPr>
        <w:t>cal</w:t>
      </w:r>
      <w:proofErr w:type="spellEnd"/>
      <w:r w:rsidRPr="00B33CD3">
        <w:rPr>
          <w:rFonts w:ascii="Arial" w:hAnsi="Arial" w:cs="Arial"/>
          <w:color w:val="24292E"/>
          <w:shd w:val="clear" w:color="auto" w:fill="FFFFFF"/>
        </w:rPr>
        <w:t xml:space="preserve"> BC) and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2 (2000-1700 </w:t>
      </w:r>
      <w:proofErr w:type="spellStart"/>
      <w:r w:rsidRPr="00B33CD3">
        <w:rPr>
          <w:rFonts w:ascii="Arial" w:hAnsi="Arial" w:cs="Arial"/>
          <w:color w:val="24292E"/>
          <w:shd w:val="clear" w:color="auto" w:fill="FFFFFF"/>
        </w:rPr>
        <w:t>cal</w:t>
      </w:r>
      <w:proofErr w:type="spellEnd"/>
      <w:r w:rsidRPr="00B33CD3">
        <w:rPr>
          <w:rFonts w:ascii="Arial" w:hAnsi="Arial" w:cs="Arial"/>
          <w:color w:val="24292E"/>
          <w:shd w:val="clear" w:color="auto" w:fill="FFFFFF"/>
        </w:rPr>
        <w:t xml:space="preserve"> BC), labelled as Philia,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1 and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2 respectively in the spreadsheet.</w:t>
      </w:r>
    </w:p>
    <w:p w:rsidR="000E1B59" w:rsidRPr="00B33CD3" w:rsidRDefault="000E1B59" w:rsidP="000E1B59">
      <w:pPr>
        <w:rPr>
          <w:rFonts w:ascii="Arial" w:hAnsi="Arial" w:cs="Arial"/>
          <w:color w:val="24292E"/>
          <w:shd w:val="clear" w:color="auto" w:fill="FFFFFF"/>
        </w:rPr>
      </w:pPr>
      <w:proofErr w:type="spellStart"/>
      <w:r w:rsidRPr="00B33CD3">
        <w:rPr>
          <w:rFonts w:ascii="Arial" w:hAnsi="Arial" w:cs="Arial"/>
          <w:b/>
          <w:color w:val="24292E"/>
          <w:shd w:val="clear" w:color="auto" w:fill="FFFFFF"/>
        </w:rPr>
        <w:t>TombID</w:t>
      </w:r>
      <w:proofErr w:type="spellEnd"/>
      <w:r w:rsidRPr="00B33CD3">
        <w:rPr>
          <w:rFonts w:ascii="Arial" w:hAnsi="Arial" w:cs="Arial"/>
          <w:color w:val="24292E"/>
          <w:shd w:val="clear" w:color="auto" w:fill="FFFFFF"/>
        </w:rPr>
        <w:t>: The tomb numbers assigned by original excavators of the site are replicated here as identifiers.</w:t>
      </w:r>
    </w:p>
    <w:p w:rsidR="000E1B59" w:rsidRDefault="000E1B59" w:rsidP="000E1B59">
      <w:pPr>
        <w:rPr>
          <w:rFonts w:ascii="Arial" w:hAnsi="Arial" w:cs="Arial"/>
          <w:color w:val="24292E"/>
          <w:shd w:val="clear" w:color="auto" w:fill="FFFFFF"/>
        </w:rPr>
      </w:pPr>
      <w:proofErr w:type="spellStart"/>
      <w:r w:rsidRPr="00B33CD3">
        <w:rPr>
          <w:rFonts w:ascii="Arial" w:hAnsi="Arial" w:cs="Arial"/>
          <w:b/>
          <w:color w:val="24292E"/>
          <w:shd w:val="clear" w:color="auto" w:fill="FFFFFF"/>
        </w:rPr>
        <w:t>BronzePeriod</w:t>
      </w:r>
      <w:proofErr w:type="spellEnd"/>
      <w:r w:rsidRPr="00B33CD3">
        <w:rPr>
          <w:rFonts w:ascii="Arial" w:hAnsi="Arial" w:cs="Arial"/>
          <w:b/>
          <w:color w:val="24292E"/>
          <w:shd w:val="clear" w:color="auto" w:fill="FFFFFF"/>
        </w:rPr>
        <w:t>:</w:t>
      </w:r>
      <w:r w:rsidRPr="00B33CD3">
        <w:rPr>
          <w:rFonts w:ascii="Arial" w:hAnsi="Arial" w:cs="Arial"/>
          <w:color w:val="24292E"/>
          <w:shd w:val="clear" w:color="auto" w:fill="FFFFFF"/>
        </w:rPr>
        <w:t xml:space="preserve"> The more traditional dating scheme used on Cyprus is included for some tombs in this column. The periods include the Early Bronze Age or ECI-III, and Middle Bronze Age or MCI-II.</w:t>
      </w:r>
    </w:p>
    <w:p w:rsidR="000E1B59" w:rsidRPr="000E1B59" w:rsidRDefault="000E1B59" w:rsidP="000E1B59">
      <w:pPr>
        <w:spacing w:before="240"/>
        <w:rPr>
          <w:rFonts w:ascii="Arial" w:hAnsi="Arial" w:cs="Arial"/>
          <w:color w:val="24292E"/>
          <w:shd w:val="clear" w:color="auto" w:fill="FFFFFF"/>
        </w:rPr>
      </w:pPr>
      <w:proofErr w:type="spellStart"/>
      <w:r w:rsidRPr="000E1B59">
        <w:rPr>
          <w:rFonts w:ascii="Arial" w:hAnsi="Arial" w:cs="Arial"/>
          <w:b/>
          <w:color w:val="24292E"/>
          <w:shd w:val="clear" w:color="auto" w:fill="FFFFFF"/>
        </w:rPr>
        <w:t>NoInterRegionalPotImports</w:t>
      </w:r>
      <w:proofErr w:type="spellEnd"/>
      <w:r>
        <w:rPr>
          <w:rFonts w:ascii="Arial" w:hAnsi="Arial" w:cs="Arial"/>
          <w:b/>
          <w:color w:val="24292E"/>
          <w:shd w:val="clear" w:color="auto" w:fill="FFFFFF"/>
        </w:rPr>
        <w:t xml:space="preserve">: </w:t>
      </w:r>
      <w:r>
        <w:rPr>
          <w:rFonts w:ascii="Arial" w:hAnsi="Arial" w:cs="Arial"/>
          <w:color w:val="24292E"/>
          <w:shd w:val="clear" w:color="auto" w:fill="FFFFFF"/>
        </w:rPr>
        <w:t xml:space="preserve">Number of ceramic vessels that were imported from other regions on Cyprus </w:t>
      </w:r>
      <w:r w:rsidR="00B16105">
        <w:rPr>
          <w:rFonts w:ascii="Arial" w:hAnsi="Arial" w:cs="Arial"/>
          <w:color w:val="24292E"/>
          <w:shd w:val="clear" w:color="auto" w:fill="FFFFFF"/>
        </w:rPr>
        <w:t>found</w:t>
      </w:r>
      <w:r>
        <w:rPr>
          <w:rFonts w:ascii="Arial" w:hAnsi="Arial" w:cs="Arial"/>
          <w:color w:val="24292E"/>
          <w:shd w:val="clear" w:color="auto" w:fill="FFFFFF"/>
        </w:rPr>
        <w:t xml:space="preserve"> in the tomb. </w:t>
      </w:r>
    </w:p>
    <w:p w:rsidR="000E1B59" w:rsidRPr="000E1B59" w:rsidRDefault="000E1B59" w:rsidP="000E1B59">
      <w:pPr>
        <w:spacing w:before="240"/>
        <w:rPr>
          <w:rFonts w:ascii="Arial" w:hAnsi="Arial" w:cs="Arial"/>
          <w:color w:val="24292E"/>
          <w:shd w:val="clear" w:color="auto" w:fill="FFFFFF"/>
        </w:rPr>
      </w:pPr>
      <w:proofErr w:type="spellStart"/>
      <w:r w:rsidRPr="000E1B59">
        <w:rPr>
          <w:rFonts w:ascii="Arial" w:hAnsi="Arial" w:cs="Arial"/>
          <w:b/>
          <w:color w:val="24292E"/>
          <w:shd w:val="clear" w:color="auto" w:fill="FFFFFF"/>
        </w:rPr>
        <w:t>InterRegionalPotImportDesc</w:t>
      </w:r>
      <w:proofErr w:type="spellEnd"/>
      <w:r>
        <w:rPr>
          <w:rFonts w:ascii="Arial" w:hAnsi="Arial" w:cs="Arial"/>
          <w:b/>
          <w:color w:val="24292E"/>
          <w:shd w:val="clear" w:color="auto" w:fill="FFFFFF"/>
        </w:rPr>
        <w:t xml:space="preserve">: </w:t>
      </w:r>
      <w:r>
        <w:rPr>
          <w:rFonts w:ascii="Arial" w:hAnsi="Arial" w:cs="Arial"/>
          <w:color w:val="24292E"/>
          <w:shd w:val="clear" w:color="auto" w:fill="FFFFFF"/>
        </w:rPr>
        <w:t>Description of each ceramic vessel imported from other region on Cyprus and contained in the tomb.  The pottery type and vessel shape when known are followed by the number of that kind found in the tomb.</w:t>
      </w:r>
    </w:p>
    <w:p w:rsidR="000E1B59" w:rsidRPr="000E1B59" w:rsidRDefault="000E1B59" w:rsidP="000E1B59">
      <w:pPr>
        <w:spacing w:before="240" w:after="0" w:line="240" w:lineRule="auto"/>
        <w:rPr>
          <w:rFonts w:ascii="Arial" w:eastAsia="Times New Roman" w:hAnsi="Arial" w:cs="Arial"/>
          <w:b/>
          <w:color w:val="000000"/>
        </w:rPr>
      </w:pPr>
      <w:proofErr w:type="spellStart"/>
      <w:r w:rsidRPr="000E1B59">
        <w:rPr>
          <w:rFonts w:ascii="Arial" w:eastAsia="Times New Roman" w:hAnsi="Arial" w:cs="Arial"/>
          <w:b/>
          <w:color w:val="000000"/>
        </w:rPr>
        <w:t>NoInternPotImports</w:t>
      </w:r>
      <w:proofErr w:type="spellEnd"/>
      <w:r w:rsidR="0021792C">
        <w:rPr>
          <w:rFonts w:ascii="Arial" w:eastAsia="Times New Roman" w:hAnsi="Arial" w:cs="Arial"/>
          <w:b/>
          <w:color w:val="000000"/>
        </w:rPr>
        <w:t xml:space="preserve">: </w:t>
      </w:r>
      <w:r w:rsidR="0021792C">
        <w:rPr>
          <w:rFonts w:ascii="Arial" w:hAnsi="Arial" w:cs="Arial"/>
          <w:color w:val="24292E"/>
          <w:shd w:val="clear" w:color="auto" w:fill="FFFFFF"/>
        </w:rPr>
        <w:t xml:space="preserve">Number of ceramic vessels that were imported from outside of Cyprus (international imports) </w:t>
      </w:r>
      <w:r w:rsidR="00B16105">
        <w:rPr>
          <w:rFonts w:ascii="Arial" w:hAnsi="Arial" w:cs="Arial"/>
          <w:color w:val="24292E"/>
          <w:shd w:val="clear" w:color="auto" w:fill="FFFFFF"/>
        </w:rPr>
        <w:t>found</w:t>
      </w:r>
      <w:r w:rsidR="0021792C">
        <w:rPr>
          <w:rFonts w:ascii="Arial" w:hAnsi="Arial" w:cs="Arial"/>
          <w:color w:val="24292E"/>
          <w:shd w:val="clear" w:color="auto" w:fill="FFFFFF"/>
        </w:rPr>
        <w:t xml:space="preserve"> in the tomb.</w:t>
      </w:r>
    </w:p>
    <w:p w:rsidR="0021792C" w:rsidRDefault="000E1B59" w:rsidP="0021792C">
      <w:pPr>
        <w:spacing w:before="240"/>
        <w:rPr>
          <w:rFonts w:ascii="Arial" w:hAnsi="Arial" w:cs="Arial"/>
          <w:color w:val="24292E"/>
          <w:shd w:val="clear" w:color="auto" w:fill="FFFFFF"/>
        </w:rPr>
      </w:pPr>
      <w:proofErr w:type="spellStart"/>
      <w:r w:rsidRPr="000E1B59">
        <w:rPr>
          <w:rFonts w:ascii="Arial" w:eastAsia="Times New Roman" w:hAnsi="Arial" w:cs="Arial"/>
          <w:b/>
          <w:color w:val="000000"/>
        </w:rPr>
        <w:t>InternPotImportsDesc</w:t>
      </w:r>
      <w:proofErr w:type="spellEnd"/>
      <w:r w:rsidR="0021792C">
        <w:rPr>
          <w:rFonts w:ascii="Arial" w:eastAsia="Times New Roman" w:hAnsi="Arial" w:cs="Arial"/>
          <w:b/>
          <w:color w:val="000000"/>
        </w:rPr>
        <w:t>:</w:t>
      </w:r>
      <w:r w:rsidR="0021792C" w:rsidRPr="0021792C">
        <w:rPr>
          <w:rFonts w:ascii="Arial" w:hAnsi="Arial" w:cs="Arial"/>
          <w:color w:val="24292E"/>
          <w:shd w:val="clear" w:color="auto" w:fill="FFFFFF"/>
        </w:rPr>
        <w:t xml:space="preserve"> </w:t>
      </w:r>
      <w:r w:rsidR="0021792C">
        <w:rPr>
          <w:rFonts w:ascii="Arial" w:hAnsi="Arial" w:cs="Arial"/>
          <w:color w:val="24292E"/>
          <w:shd w:val="clear" w:color="auto" w:fill="FFFFFF"/>
        </w:rPr>
        <w:t>Description of each ceramic vessel imported from outside of Cyprus (international imports).  The pottery type and vessel shape when known are followed by the number of that kind found in the tomb.</w:t>
      </w:r>
    </w:p>
    <w:p w:rsidR="000E1B59" w:rsidRPr="0021792C" w:rsidRDefault="000E1B59" w:rsidP="000E1B59">
      <w:pPr>
        <w:spacing w:before="240" w:after="0" w:line="240" w:lineRule="auto"/>
        <w:rPr>
          <w:rFonts w:ascii="Arial" w:eastAsia="Times New Roman" w:hAnsi="Arial" w:cs="Arial"/>
          <w:color w:val="000000"/>
        </w:rPr>
      </w:pPr>
      <w:proofErr w:type="spellStart"/>
      <w:r w:rsidRPr="000E1B59">
        <w:rPr>
          <w:rFonts w:ascii="Arial" w:eastAsia="Times New Roman" w:hAnsi="Arial" w:cs="Arial"/>
          <w:b/>
          <w:color w:val="000000"/>
        </w:rPr>
        <w:t>NoLocalPots</w:t>
      </w:r>
      <w:proofErr w:type="spellEnd"/>
      <w:r w:rsidR="0021792C">
        <w:rPr>
          <w:rFonts w:ascii="Arial" w:eastAsia="Times New Roman" w:hAnsi="Arial" w:cs="Arial"/>
          <w:b/>
          <w:color w:val="000000"/>
        </w:rPr>
        <w:t xml:space="preserve">: </w:t>
      </w:r>
      <w:r w:rsidR="0021792C">
        <w:rPr>
          <w:rFonts w:ascii="Arial" w:eastAsia="Times New Roman" w:hAnsi="Arial" w:cs="Arial"/>
          <w:color w:val="000000"/>
        </w:rPr>
        <w:t xml:space="preserve">Number of ceramic vessels that were locally produced (not imported to this cemetery) </w:t>
      </w:r>
      <w:r w:rsidR="00B16105">
        <w:rPr>
          <w:rFonts w:ascii="Arial" w:eastAsia="Times New Roman" w:hAnsi="Arial" w:cs="Arial"/>
          <w:color w:val="000000"/>
        </w:rPr>
        <w:t>found</w:t>
      </w:r>
      <w:r w:rsidR="0021792C">
        <w:rPr>
          <w:rFonts w:ascii="Arial" w:eastAsia="Times New Roman" w:hAnsi="Arial" w:cs="Arial"/>
          <w:color w:val="000000"/>
        </w:rPr>
        <w:t xml:space="preserve"> in the tomb.</w:t>
      </w:r>
    </w:p>
    <w:p w:rsidR="0021792C" w:rsidRDefault="000E1B59" w:rsidP="0021792C">
      <w:pPr>
        <w:spacing w:before="240"/>
        <w:rPr>
          <w:rFonts w:ascii="Arial" w:hAnsi="Arial" w:cs="Arial"/>
          <w:color w:val="24292E"/>
          <w:shd w:val="clear" w:color="auto" w:fill="FFFFFF"/>
        </w:rPr>
      </w:pPr>
      <w:proofErr w:type="spellStart"/>
      <w:r w:rsidRPr="000E1B59">
        <w:rPr>
          <w:rFonts w:ascii="Arial" w:eastAsia="Times New Roman" w:hAnsi="Arial" w:cs="Arial"/>
          <w:b/>
          <w:color w:val="000000"/>
        </w:rPr>
        <w:lastRenderedPageBreak/>
        <w:t>LocalPotsDesc</w:t>
      </w:r>
      <w:proofErr w:type="spellEnd"/>
      <w:r w:rsidR="0021792C">
        <w:rPr>
          <w:rFonts w:ascii="Arial" w:eastAsia="Times New Roman" w:hAnsi="Arial" w:cs="Arial"/>
          <w:b/>
          <w:color w:val="000000"/>
        </w:rPr>
        <w:t xml:space="preserve">: </w:t>
      </w:r>
      <w:r w:rsidR="0021792C">
        <w:rPr>
          <w:rFonts w:ascii="Arial" w:hAnsi="Arial" w:cs="Arial"/>
          <w:color w:val="24292E"/>
          <w:shd w:val="clear" w:color="auto" w:fill="FFFFFF"/>
        </w:rPr>
        <w:t>Description of each ceramic vessel locally produced (not imported to this cemetery).  The pottery type and vessel shape when known are followed by the number of that kind found in the tomb.</w:t>
      </w:r>
    </w:p>
    <w:p w:rsidR="000E1B59" w:rsidRPr="0021792C" w:rsidRDefault="000E1B59" w:rsidP="0021792C">
      <w:pPr>
        <w:spacing w:before="240"/>
        <w:rPr>
          <w:rFonts w:ascii="Arial" w:hAnsi="Arial" w:cs="Arial"/>
          <w:color w:val="24292E"/>
          <w:shd w:val="clear" w:color="auto" w:fill="FFFFFF"/>
        </w:rPr>
      </w:pPr>
      <w:proofErr w:type="spellStart"/>
      <w:r w:rsidRPr="000E1B59">
        <w:rPr>
          <w:rFonts w:ascii="Arial" w:eastAsia="Times New Roman" w:hAnsi="Arial" w:cs="Arial"/>
          <w:b/>
          <w:color w:val="000000"/>
        </w:rPr>
        <w:t>NoRitualItems</w:t>
      </w:r>
      <w:proofErr w:type="spellEnd"/>
      <w:r w:rsidR="0021792C">
        <w:rPr>
          <w:rFonts w:ascii="Arial" w:eastAsia="Times New Roman" w:hAnsi="Arial" w:cs="Arial"/>
          <w:b/>
          <w:color w:val="000000"/>
        </w:rPr>
        <w:t xml:space="preserve">: </w:t>
      </w:r>
      <w:r w:rsidR="0021792C">
        <w:rPr>
          <w:rFonts w:ascii="Arial" w:eastAsia="Times New Roman" w:hAnsi="Arial" w:cs="Arial"/>
          <w:color w:val="000000"/>
        </w:rPr>
        <w:t xml:space="preserve">Number of </w:t>
      </w:r>
      <w:r w:rsidR="00A57DD0">
        <w:rPr>
          <w:rFonts w:ascii="Arial" w:eastAsia="Times New Roman" w:hAnsi="Arial" w:cs="Arial"/>
          <w:color w:val="000000"/>
        </w:rPr>
        <w:t>objects</w:t>
      </w:r>
      <w:r w:rsidR="0021792C">
        <w:rPr>
          <w:rFonts w:ascii="Arial" w:eastAsia="Times New Roman" w:hAnsi="Arial" w:cs="Arial"/>
          <w:color w:val="000000"/>
        </w:rPr>
        <w:t xml:space="preserve"> within tomb that are decorated with ritual iconography (ceramic vessels for example), or are representative of ritual behavior (models of daggers or quadrupeds for example)</w:t>
      </w:r>
      <w:r w:rsidR="00B16105">
        <w:rPr>
          <w:rFonts w:ascii="Arial" w:eastAsia="Times New Roman" w:hAnsi="Arial" w:cs="Arial"/>
          <w:color w:val="000000"/>
        </w:rPr>
        <w:t xml:space="preserve"> found in the tomb</w:t>
      </w:r>
      <w:r w:rsidR="0021792C">
        <w:rPr>
          <w:rFonts w:ascii="Arial" w:eastAsia="Times New Roman" w:hAnsi="Arial" w:cs="Arial"/>
          <w:color w:val="000000"/>
        </w:rPr>
        <w:t>.</w:t>
      </w:r>
    </w:p>
    <w:p w:rsidR="000E1B59" w:rsidRDefault="000E1B59" w:rsidP="000E1B59">
      <w:pPr>
        <w:spacing w:before="240" w:after="0" w:line="240" w:lineRule="auto"/>
        <w:rPr>
          <w:rFonts w:ascii="Arial" w:eastAsia="Times New Roman" w:hAnsi="Arial" w:cs="Arial"/>
          <w:color w:val="000000"/>
        </w:rPr>
      </w:pPr>
      <w:proofErr w:type="spellStart"/>
      <w:r w:rsidRPr="000E1B59">
        <w:rPr>
          <w:rFonts w:ascii="Arial" w:eastAsia="Times New Roman" w:hAnsi="Arial" w:cs="Arial"/>
          <w:b/>
          <w:color w:val="000000"/>
        </w:rPr>
        <w:t>RitualItemDesc</w:t>
      </w:r>
      <w:proofErr w:type="spellEnd"/>
      <w:r w:rsidR="0021792C">
        <w:rPr>
          <w:rFonts w:ascii="Arial" w:eastAsia="Times New Roman" w:hAnsi="Arial" w:cs="Arial"/>
          <w:b/>
          <w:color w:val="000000"/>
        </w:rPr>
        <w:t xml:space="preserve">: </w:t>
      </w:r>
      <w:r w:rsidR="0021792C">
        <w:rPr>
          <w:rFonts w:ascii="Arial" w:eastAsia="Times New Roman" w:hAnsi="Arial" w:cs="Arial"/>
          <w:color w:val="000000"/>
        </w:rPr>
        <w:t xml:space="preserve">Description of each ritual item found in tomb followed by the number of </w:t>
      </w:r>
      <w:r w:rsidR="00E9024B">
        <w:rPr>
          <w:rFonts w:ascii="Arial" w:eastAsia="Times New Roman" w:hAnsi="Arial" w:cs="Arial"/>
          <w:color w:val="000000"/>
        </w:rPr>
        <w:t>each kind of item</w:t>
      </w:r>
      <w:r w:rsidR="0021792C">
        <w:rPr>
          <w:rFonts w:ascii="Arial" w:eastAsia="Times New Roman" w:hAnsi="Arial" w:cs="Arial"/>
          <w:color w:val="000000"/>
        </w:rPr>
        <w:t xml:space="preserve"> found in the tomb.</w:t>
      </w:r>
    </w:p>
    <w:p w:rsidR="0021792C" w:rsidRPr="0021792C"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NoFeastingSpecial</w:t>
      </w:r>
      <w:proofErr w:type="spellEnd"/>
      <w:r>
        <w:rPr>
          <w:rFonts w:ascii="Arial" w:eastAsia="Times New Roman" w:hAnsi="Arial" w:cs="Arial"/>
          <w:b/>
          <w:color w:val="000000"/>
        </w:rPr>
        <w:t xml:space="preserve">: </w:t>
      </w:r>
      <w:r>
        <w:rPr>
          <w:rFonts w:ascii="Arial" w:eastAsia="Times New Roman" w:hAnsi="Arial" w:cs="Arial"/>
          <w:color w:val="000000"/>
        </w:rPr>
        <w:t>Number of ceramic vessels that are specialized feasting vessels such as drinking cups, footed bowls and composite vessels contained in the tomb.</w:t>
      </w:r>
    </w:p>
    <w:p w:rsidR="0021792C"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FeastingSpecialDesc</w:t>
      </w:r>
      <w:proofErr w:type="spellEnd"/>
      <w:r>
        <w:rPr>
          <w:rFonts w:ascii="Arial" w:eastAsia="Times New Roman" w:hAnsi="Arial" w:cs="Arial"/>
          <w:b/>
          <w:color w:val="000000"/>
        </w:rPr>
        <w:t xml:space="preserve">: </w:t>
      </w:r>
      <w:r>
        <w:rPr>
          <w:rFonts w:ascii="Arial" w:eastAsia="Times New Roman" w:hAnsi="Arial" w:cs="Arial"/>
          <w:color w:val="000000"/>
        </w:rPr>
        <w:t>Description of each ceramic vessel that functioned as a specialized feasting ve</w:t>
      </w:r>
      <w:r w:rsidR="00E9024B">
        <w:rPr>
          <w:rFonts w:ascii="Arial" w:eastAsia="Times New Roman" w:hAnsi="Arial" w:cs="Arial"/>
          <w:color w:val="000000"/>
        </w:rPr>
        <w:t>ssel followed by the number of each kind of item</w:t>
      </w:r>
      <w:r>
        <w:rPr>
          <w:rFonts w:ascii="Arial" w:eastAsia="Times New Roman" w:hAnsi="Arial" w:cs="Arial"/>
          <w:color w:val="000000"/>
        </w:rPr>
        <w:t xml:space="preserve"> found in the tomb.  This column also contains notes about high number</w:t>
      </w:r>
      <w:r w:rsidR="00B16105">
        <w:rPr>
          <w:rFonts w:ascii="Arial" w:eastAsia="Times New Roman" w:hAnsi="Arial" w:cs="Arial"/>
          <w:color w:val="000000"/>
        </w:rPr>
        <w:t>s</w:t>
      </w:r>
      <w:r>
        <w:rPr>
          <w:rFonts w:ascii="Arial" w:eastAsia="Times New Roman" w:hAnsi="Arial" w:cs="Arial"/>
          <w:color w:val="000000"/>
        </w:rPr>
        <w:t xml:space="preserve"> of vessels or </w:t>
      </w:r>
      <w:proofErr w:type="gramStart"/>
      <w:r>
        <w:rPr>
          <w:rFonts w:ascii="Arial" w:eastAsia="Times New Roman" w:hAnsi="Arial" w:cs="Arial"/>
          <w:color w:val="000000"/>
        </w:rPr>
        <w:t>high volume</w:t>
      </w:r>
      <w:proofErr w:type="gramEnd"/>
      <w:r>
        <w:rPr>
          <w:rFonts w:ascii="Arial" w:eastAsia="Times New Roman" w:hAnsi="Arial" w:cs="Arial"/>
          <w:color w:val="000000"/>
        </w:rPr>
        <w:t xml:space="preserve"> vessels that may have been found in a tomb.  These are not included in the </w:t>
      </w:r>
      <w:proofErr w:type="spellStart"/>
      <w:r w:rsidRPr="0021792C">
        <w:rPr>
          <w:rFonts w:ascii="Arial" w:eastAsia="Times New Roman" w:hAnsi="Arial" w:cs="Arial"/>
          <w:b/>
          <w:color w:val="000000"/>
        </w:rPr>
        <w:t>NoFeastingSpecial</w:t>
      </w:r>
      <w:proofErr w:type="spellEnd"/>
      <w:r w:rsidRPr="0021792C">
        <w:rPr>
          <w:rFonts w:ascii="Arial" w:eastAsia="Times New Roman" w:hAnsi="Arial" w:cs="Arial"/>
          <w:b/>
          <w:color w:val="000000"/>
        </w:rPr>
        <w:t xml:space="preserve"> </w:t>
      </w:r>
      <w:r>
        <w:rPr>
          <w:rFonts w:ascii="Arial" w:eastAsia="Times New Roman" w:hAnsi="Arial" w:cs="Arial"/>
          <w:color w:val="000000"/>
        </w:rPr>
        <w:t xml:space="preserve">column. </w:t>
      </w:r>
    </w:p>
    <w:p w:rsidR="0021792C" w:rsidRPr="0021792C"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NoCuLocalArtifacts</w:t>
      </w:r>
      <w:proofErr w:type="spellEnd"/>
      <w:r>
        <w:rPr>
          <w:rFonts w:ascii="Arial" w:eastAsia="Times New Roman" w:hAnsi="Arial" w:cs="Arial"/>
          <w:b/>
          <w:color w:val="000000"/>
        </w:rPr>
        <w:t xml:space="preserve">: </w:t>
      </w:r>
      <w:r>
        <w:rPr>
          <w:rFonts w:ascii="Arial" w:eastAsia="Times New Roman" w:hAnsi="Arial" w:cs="Arial"/>
          <w:color w:val="000000"/>
        </w:rPr>
        <w:t>Number of copper-based artifacts that have either been sourced and determined to be made on Cyprus or are thought to be made on Cyprus</w:t>
      </w:r>
      <w:r w:rsidR="00B16105">
        <w:rPr>
          <w:rFonts w:ascii="Arial" w:eastAsia="Times New Roman" w:hAnsi="Arial" w:cs="Arial"/>
          <w:color w:val="000000"/>
        </w:rPr>
        <w:t xml:space="preserve"> found in the tomb</w:t>
      </w:r>
      <w:r>
        <w:rPr>
          <w:rFonts w:ascii="Arial" w:eastAsia="Times New Roman" w:hAnsi="Arial" w:cs="Arial"/>
          <w:color w:val="000000"/>
        </w:rPr>
        <w:t xml:space="preserve">. </w:t>
      </w:r>
    </w:p>
    <w:p w:rsidR="0021792C" w:rsidRPr="00E9024B"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CuLocalArtifactsDesc</w:t>
      </w:r>
      <w:proofErr w:type="spellEnd"/>
      <w:r w:rsidR="00E9024B">
        <w:rPr>
          <w:rFonts w:ascii="Arial" w:eastAsia="Times New Roman" w:hAnsi="Arial" w:cs="Arial"/>
          <w:b/>
          <w:color w:val="000000"/>
        </w:rPr>
        <w:t xml:space="preserve">: </w:t>
      </w:r>
      <w:r w:rsidR="00E9024B">
        <w:rPr>
          <w:rFonts w:ascii="Arial" w:eastAsia="Times New Roman" w:hAnsi="Arial" w:cs="Arial"/>
          <w:color w:val="000000"/>
        </w:rPr>
        <w:t>Description of copper-based artifacts that have either been sourced and determined to be made on Cyprus or are thought to be made on Cyprus followed by the number of each kind of item found in the tomb.</w:t>
      </w:r>
    </w:p>
    <w:p w:rsidR="0021792C" w:rsidRPr="00E9024B"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NoBrzArtifacts</w:t>
      </w:r>
      <w:proofErr w:type="spellEnd"/>
      <w:r w:rsidR="00E9024B">
        <w:rPr>
          <w:rFonts w:ascii="Arial" w:eastAsia="Times New Roman" w:hAnsi="Arial" w:cs="Arial"/>
          <w:b/>
          <w:color w:val="000000"/>
        </w:rPr>
        <w:t xml:space="preserve">: </w:t>
      </w:r>
      <w:r w:rsidR="00E9024B">
        <w:rPr>
          <w:rFonts w:ascii="Arial" w:eastAsia="Times New Roman" w:hAnsi="Arial" w:cs="Arial"/>
          <w:color w:val="000000"/>
        </w:rPr>
        <w:t>Number of tin-bronze artifacts that have been sourced and determined to be made of tin-bronze</w:t>
      </w:r>
      <w:r w:rsidR="00B16105">
        <w:rPr>
          <w:rFonts w:ascii="Arial" w:eastAsia="Times New Roman" w:hAnsi="Arial" w:cs="Arial"/>
          <w:color w:val="000000"/>
        </w:rPr>
        <w:t xml:space="preserve"> found in tomb</w:t>
      </w:r>
      <w:r w:rsidR="00E9024B">
        <w:rPr>
          <w:rFonts w:ascii="Arial" w:eastAsia="Times New Roman" w:hAnsi="Arial" w:cs="Arial"/>
          <w:color w:val="000000"/>
        </w:rPr>
        <w:t>.</w:t>
      </w:r>
    </w:p>
    <w:p w:rsidR="0021792C" w:rsidRPr="00E9024B"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BrzArtifactsDesc</w:t>
      </w:r>
      <w:proofErr w:type="spellEnd"/>
      <w:r w:rsidR="00E9024B">
        <w:rPr>
          <w:rFonts w:ascii="Arial" w:eastAsia="Times New Roman" w:hAnsi="Arial" w:cs="Arial"/>
          <w:b/>
          <w:color w:val="000000"/>
        </w:rPr>
        <w:t xml:space="preserve">: </w:t>
      </w:r>
      <w:r w:rsidR="00E9024B">
        <w:rPr>
          <w:rFonts w:ascii="Arial" w:eastAsia="Times New Roman" w:hAnsi="Arial" w:cs="Arial"/>
          <w:color w:val="000000"/>
        </w:rPr>
        <w:t xml:space="preserve">Description of tin-bronze artifacts followed by the number of each kind of </w:t>
      </w:r>
      <w:r w:rsidR="00951156">
        <w:rPr>
          <w:rFonts w:ascii="Arial" w:eastAsia="Times New Roman" w:hAnsi="Arial" w:cs="Arial"/>
          <w:color w:val="000000"/>
        </w:rPr>
        <w:t>item</w:t>
      </w:r>
      <w:r w:rsidR="00E9024B">
        <w:rPr>
          <w:rFonts w:ascii="Arial" w:eastAsia="Times New Roman" w:hAnsi="Arial" w:cs="Arial"/>
          <w:color w:val="000000"/>
        </w:rPr>
        <w:t xml:space="preserve"> found in the tomb.</w:t>
      </w:r>
    </w:p>
    <w:p w:rsidR="0021792C" w:rsidRPr="00951156"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NoOtherMetalImports</w:t>
      </w:r>
      <w:proofErr w:type="spellEnd"/>
      <w:r w:rsidR="00E9024B">
        <w:rPr>
          <w:rFonts w:ascii="Arial" w:eastAsia="Times New Roman" w:hAnsi="Arial" w:cs="Arial"/>
          <w:b/>
          <w:color w:val="000000"/>
        </w:rPr>
        <w:t xml:space="preserve">: </w:t>
      </w:r>
      <w:r w:rsidR="00E9024B" w:rsidRPr="00951156">
        <w:rPr>
          <w:rFonts w:ascii="Arial" w:eastAsia="Times New Roman" w:hAnsi="Arial" w:cs="Arial"/>
          <w:color w:val="000000"/>
        </w:rPr>
        <w:t xml:space="preserve">Number of other metal objects that are imported to Cyprus including objects of gold, silver, electrum, </w:t>
      </w:r>
      <w:r w:rsidR="00951156" w:rsidRPr="00951156">
        <w:rPr>
          <w:rFonts w:ascii="Arial" w:eastAsia="Times New Roman" w:hAnsi="Arial" w:cs="Arial"/>
          <w:color w:val="000000"/>
        </w:rPr>
        <w:t>lead, etc.</w:t>
      </w:r>
      <w:r w:rsidR="00951156">
        <w:rPr>
          <w:rFonts w:ascii="Arial" w:eastAsia="Times New Roman" w:hAnsi="Arial" w:cs="Arial"/>
          <w:color w:val="000000"/>
        </w:rPr>
        <w:t xml:space="preserve"> found in the tomb.</w:t>
      </w:r>
    </w:p>
    <w:p w:rsidR="00862450" w:rsidRDefault="0021792C" w:rsidP="0021792C">
      <w:pPr>
        <w:spacing w:before="240" w:after="0" w:line="240" w:lineRule="auto"/>
        <w:rPr>
          <w:rFonts w:ascii="Arial" w:eastAsia="Times New Roman" w:hAnsi="Arial" w:cs="Arial"/>
          <w:color w:val="000000"/>
        </w:rPr>
      </w:pPr>
      <w:proofErr w:type="spellStart"/>
      <w:r w:rsidRPr="0021792C">
        <w:rPr>
          <w:rFonts w:ascii="Arial" w:eastAsia="Times New Roman" w:hAnsi="Arial" w:cs="Arial"/>
          <w:b/>
          <w:color w:val="000000"/>
        </w:rPr>
        <w:t>OtherMetalImportsDesc</w:t>
      </w:r>
      <w:proofErr w:type="spellEnd"/>
      <w:r w:rsidR="00951156">
        <w:rPr>
          <w:rFonts w:ascii="Arial" w:eastAsia="Times New Roman" w:hAnsi="Arial" w:cs="Arial"/>
          <w:b/>
          <w:color w:val="000000"/>
        </w:rPr>
        <w:t xml:space="preserve">: </w:t>
      </w:r>
      <w:r w:rsidR="00951156">
        <w:rPr>
          <w:rFonts w:ascii="Arial" w:eastAsia="Times New Roman" w:hAnsi="Arial" w:cs="Arial"/>
          <w:color w:val="000000"/>
        </w:rPr>
        <w:t>Description of other metal objects followed by the number of each kind of item found in the tomb.</w:t>
      </w:r>
    </w:p>
    <w:p w:rsidR="00951156" w:rsidRPr="00862450" w:rsidRDefault="00951156" w:rsidP="00862450">
      <w:pPr>
        <w:spacing w:before="240" w:after="0" w:line="240" w:lineRule="auto"/>
        <w:rPr>
          <w:rFonts w:ascii="Arial" w:eastAsia="Times New Roman" w:hAnsi="Arial" w:cs="Arial"/>
          <w:b/>
          <w:color w:val="000000"/>
        </w:rPr>
      </w:pPr>
      <w:proofErr w:type="spellStart"/>
      <w:r w:rsidRPr="00862450">
        <w:rPr>
          <w:rFonts w:ascii="Arial" w:eastAsia="Times New Roman" w:hAnsi="Arial" w:cs="Arial"/>
          <w:b/>
          <w:color w:val="000000"/>
        </w:rPr>
        <w:t>NoAnimalBone</w:t>
      </w:r>
      <w:proofErr w:type="spellEnd"/>
      <w:r w:rsidR="00862450">
        <w:rPr>
          <w:rFonts w:ascii="Arial" w:eastAsia="Times New Roman" w:hAnsi="Arial" w:cs="Arial"/>
          <w:b/>
          <w:color w:val="000000"/>
        </w:rPr>
        <w:t xml:space="preserve">: </w:t>
      </w:r>
      <w:r w:rsidR="00862450" w:rsidRPr="00862450">
        <w:rPr>
          <w:rFonts w:ascii="Arial" w:eastAsia="Times New Roman" w:hAnsi="Arial" w:cs="Arial"/>
          <w:color w:val="000000"/>
        </w:rPr>
        <w:t xml:space="preserve">Number of animal bones found in tombs that were part of mortuary feasts. </w:t>
      </w:r>
    </w:p>
    <w:p w:rsidR="00951156" w:rsidRPr="00862450" w:rsidRDefault="00951156" w:rsidP="00862450">
      <w:pPr>
        <w:spacing w:before="240" w:after="0" w:line="240" w:lineRule="auto"/>
        <w:rPr>
          <w:rFonts w:ascii="Arial" w:eastAsia="Times New Roman" w:hAnsi="Arial" w:cs="Arial"/>
          <w:b/>
          <w:color w:val="000000"/>
        </w:rPr>
      </w:pPr>
      <w:proofErr w:type="spellStart"/>
      <w:r w:rsidRPr="00862450">
        <w:rPr>
          <w:rFonts w:ascii="Arial" w:eastAsia="Times New Roman" w:hAnsi="Arial" w:cs="Arial"/>
          <w:b/>
          <w:color w:val="000000"/>
        </w:rPr>
        <w:t>AnimalBoneDesc</w:t>
      </w:r>
      <w:proofErr w:type="spellEnd"/>
      <w:r w:rsidR="00862450">
        <w:rPr>
          <w:rFonts w:ascii="Arial" w:eastAsia="Times New Roman" w:hAnsi="Arial" w:cs="Arial"/>
          <w:b/>
          <w:color w:val="000000"/>
        </w:rPr>
        <w:t xml:space="preserve">: </w:t>
      </w:r>
      <w:r w:rsidR="00862450" w:rsidRPr="00862450">
        <w:rPr>
          <w:rFonts w:ascii="Arial" w:eastAsia="Times New Roman" w:hAnsi="Arial" w:cs="Arial"/>
          <w:color w:val="000000"/>
        </w:rPr>
        <w:t xml:space="preserve">Description of animal bones followed by the number of each kind found in </w:t>
      </w:r>
      <w:r w:rsidR="00862450">
        <w:rPr>
          <w:rFonts w:ascii="Arial" w:eastAsia="Times New Roman" w:hAnsi="Arial" w:cs="Arial"/>
          <w:color w:val="000000"/>
        </w:rPr>
        <w:t>the tomb</w:t>
      </w:r>
      <w:r w:rsidR="00862450" w:rsidRPr="00862450">
        <w:rPr>
          <w:rFonts w:ascii="Arial" w:eastAsia="Times New Roman" w:hAnsi="Arial" w:cs="Arial"/>
          <w:color w:val="000000"/>
        </w:rPr>
        <w:t>.</w:t>
      </w:r>
      <w:r w:rsidR="00862450">
        <w:rPr>
          <w:rFonts w:ascii="Arial" w:eastAsia="Times New Roman" w:hAnsi="Arial" w:cs="Arial"/>
          <w:b/>
          <w:color w:val="000000"/>
        </w:rPr>
        <w:t xml:space="preserve"> </w:t>
      </w:r>
    </w:p>
    <w:p w:rsidR="00951156" w:rsidRPr="00862450" w:rsidRDefault="00951156"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NoOtherInterRegionalImport</w:t>
      </w:r>
      <w:proofErr w:type="spellEnd"/>
      <w:r w:rsidR="00862450">
        <w:rPr>
          <w:rFonts w:ascii="Arial" w:eastAsia="Times New Roman" w:hAnsi="Arial" w:cs="Arial"/>
          <w:b/>
          <w:color w:val="000000"/>
        </w:rPr>
        <w:t xml:space="preserve">: </w:t>
      </w:r>
      <w:r w:rsidR="00862450">
        <w:rPr>
          <w:rFonts w:ascii="Arial" w:eastAsia="Times New Roman" w:hAnsi="Arial" w:cs="Arial"/>
          <w:color w:val="000000"/>
        </w:rPr>
        <w:t xml:space="preserve">Number of </w:t>
      </w:r>
      <w:r w:rsidR="00A57DD0">
        <w:rPr>
          <w:rFonts w:ascii="Arial" w:eastAsia="Times New Roman" w:hAnsi="Arial" w:cs="Arial"/>
          <w:color w:val="000000"/>
        </w:rPr>
        <w:t>objects</w:t>
      </w:r>
      <w:r w:rsidR="00862450">
        <w:rPr>
          <w:rFonts w:ascii="Arial" w:eastAsia="Times New Roman" w:hAnsi="Arial" w:cs="Arial"/>
          <w:color w:val="000000"/>
        </w:rPr>
        <w:t xml:space="preserve"> imported from other regions on Cyprus other than pottery (</w:t>
      </w:r>
      <w:r w:rsidR="00A57DD0">
        <w:rPr>
          <w:rFonts w:ascii="Arial" w:eastAsia="Times New Roman" w:hAnsi="Arial" w:cs="Arial"/>
          <w:color w:val="000000"/>
        </w:rPr>
        <w:t xml:space="preserve">excluding </w:t>
      </w:r>
      <w:proofErr w:type="spellStart"/>
      <w:r w:rsidR="00A57DD0">
        <w:rPr>
          <w:rFonts w:ascii="Arial" w:eastAsia="Times New Roman" w:hAnsi="Arial" w:cs="Arial"/>
          <w:color w:val="000000"/>
        </w:rPr>
        <w:t>picrolite</w:t>
      </w:r>
      <w:proofErr w:type="spellEnd"/>
      <w:r w:rsidR="00862450">
        <w:rPr>
          <w:rFonts w:ascii="Arial" w:eastAsia="Times New Roman" w:hAnsi="Arial" w:cs="Arial"/>
          <w:color w:val="000000"/>
        </w:rPr>
        <w:t xml:space="preserve">).  </w:t>
      </w:r>
    </w:p>
    <w:p w:rsidR="00951156" w:rsidRPr="00862450" w:rsidRDefault="00951156"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lastRenderedPageBreak/>
        <w:t>OtherInterRegionalImportDesc</w:t>
      </w:r>
      <w:proofErr w:type="spellEnd"/>
      <w:r w:rsidR="00862450">
        <w:rPr>
          <w:rFonts w:ascii="Arial" w:eastAsia="Times New Roman" w:hAnsi="Arial" w:cs="Arial"/>
          <w:b/>
          <w:color w:val="000000"/>
        </w:rPr>
        <w:t xml:space="preserve">: </w:t>
      </w:r>
      <w:r w:rsidR="00862450">
        <w:rPr>
          <w:rFonts w:ascii="Arial" w:eastAsia="Times New Roman" w:hAnsi="Arial" w:cs="Arial"/>
          <w:color w:val="000000"/>
        </w:rPr>
        <w:t xml:space="preserve">Description of </w:t>
      </w:r>
      <w:r w:rsidR="00A57DD0">
        <w:rPr>
          <w:rFonts w:ascii="Arial" w:eastAsia="Times New Roman" w:hAnsi="Arial" w:cs="Arial"/>
          <w:color w:val="000000"/>
        </w:rPr>
        <w:t>objects</w:t>
      </w:r>
      <w:r w:rsidR="00862450">
        <w:rPr>
          <w:rFonts w:ascii="Arial" w:eastAsia="Times New Roman" w:hAnsi="Arial" w:cs="Arial"/>
          <w:color w:val="000000"/>
        </w:rPr>
        <w:t xml:space="preserve"> imported from other regions on Cyprus other than pottery followed by the number of each kind found in the tomb. </w:t>
      </w:r>
    </w:p>
    <w:p w:rsidR="00951156" w:rsidRPr="00862450" w:rsidRDefault="00951156"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NoOtherInternationalImport</w:t>
      </w:r>
      <w:proofErr w:type="spellEnd"/>
      <w:r w:rsidR="00862450">
        <w:rPr>
          <w:rFonts w:ascii="Arial" w:eastAsia="Times New Roman" w:hAnsi="Arial" w:cs="Arial"/>
          <w:b/>
          <w:color w:val="000000"/>
        </w:rPr>
        <w:t xml:space="preserve">: </w:t>
      </w:r>
      <w:r w:rsidR="00862450">
        <w:rPr>
          <w:rFonts w:ascii="Arial" w:eastAsia="Times New Roman" w:hAnsi="Arial" w:cs="Arial"/>
          <w:color w:val="000000"/>
        </w:rPr>
        <w:t xml:space="preserve">Number of </w:t>
      </w:r>
      <w:r w:rsidR="00A57DD0">
        <w:rPr>
          <w:rFonts w:ascii="Arial" w:eastAsia="Times New Roman" w:hAnsi="Arial" w:cs="Arial"/>
          <w:color w:val="000000"/>
        </w:rPr>
        <w:t>objects</w:t>
      </w:r>
      <w:r w:rsidR="00862450">
        <w:rPr>
          <w:rFonts w:ascii="Arial" w:eastAsia="Times New Roman" w:hAnsi="Arial" w:cs="Arial"/>
          <w:color w:val="000000"/>
        </w:rPr>
        <w:t xml:space="preserve"> imported from outside of Cyprus (international imports) other than pottery (stone, faience or paste, etc.</w:t>
      </w:r>
      <w:r w:rsidR="00A57DD0">
        <w:rPr>
          <w:rFonts w:ascii="Arial" w:eastAsia="Times New Roman" w:hAnsi="Arial" w:cs="Arial"/>
          <w:color w:val="000000"/>
        </w:rPr>
        <w:t>) found in the tomb.</w:t>
      </w:r>
    </w:p>
    <w:p w:rsidR="00951156" w:rsidRPr="00862450" w:rsidRDefault="00951156"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OtherInternationalImportDesc</w:t>
      </w:r>
      <w:proofErr w:type="spellEnd"/>
      <w:r w:rsidR="00862450">
        <w:rPr>
          <w:rFonts w:ascii="Arial" w:eastAsia="Times New Roman" w:hAnsi="Arial" w:cs="Arial"/>
          <w:b/>
          <w:color w:val="000000"/>
        </w:rPr>
        <w:t xml:space="preserve">: </w:t>
      </w:r>
      <w:r w:rsidR="00862450">
        <w:rPr>
          <w:rFonts w:ascii="Arial" w:eastAsia="Times New Roman" w:hAnsi="Arial" w:cs="Arial"/>
          <w:color w:val="000000"/>
        </w:rPr>
        <w:t xml:space="preserve">Description of </w:t>
      </w:r>
      <w:r w:rsidR="00A57DD0">
        <w:rPr>
          <w:rFonts w:ascii="Arial" w:eastAsia="Times New Roman" w:hAnsi="Arial" w:cs="Arial"/>
          <w:color w:val="000000"/>
        </w:rPr>
        <w:t>objects</w:t>
      </w:r>
      <w:r w:rsidR="00862450">
        <w:rPr>
          <w:rFonts w:ascii="Arial" w:eastAsia="Times New Roman" w:hAnsi="Arial" w:cs="Arial"/>
          <w:color w:val="000000"/>
        </w:rPr>
        <w:t xml:space="preserve"> imported from outside of Cyprus (international imports) other than pottery followed by the number of each kind found in the tomb.</w:t>
      </w:r>
    </w:p>
    <w:p w:rsidR="00951156" w:rsidRPr="00862450" w:rsidRDefault="00951156"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NoOtherLocalGoods</w:t>
      </w:r>
      <w:proofErr w:type="spellEnd"/>
      <w:r w:rsidR="00862450">
        <w:rPr>
          <w:rFonts w:ascii="Arial" w:eastAsia="Times New Roman" w:hAnsi="Arial" w:cs="Arial"/>
          <w:b/>
          <w:color w:val="000000"/>
        </w:rPr>
        <w:t xml:space="preserve">: </w:t>
      </w:r>
      <w:r w:rsidR="00862450">
        <w:rPr>
          <w:rFonts w:ascii="Arial" w:eastAsia="Times New Roman" w:hAnsi="Arial" w:cs="Arial"/>
          <w:color w:val="000000"/>
        </w:rPr>
        <w:t xml:space="preserve">Number of locally produced (not imported to this cemetery) objects other than </w:t>
      </w:r>
      <w:r w:rsidR="00B16105">
        <w:rPr>
          <w:rFonts w:ascii="Arial" w:eastAsia="Times New Roman" w:hAnsi="Arial" w:cs="Arial"/>
          <w:color w:val="000000"/>
        </w:rPr>
        <w:t>ceramic vessels</w:t>
      </w:r>
      <w:r w:rsidR="00862450">
        <w:rPr>
          <w:rFonts w:ascii="Arial" w:eastAsia="Times New Roman" w:hAnsi="Arial" w:cs="Arial"/>
          <w:color w:val="000000"/>
        </w:rPr>
        <w:t xml:space="preserve"> (stone, bone, </w:t>
      </w:r>
      <w:proofErr w:type="spellStart"/>
      <w:r w:rsidR="00862450">
        <w:rPr>
          <w:rFonts w:ascii="Arial" w:eastAsia="Times New Roman" w:hAnsi="Arial" w:cs="Arial"/>
          <w:color w:val="000000"/>
        </w:rPr>
        <w:t>spindlewhorls</w:t>
      </w:r>
      <w:proofErr w:type="spellEnd"/>
      <w:r w:rsidR="00862450">
        <w:rPr>
          <w:rFonts w:ascii="Arial" w:eastAsia="Times New Roman" w:hAnsi="Arial" w:cs="Arial"/>
          <w:color w:val="000000"/>
        </w:rPr>
        <w:t xml:space="preserve">, </w:t>
      </w:r>
      <w:r w:rsidR="00A57DD0">
        <w:rPr>
          <w:rFonts w:ascii="Arial" w:eastAsia="Times New Roman" w:hAnsi="Arial" w:cs="Arial"/>
          <w:color w:val="000000"/>
        </w:rPr>
        <w:t xml:space="preserve">excluding </w:t>
      </w:r>
      <w:proofErr w:type="spellStart"/>
      <w:r w:rsidR="00A57DD0">
        <w:rPr>
          <w:rFonts w:ascii="Arial" w:eastAsia="Times New Roman" w:hAnsi="Arial" w:cs="Arial"/>
          <w:color w:val="000000"/>
        </w:rPr>
        <w:t>picrolite</w:t>
      </w:r>
      <w:proofErr w:type="spellEnd"/>
      <w:r w:rsidR="00862450">
        <w:rPr>
          <w:rFonts w:ascii="Arial" w:eastAsia="Times New Roman" w:hAnsi="Arial" w:cs="Arial"/>
          <w:color w:val="000000"/>
        </w:rPr>
        <w:t>.)</w:t>
      </w:r>
      <w:r w:rsidR="00A57DD0">
        <w:rPr>
          <w:rFonts w:ascii="Arial" w:eastAsia="Times New Roman" w:hAnsi="Arial" w:cs="Arial"/>
          <w:color w:val="000000"/>
        </w:rPr>
        <w:t xml:space="preserve"> found in the tomb</w:t>
      </w:r>
      <w:r w:rsidR="00862450">
        <w:rPr>
          <w:rFonts w:ascii="Arial" w:eastAsia="Times New Roman" w:hAnsi="Arial" w:cs="Arial"/>
          <w:color w:val="000000"/>
        </w:rPr>
        <w:t>.</w:t>
      </w:r>
    </w:p>
    <w:p w:rsidR="00951156" w:rsidRDefault="00951156"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OtherLocalGoodsDesc</w:t>
      </w:r>
      <w:proofErr w:type="spellEnd"/>
      <w:r w:rsidR="00862450">
        <w:rPr>
          <w:rFonts w:ascii="Arial" w:eastAsia="Times New Roman" w:hAnsi="Arial" w:cs="Arial"/>
          <w:b/>
          <w:color w:val="000000"/>
        </w:rPr>
        <w:t xml:space="preserve">: </w:t>
      </w:r>
      <w:r w:rsidR="00862450">
        <w:rPr>
          <w:rFonts w:ascii="Arial" w:eastAsia="Times New Roman" w:hAnsi="Arial" w:cs="Arial"/>
          <w:color w:val="000000"/>
        </w:rPr>
        <w:t xml:space="preserve">Description of locally produced </w:t>
      </w:r>
      <w:r w:rsidR="00A57DD0">
        <w:rPr>
          <w:rFonts w:ascii="Arial" w:eastAsia="Times New Roman" w:hAnsi="Arial" w:cs="Arial"/>
          <w:color w:val="000000"/>
        </w:rPr>
        <w:t>objects excluding</w:t>
      </w:r>
      <w:r w:rsidR="00B16105">
        <w:rPr>
          <w:rFonts w:ascii="Arial" w:eastAsia="Times New Roman" w:hAnsi="Arial" w:cs="Arial"/>
          <w:color w:val="000000"/>
        </w:rPr>
        <w:t xml:space="preserve"> ceramic vessels</w:t>
      </w:r>
      <w:r w:rsidR="00862450">
        <w:rPr>
          <w:rFonts w:ascii="Arial" w:eastAsia="Times New Roman" w:hAnsi="Arial" w:cs="Arial"/>
          <w:color w:val="000000"/>
        </w:rPr>
        <w:t xml:space="preserve"> followed by the number of each kind found in the tomb.</w:t>
      </w:r>
    </w:p>
    <w:p w:rsidR="00862450" w:rsidRPr="00862450" w:rsidRDefault="00862450"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NoIntraRegionalPotImport</w:t>
      </w:r>
      <w:proofErr w:type="spellEnd"/>
      <w:r>
        <w:rPr>
          <w:rFonts w:ascii="Arial" w:eastAsia="Times New Roman" w:hAnsi="Arial" w:cs="Arial"/>
          <w:b/>
          <w:color w:val="000000"/>
        </w:rPr>
        <w:t xml:space="preserve">: </w:t>
      </w:r>
      <w:r>
        <w:rPr>
          <w:rFonts w:ascii="Arial" w:eastAsia="Times New Roman" w:hAnsi="Arial" w:cs="Arial"/>
          <w:color w:val="000000"/>
        </w:rPr>
        <w:t>Number of</w:t>
      </w:r>
      <w:r w:rsidR="00A57DD0">
        <w:rPr>
          <w:rFonts w:ascii="Arial" w:eastAsia="Times New Roman" w:hAnsi="Arial" w:cs="Arial"/>
          <w:color w:val="000000"/>
        </w:rPr>
        <w:t xml:space="preserve"> ceramic vessels</w:t>
      </w:r>
      <w:r>
        <w:rPr>
          <w:rFonts w:ascii="Arial" w:eastAsia="Times New Roman" w:hAnsi="Arial" w:cs="Arial"/>
          <w:color w:val="000000"/>
        </w:rPr>
        <w:t xml:space="preserve"> imported from other com</w:t>
      </w:r>
      <w:r w:rsidR="00A57DD0">
        <w:rPr>
          <w:rFonts w:ascii="Arial" w:eastAsia="Times New Roman" w:hAnsi="Arial" w:cs="Arial"/>
          <w:color w:val="000000"/>
        </w:rPr>
        <w:t>munities within the same region contained in the tomb.</w:t>
      </w:r>
    </w:p>
    <w:p w:rsidR="00862450" w:rsidRPr="00A57DD0" w:rsidRDefault="00862450"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IntraRegionalImportPotDesc</w:t>
      </w:r>
      <w:proofErr w:type="spellEnd"/>
      <w:r w:rsidR="00A57DD0">
        <w:rPr>
          <w:rFonts w:ascii="Arial" w:eastAsia="Times New Roman" w:hAnsi="Arial" w:cs="Arial"/>
          <w:b/>
          <w:color w:val="000000"/>
        </w:rPr>
        <w:t xml:space="preserve">: </w:t>
      </w:r>
      <w:r w:rsidR="00A57DD0">
        <w:rPr>
          <w:rFonts w:ascii="Arial" w:hAnsi="Arial" w:cs="Arial"/>
          <w:color w:val="24292E"/>
          <w:shd w:val="clear" w:color="auto" w:fill="FFFFFF"/>
        </w:rPr>
        <w:t>Description of each ceramic vessel imported from other communities within the same region.  The pottery type and vessel shape when known are followed by the number of that kind found in the tomb.</w:t>
      </w:r>
    </w:p>
    <w:p w:rsidR="00862450" w:rsidRPr="00A57DD0" w:rsidRDefault="00862450"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NoIntraRegionalImport</w:t>
      </w:r>
      <w:proofErr w:type="spellEnd"/>
      <w:r w:rsidR="00A57DD0">
        <w:rPr>
          <w:rFonts w:ascii="Arial" w:eastAsia="Times New Roman" w:hAnsi="Arial" w:cs="Arial"/>
          <w:b/>
          <w:color w:val="000000"/>
        </w:rPr>
        <w:t xml:space="preserve">: </w:t>
      </w:r>
      <w:r w:rsidR="00A57DD0">
        <w:rPr>
          <w:rFonts w:ascii="Arial" w:eastAsia="Times New Roman" w:hAnsi="Arial" w:cs="Arial"/>
          <w:color w:val="000000"/>
        </w:rPr>
        <w:t>Number of objects imported from other communities excluding pottery within the same region found in the tomb (stone</w:t>
      </w:r>
      <w:r w:rsidR="00B16105">
        <w:rPr>
          <w:rFonts w:ascii="Arial" w:eastAsia="Times New Roman" w:hAnsi="Arial" w:cs="Arial"/>
          <w:color w:val="000000"/>
        </w:rPr>
        <w:t>,</w:t>
      </w:r>
      <w:bookmarkStart w:id="0" w:name="_GoBack"/>
      <w:bookmarkEnd w:id="0"/>
      <w:r w:rsidR="00A57DD0">
        <w:rPr>
          <w:rFonts w:ascii="Arial" w:eastAsia="Times New Roman" w:hAnsi="Arial" w:cs="Arial"/>
          <w:color w:val="000000"/>
        </w:rPr>
        <w:t xml:space="preserve"> excluding </w:t>
      </w:r>
      <w:proofErr w:type="spellStart"/>
      <w:r w:rsidR="00A57DD0">
        <w:rPr>
          <w:rFonts w:ascii="Arial" w:eastAsia="Times New Roman" w:hAnsi="Arial" w:cs="Arial"/>
          <w:color w:val="000000"/>
        </w:rPr>
        <w:t>picrolite</w:t>
      </w:r>
      <w:proofErr w:type="spellEnd"/>
      <w:r w:rsidR="00A57DD0">
        <w:rPr>
          <w:rFonts w:ascii="Arial" w:eastAsia="Times New Roman" w:hAnsi="Arial" w:cs="Arial"/>
          <w:color w:val="000000"/>
        </w:rPr>
        <w:t xml:space="preserve">). </w:t>
      </w:r>
    </w:p>
    <w:p w:rsidR="00862450" w:rsidRPr="00A57DD0" w:rsidRDefault="00862450"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IntraRegionalImportDesc</w:t>
      </w:r>
      <w:proofErr w:type="spellEnd"/>
      <w:r w:rsidR="00A57DD0">
        <w:rPr>
          <w:rFonts w:ascii="Arial" w:eastAsia="Times New Roman" w:hAnsi="Arial" w:cs="Arial"/>
          <w:b/>
          <w:color w:val="000000"/>
        </w:rPr>
        <w:t xml:space="preserve">: </w:t>
      </w:r>
      <w:r w:rsidR="00A57DD0">
        <w:rPr>
          <w:rFonts w:ascii="Arial" w:eastAsia="Times New Roman" w:hAnsi="Arial" w:cs="Arial"/>
          <w:color w:val="000000"/>
        </w:rPr>
        <w:t>Description of objects imported from other communities within the same region followed by the number of that kind found in the tomb.</w:t>
      </w:r>
    </w:p>
    <w:p w:rsidR="00862450" w:rsidRPr="00A57DD0" w:rsidRDefault="00862450"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NoLocalPicrolite</w:t>
      </w:r>
      <w:proofErr w:type="spellEnd"/>
      <w:r w:rsidR="00A57DD0">
        <w:rPr>
          <w:rFonts w:ascii="Arial" w:eastAsia="Times New Roman" w:hAnsi="Arial" w:cs="Arial"/>
          <w:b/>
          <w:color w:val="000000"/>
        </w:rPr>
        <w:t xml:space="preserve">: </w:t>
      </w:r>
      <w:r w:rsidR="00A57DD0" w:rsidRPr="00A57DD0">
        <w:rPr>
          <w:rFonts w:ascii="Arial" w:eastAsia="Times New Roman" w:hAnsi="Arial" w:cs="Arial"/>
          <w:color w:val="000000"/>
        </w:rPr>
        <w:t xml:space="preserve">Number of </w:t>
      </w:r>
      <w:proofErr w:type="spellStart"/>
      <w:r w:rsidR="00A57DD0" w:rsidRPr="00A57DD0">
        <w:rPr>
          <w:rFonts w:ascii="Arial" w:eastAsia="Times New Roman" w:hAnsi="Arial" w:cs="Arial"/>
          <w:color w:val="000000"/>
        </w:rPr>
        <w:t>picrolite</w:t>
      </w:r>
      <w:proofErr w:type="spellEnd"/>
      <w:r w:rsidR="00A57DD0" w:rsidRPr="00A57DD0">
        <w:rPr>
          <w:rFonts w:ascii="Arial" w:eastAsia="Times New Roman" w:hAnsi="Arial" w:cs="Arial"/>
          <w:color w:val="000000"/>
        </w:rPr>
        <w:t xml:space="preserve"> objects produced locally (only sites close to the source of this stone on the south coast are considered local)</w:t>
      </w:r>
      <w:r w:rsidR="00A57DD0">
        <w:rPr>
          <w:rFonts w:ascii="Arial" w:eastAsia="Times New Roman" w:hAnsi="Arial" w:cs="Arial"/>
          <w:color w:val="000000"/>
        </w:rPr>
        <w:t xml:space="preserve"> found in the tomb</w:t>
      </w:r>
      <w:r w:rsidR="00A57DD0" w:rsidRPr="00A57DD0">
        <w:rPr>
          <w:rFonts w:ascii="Arial" w:eastAsia="Times New Roman" w:hAnsi="Arial" w:cs="Arial"/>
          <w:color w:val="000000"/>
        </w:rPr>
        <w:t>.</w:t>
      </w:r>
    </w:p>
    <w:p w:rsidR="00862450" w:rsidRPr="00862450" w:rsidRDefault="00862450" w:rsidP="00862450">
      <w:pPr>
        <w:spacing w:before="240" w:after="0" w:line="240" w:lineRule="auto"/>
        <w:rPr>
          <w:rFonts w:ascii="Arial" w:eastAsia="Times New Roman" w:hAnsi="Arial" w:cs="Arial"/>
          <w:b/>
          <w:color w:val="000000"/>
        </w:rPr>
      </w:pPr>
      <w:proofErr w:type="spellStart"/>
      <w:r w:rsidRPr="00862450">
        <w:rPr>
          <w:rFonts w:ascii="Arial" w:eastAsia="Times New Roman" w:hAnsi="Arial" w:cs="Arial"/>
          <w:b/>
          <w:color w:val="000000"/>
        </w:rPr>
        <w:t>PicroliteDesc</w:t>
      </w:r>
      <w:proofErr w:type="spellEnd"/>
      <w:r w:rsidR="00A57DD0">
        <w:rPr>
          <w:rFonts w:ascii="Arial" w:eastAsia="Times New Roman" w:hAnsi="Arial" w:cs="Arial"/>
          <w:b/>
          <w:color w:val="000000"/>
        </w:rPr>
        <w:t xml:space="preserve">: </w:t>
      </w:r>
      <w:r w:rsidR="00A57DD0" w:rsidRPr="00A57DD0">
        <w:rPr>
          <w:rFonts w:ascii="Arial" w:eastAsia="Times New Roman" w:hAnsi="Arial" w:cs="Arial"/>
          <w:color w:val="000000"/>
        </w:rPr>
        <w:t xml:space="preserve">Description of </w:t>
      </w:r>
      <w:proofErr w:type="spellStart"/>
      <w:r w:rsidR="00A57DD0" w:rsidRPr="00A57DD0">
        <w:rPr>
          <w:rFonts w:ascii="Arial" w:eastAsia="Times New Roman" w:hAnsi="Arial" w:cs="Arial"/>
          <w:color w:val="000000"/>
        </w:rPr>
        <w:t>picrolite</w:t>
      </w:r>
      <w:proofErr w:type="spellEnd"/>
      <w:r w:rsidR="00A57DD0" w:rsidRPr="00A57DD0">
        <w:rPr>
          <w:rFonts w:ascii="Arial" w:eastAsia="Times New Roman" w:hAnsi="Arial" w:cs="Arial"/>
          <w:color w:val="000000"/>
        </w:rPr>
        <w:t xml:space="preserve"> objects</w:t>
      </w:r>
      <w:r w:rsidR="00A57DD0">
        <w:rPr>
          <w:rFonts w:ascii="Arial" w:eastAsia="Times New Roman" w:hAnsi="Arial" w:cs="Arial"/>
          <w:color w:val="000000"/>
        </w:rPr>
        <w:t xml:space="preserve"> followed by the number of each kind</w:t>
      </w:r>
      <w:r w:rsidR="00A57DD0" w:rsidRPr="00A57DD0">
        <w:rPr>
          <w:rFonts w:ascii="Arial" w:eastAsia="Times New Roman" w:hAnsi="Arial" w:cs="Arial"/>
          <w:color w:val="000000"/>
        </w:rPr>
        <w:t xml:space="preserve"> found in the tomb.</w:t>
      </w:r>
      <w:r w:rsidR="00A57DD0">
        <w:rPr>
          <w:rFonts w:ascii="Arial" w:eastAsia="Times New Roman" w:hAnsi="Arial" w:cs="Arial"/>
          <w:b/>
          <w:color w:val="000000"/>
        </w:rPr>
        <w:t xml:space="preserve"> </w:t>
      </w:r>
    </w:p>
    <w:p w:rsidR="00862450" w:rsidRPr="00A57DD0" w:rsidRDefault="00862450" w:rsidP="00862450">
      <w:pPr>
        <w:spacing w:before="240" w:after="0" w:line="240" w:lineRule="auto"/>
        <w:rPr>
          <w:rFonts w:ascii="Arial" w:eastAsia="Times New Roman" w:hAnsi="Arial" w:cs="Arial"/>
          <w:color w:val="000000"/>
        </w:rPr>
      </w:pPr>
      <w:proofErr w:type="spellStart"/>
      <w:r w:rsidRPr="00862450">
        <w:rPr>
          <w:rFonts w:ascii="Arial" w:eastAsia="Times New Roman" w:hAnsi="Arial" w:cs="Arial"/>
          <w:b/>
          <w:color w:val="000000"/>
        </w:rPr>
        <w:t>NoPicroliteImport</w:t>
      </w:r>
      <w:proofErr w:type="spellEnd"/>
      <w:r w:rsidR="00A57DD0">
        <w:rPr>
          <w:rFonts w:ascii="Arial" w:eastAsia="Times New Roman" w:hAnsi="Arial" w:cs="Arial"/>
          <w:b/>
          <w:color w:val="000000"/>
        </w:rPr>
        <w:t xml:space="preserve">: </w:t>
      </w:r>
      <w:r w:rsidR="00A57DD0">
        <w:rPr>
          <w:rFonts w:ascii="Arial" w:eastAsia="Times New Roman" w:hAnsi="Arial" w:cs="Arial"/>
          <w:color w:val="000000"/>
        </w:rPr>
        <w:t xml:space="preserve">Number of </w:t>
      </w:r>
      <w:proofErr w:type="spellStart"/>
      <w:r w:rsidR="00A57DD0">
        <w:rPr>
          <w:rFonts w:ascii="Arial" w:eastAsia="Times New Roman" w:hAnsi="Arial" w:cs="Arial"/>
          <w:color w:val="000000"/>
        </w:rPr>
        <w:t>picrolite</w:t>
      </w:r>
      <w:proofErr w:type="spellEnd"/>
      <w:r w:rsidR="00A57DD0">
        <w:rPr>
          <w:rFonts w:ascii="Arial" w:eastAsia="Times New Roman" w:hAnsi="Arial" w:cs="Arial"/>
          <w:color w:val="000000"/>
        </w:rPr>
        <w:t xml:space="preserve"> objects imported to the cemetery (sites outside of the source area on the south coast) found in the tomb.</w:t>
      </w:r>
    </w:p>
    <w:p w:rsidR="00862450" w:rsidRPr="00862450" w:rsidRDefault="00862450" w:rsidP="00862450">
      <w:pPr>
        <w:spacing w:before="240" w:after="0" w:line="240" w:lineRule="auto"/>
        <w:rPr>
          <w:rFonts w:ascii="Arial" w:eastAsia="Times New Roman" w:hAnsi="Arial" w:cs="Arial"/>
          <w:b/>
          <w:color w:val="000000"/>
        </w:rPr>
      </w:pPr>
      <w:proofErr w:type="spellStart"/>
      <w:r w:rsidRPr="00862450">
        <w:rPr>
          <w:rFonts w:ascii="Arial" w:eastAsia="Times New Roman" w:hAnsi="Arial" w:cs="Arial"/>
          <w:b/>
          <w:color w:val="000000"/>
        </w:rPr>
        <w:t>NoMetalMakingSupIcon</w:t>
      </w:r>
      <w:proofErr w:type="spellEnd"/>
      <w:r w:rsidR="00A57DD0">
        <w:rPr>
          <w:rFonts w:ascii="Arial" w:eastAsia="Times New Roman" w:hAnsi="Arial" w:cs="Arial"/>
          <w:b/>
          <w:color w:val="000000"/>
        </w:rPr>
        <w:t xml:space="preserve">: </w:t>
      </w:r>
      <w:r w:rsidR="00A57DD0" w:rsidRPr="00A57DD0">
        <w:rPr>
          <w:rFonts w:ascii="Arial" w:eastAsia="Times New Roman" w:hAnsi="Arial" w:cs="Arial"/>
          <w:color w:val="000000"/>
        </w:rPr>
        <w:t xml:space="preserve">Number of objects with metal making iconography or that could have been used for extracting, smelting or alloying the local copper found in the tomb. </w:t>
      </w:r>
    </w:p>
    <w:p w:rsidR="00862450" w:rsidRDefault="00862450" w:rsidP="00862450">
      <w:pPr>
        <w:spacing w:before="240" w:after="0" w:line="240" w:lineRule="auto"/>
        <w:rPr>
          <w:rFonts w:ascii="Arial" w:eastAsia="Times New Roman" w:hAnsi="Arial" w:cs="Arial"/>
          <w:b/>
          <w:color w:val="000000"/>
        </w:rPr>
      </w:pPr>
      <w:proofErr w:type="spellStart"/>
      <w:r w:rsidRPr="00862450">
        <w:rPr>
          <w:rFonts w:ascii="Arial" w:eastAsia="Times New Roman" w:hAnsi="Arial" w:cs="Arial"/>
          <w:b/>
          <w:color w:val="000000"/>
        </w:rPr>
        <w:t>MetalMakingSupIconDesc</w:t>
      </w:r>
      <w:proofErr w:type="spellEnd"/>
      <w:r w:rsidR="00A57DD0">
        <w:rPr>
          <w:rFonts w:ascii="Arial" w:eastAsia="Times New Roman" w:hAnsi="Arial" w:cs="Arial"/>
          <w:b/>
          <w:color w:val="000000"/>
        </w:rPr>
        <w:t xml:space="preserve">: </w:t>
      </w:r>
      <w:r w:rsidR="00A57DD0" w:rsidRPr="00A57DD0">
        <w:rPr>
          <w:rFonts w:ascii="Arial" w:eastAsia="Times New Roman" w:hAnsi="Arial" w:cs="Arial"/>
          <w:color w:val="000000"/>
        </w:rPr>
        <w:t>Description of objects with metal making iconography or that could have been used for extracting, smelting or alloying the local copper followed by the number of those objects found in the tomb.</w:t>
      </w:r>
      <w:r w:rsidR="00A57DD0">
        <w:rPr>
          <w:rFonts w:ascii="Arial" w:eastAsia="Times New Roman" w:hAnsi="Arial" w:cs="Arial"/>
          <w:b/>
          <w:color w:val="000000"/>
        </w:rPr>
        <w:t xml:space="preserve"> </w:t>
      </w:r>
    </w:p>
    <w:p w:rsidR="00920C1E" w:rsidRPr="0000487B" w:rsidRDefault="00920C1E" w:rsidP="0000487B">
      <w:pPr>
        <w:spacing w:before="240" w:after="0" w:line="240" w:lineRule="auto"/>
        <w:rPr>
          <w:rFonts w:ascii="Arial" w:eastAsia="Times New Roman" w:hAnsi="Arial" w:cs="Arial"/>
          <w:b/>
          <w:color w:val="000000"/>
          <w:szCs w:val="22"/>
        </w:rPr>
      </w:pPr>
      <w:proofErr w:type="spellStart"/>
      <w:r w:rsidRPr="0000487B">
        <w:rPr>
          <w:rFonts w:ascii="Arial" w:eastAsia="Times New Roman" w:hAnsi="Arial" w:cs="Arial"/>
          <w:b/>
          <w:color w:val="000000"/>
          <w:szCs w:val="22"/>
        </w:rPr>
        <w:lastRenderedPageBreak/>
        <w:t>TotalPots</w:t>
      </w:r>
      <w:proofErr w:type="spellEnd"/>
      <w:r w:rsidR="0000487B">
        <w:rPr>
          <w:rFonts w:ascii="Arial" w:eastAsia="Times New Roman" w:hAnsi="Arial" w:cs="Arial"/>
          <w:b/>
          <w:color w:val="000000"/>
          <w:szCs w:val="22"/>
        </w:rPr>
        <w:t xml:space="preserve">: </w:t>
      </w:r>
      <w:r w:rsidR="0000487B" w:rsidRPr="0000487B">
        <w:rPr>
          <w:rFonts w:ascii="Arial" w:eastAsia="Times New Roman" w:hAnsi="Arial" w:cs="Arial"/>
          <w:color w:val="000000"/>
          <w:szCs w:val="22"/>
        </w:rPr>
        <w:t>Total number of ceramic vessels in tomb= [NoRegionalPotImports]+[NoInternPotImports]+[NoLocalPots]+[NoIntraRegionalPotImport]</w:t>
      </w:r>
    </w:p>
    <w:p w:rsidR="00920C1E" w:rsidRPr="0000487B" w:rsidRDefault="00920C1E" w:rsidP="0000487B">
      <w:pPr>
        <w:spacing w:before="240" w:after="0" w:line="240" w:lineRule="auto"/>
        <w:rPr>
          <w:rFonts w:ascii="Arial" w:eastAsia="Times New Roman" w:hAnsi="Arial" w:cs="Arial"/>
          <w:b/>
          <w:color w:val="000000"/>
          <w:szCs w:val="22"/>
        </w:rPr>
      </w:pPr>
      <w:proofErr w:type="spellStart"/>
      <w:r w:rsidRPr="0000487B">
        <w:rPr>
          <w:rFonts w:ascii="Arial" w:eastAsia="Times New Roman" w:hAnsi="Arial" w:cs="Arial"/>
          <w:b/>
          <w:color w:val="000000"/>
          <w:szCs w:val="22"/>
        </w:rPr>
        <w:t>TotalIntraRegionalGoods</w:t>
      </w:r>
      <w:proofErr w:type="spellEnd"/>
      <w:r w:rsidR="0000487B">
        <w:rPr>
          <w:rFonts w:ascii="Arial" w:eastAsia="Times New Roman" w:hAnsi="Arial" w:cs="Arial"/>
          <w:b/>
          <w:color w:val="000000"/>
          <w:szCs w:val="22"/>
        </w:rPr>
        <w:t xml:space="preserve">: </w:t>
      </w:r>
      <w:r w:rsidR="0000487B">
        <w:rPr>
          <w:rFonts w:ascii="Arial" w:eastAsia="Times New Roman" w:hAnsi="Arial" w:cs="Arial"/>
          <w:color w:val="000000"/>
          <w:szCs w:val="22"/>
        </w:rPr>
        <w:t>Total number of intra-regional imports in tom</w:t>
      </w:r>
      <w:r w:rsidR="0000487B" w:rsidRPr="0000487B">
        <w:rPr>
          <w:rFonts w:ascii="Arial" w:eastAsia="Times New Roman" w:hAnsi="Arial" w:cs="Arial"/>
          <w:color w:val="000000"/>
          <w:szCs w:val="22"/>
        </w:rPr>
        <w:t>b=</w:t>
      </w:r>
      <w:r w:rsidR="0000487B">
        <w:rPr>
          <w:rFonts w:ascii="Arial" w:eastAsia="Times New Roman" w:hAnsi="Arial" w:cs="Arial"/>
          <w:b/>
          <w:color w:val="000000"/>
          <w:szCs w:val="22"/>
        </w:rPr>
        <w:t xml:space="preserve"> </w:t>
      </w:r>
      <w:r w:rsidR="0000487B" w:rsidRPr="0000487B">
        <w:rPr>
          <w:rFonts w:ascii="Arial" w:eastAsia="Times New Roman" w:hAnsi="Arial" w:cs="Arial"/>
          <w:color w:val="000000"/>
          <w:szCs w:val="22"/>
        </w:rPr>
        <w:t>[</w:t>
      </w:r>
      <w:proofErr w:type="spellStart"/>
      <w:r w:rsidR="0000487B" w:rsidRPr="0000487B">
        <w:rPr>
          <w:rFonts w:ascii="Arial" w:eastAsia="Times New Roman" w:hAnsi="Arial" w:cs="Arial"/>
          <w:color w:val="000000"/>
          <w:szCs w:val="22"/>
        </w:rPr>
        <w:t>NoIntraRegionalPotImport</w:t>
      </w:r>
      <w:proofErr w:type="spellEnd"/>
      <w:r w:rsidR="0000487B" w:rsidRPr="0000487B">
        <w:rPr>
          <w:rFonts w:ascii="Arial" w:eastAsia="Times New Roman" w:hAnsi="Arial" w:cs="Arial"/>
          <w:color w:val="000000"/>
          <w:szCs w:val="22"/>
        </w:rPr>
        <w:t>]+[</w:t>
      </w:r>
      <w:proofErr w:type="spellStart"/>
      <w:r w:rsidR="0000487B" w:rsidRPr="0000487B">
        <w:rPr>
          <w:rFonts w:ascii="Arial" w:eastAsia="Times New Roman" w:hAnsi="Arial" w:cs="Arial"/>
          <w:color w:val="000000"/>
          <w:szCs w:val="22"/>
        </w:rPr>
        <w:t>NoIntraRegionalImport</w:t>
      </w:r>
      <w:proofErr w:type="spellEnd"/>
      <w:r w:rsidR="0000487B" w:rsidRPr="0000487B">
        <w:rPr>
          <w:rFonts w:ascii="Arial" w:eastAsia="Times New Roman" w:hAnsi="Arial" w:cs="Arial"/>
          <w:color w:val="000000"/>
          <w:szCs w:val="22"/>
        </w:rPr>
        <w:t>]</w:t>
      </w:r>
    </w:p>
    <w:p w:rsidR="00920C1E" w:rsidRPr="0000487B" w:rsidRDefault="00920C1E" w:rsidP="0000487B">
      <w:pPr>
        <w:spacing w:before="240" w:after="0" w:line="240" w:lineRule="auto"/>
        <w:rPr>
          <w:rFonts w:ascii="Arial" w:eastAsia="Times New Roman" w:hAnsi="Arial" w:cs="Arial"/>
          <w:b/>
          <w:color w:val="000000"/>
          <w:szCs w:val="22"/>
        </w:rPr>
      </w:pPr>
      <w:proofErr w:type="spellStart"/>
      <w:r w:rsidRPr="0000487B">
        <w:rPr>
          <w:rFonts w:ascii="Arial" w:eastAsia="Times New Roman" w:hAnsi="Arial" w:cs="Arial"/>
          <w:b/>
          <w:color w:val="000000"/>
          <w:szCs w:val="22"/>
        </w:rPr>
        <w:t>TotalInterRegionalGoods</w:t>
      </w:r>
      <w:proofErr w:type="spellEnd"/>
      <w:r w:rsidR="0000487B">
        <w:rPr>
          <w:rFonts w:ascii="Arial" w:eastAsia="Times New Roman" w:hAnsi="Arial" w:cs="Arial"/>
          <w:b/>
          <w:color w:val="000000"/>
          <w:szCs w:val="22"/>
        </w:rPr>
        <w:t xml:space="preserve">: </w:t>
      </w:r>
      <w:r w:rsidR="0000487B">
        <w:rPr>
          <w:rFonts w:ascii="Arial" w:eastAsia="Times New Roman" w:hAnsi="Arial" w:cs="Arial"/>
          <w:color w:val="000000"/>
          <w:szCs w:val="22"/>
        </w:rPr>
        <w:t>Total number of inter-regional imports in tomb</w:t>
      </w:r>
      <w:r w:rsidR="0000487B" w:rsidRPr="0000487B">
        <w:rPr>
          <w:rFonts w:ascii="Arial" w:eastAsia="Times New Roman" w:hAnsi="Arial" w:cs="Arial"/>
          <w:color w:val="000000"/>
          <w:szCs w:val="22"/>
        </w:rPr>
        <w:t>= [NoRegionalPotImports]+[NoOtherRegionalImport]+[NoPicroliteImport]</w:t>
      </w:r>
    </w:p>
    <w:p w:rsidR="00920C1E" w:rsidRPr="0000487B" w:rsidRDefault="00920C1E" w:rsidP="0000487B">
      <w:pPr>
        <w:spacing w:before="240" w:after="0" w:line="240" w:lineRule="auto"/>
        <w:rPr>
          <w:rFonts w:ascii="Arial" w:eastAsia="Times New Roman" w:hAnsi="Arial" w:cs="Arial"/>
          <w:b/>
          <w:color w:val="000000"/>
          <w:szCs w:val="22"/>
        </w:rPr>
      </w:pPr>
      <w:proofErr w:type="spellStart"/>
      <w:r w:rsidRPr="0000487B">
        <w:rPr>
          <w:rFonts w:ascii="Arial" w:eastAsia="Times New Roman" w:hAnsi="Arial" w:cs="Arial"/>
          <w:b/>
          <w:color w:val="000000"/>
          <w:szCs w:val="22"/>
        </w:rPr>
        <w:t>TotalInternationalGoods</w:t>
      </w:r>
      <w:proofErr w:type="spellEnd"/>
      <w:r w:rsidR="0000487B">
        <w:rPr>
          <w:rFonts w:ascii="Arial" w:eastAsia="Times New Roman" w:hAnsi="Arial" w:cs="Arial"/>
          <w:b/>
          <w:color w:val="000000"/>
          <w:szCs w:val="22"/>
        </w:rPr>
        <w:t xml:space="preserve">: </w:t>
      </w:r>
      <w:r w:rsidR="0000487B">
        <w:rPr>
          <w:rFonts w:ascii="Arial" w:eastAsia="Times New Roman" w:hAnsi="Arial" w:cs="Arial"/>
          <w:color w:val="000000"/>
          <w:szCs w:val="22"/>
        </w:rPr>
        <w:t>Total number of international imports in tomb</w:t>
      </w:r>
      <w:r w:rsidR="0000487B" w:rsidRPr="0000487B">
        <w:rPr>
          <w:rFonts w:ascii="Arial" w:eastAsia="Times New Roman" w:hAnsi="Arial" w:cs="Arial"/>
          <w:color w:val="000000"/>
          <w:szCs w:val="22"/>
        </w:rPr>
        <w:t xml:space="preserve">= </w:t>
      </w:r>
      <w:r w:rsidR="0000487B" w:rsidRPr="00846F6F">
        <w:rPr>
          <w:rFonts w:ascii="Arial" w:eastAsia="Times New Roman" w:hAnsi="Arial" w:cs="Arial"/>
          <w:color w:val="000000"/>
          <w:szCs w:val="22"/>
        </w:rPr>
        <w:t>[NoInternPotImports]+[NoBrzArtifacts]+[NoOtherMetalImports]+[NoOtherInternationalImport]</w:t>
      </w:r>
    </w:p>
    <w:p w:rsidR="0000487B" w:rsidRPr="0000487B" w:rsidRDefault="00920C1E" w:rsidP="0000487B">
      <w:pPr>
        <w:spacing w:before="240" w:after="0" w:line="240" w:lineRule="auto"/>
        <w:rPr>
          <w:rFonts w:ascii="Arial" w:eastAsia="Times New Roman" w:hAnsi="Arial" w:cs="Arial"/>
          <w:color w:val="000000"/>
          <w:szCs w:val="22"/>
        </w:rPr>
      </w:pPr>
      <w:proofErr w:type="spellStart"/>
      <w:r w:rsidRPr="0000487B">
        <w:rPr>
          <w:rFonts w:ascii="Arial" w:eastAsia="Times New Roman" w:hAnsi="Arial" w:cs="Arial"/>
          <w:b/>
          <w:color w:val="000000"/>
          <w:szCs w:val="22"/>
        </w:rPr>
        <w:t>TotalIdeology</w:t>
      </w:r>
      <w:proofErr w:type="spellEnd"/>
      <w:r w:rsidR="0000487B">
        <w:rPr>
          <w:rFonts w:ascii="Arial" w:eastAsia="Times New Roman" w:hAnsi="Arial" w:cs="Arial"/>
          <w:b/>
          <w:color w:val="000000"/>
          <w:szCs w:val="22"/>
        </w:rPr>
        <w:t xml:space="preserve">: </w:t>
      </w:r>
      <w:r w:rsidR="0000487B">
        <w:rPr>
          <w:rFonts w:ascii="Arial" w:eastAsia="Times New Roman" w:hAnsi="Arial" w:cs="Arial"/>
          <w:color w:val="000000"/>
          <w:szCs w:val="22"/>
        </w:rPr>
        <w:t>Total number of objects with ideological symbolism</w:t>
      </w:r>
      <w:r w:rsidR="00846F6F">
        <w:rPr>
          <w:rFonts w:ascii="Arial" w:eastAsia="Times New Roman" w:hAnsi="Arial" w:cs="Arial"/>
          <w:color w:val="000000"/>
          <w:szCs w:val="22"/>
        </w:rPr>
        <w:t xml:space="preserve"> in tomb</w:t>
      </w:r>
      <w:r w:rsidR="0000487B">
        <w:rPr>
          <w:rFonts w:ascii="Arial" w:eastAsia="Times New Roman" w:hAnsi="Arial" w:cs="Arial"/>
          <w:color w:val="000000"/>
          <w:szCs w:val="22"/>
        </w:rPr>
        <w:t xml:space="preserve">= </w:t>
      </w:r>
      <w:r w:rsidR="0000487B" w:rsidRPr="00846F6F">
        <w:rPr>
          <w:rFonts w:ascii="Arial" w:eastAsia="Times New Roman" w:hAnsi="Arial" w:cs="Arial"/>
          <w:color w:val="000000"/>
          <w:szCs w:val="22"/>
        </w:rPr>
        <w:t>[</w:t>
      </w:r>
      <w:proofErr w:type="spellStart"/>
      <w:r w:rsidR="0000487B" w:rsidRPr="00846F6F">
        <w:rPr>
          <w:rFonts w:ascii="Arial" w:eastAsia="Times New Roman" w:hAnsi="Arial" w:cs="Arial"/>
          <w:color w:val="000000"/>
          <w:szCs w:val="22"/>
        </w:rPr>
        <w:t>NoRitualItems</w:t>
      </w:r>
      <w:proofErr w:type="spellEnd"/>
      <w:r w:rsidR="0000487B" w:rsidRPr="00846F6F">
        <w:rPr>
          <w:rFonts w:ascii="Arial" w:eastAsia="Times New Roman" w:hAnsi="Arial" w:cs="Arial"/>
          <w:color w:val="000000"/>
          <w:szCs w:val="22"/>
        </w:rPr>
        <w:t>]</w:t>
      </w:r>
    </w:p>
    <w:p w:rsidR="00920C1E" w:rsidRPr="0000487B" w:rsidRDefault="00920C1E" w:rsidP="0000487B">
      <w:pPr>
        <w:spacing w:before="240" w:after="0" w:line="240" w:lineRule="auto"/>
        <w:rPr>
          <w:rFonts w:ascii="Arial" w:eastAsia="Times New Roman" w:hAnsi="Arial" w:cs="Arial"/>
          <w:b/>
          <w:color w:val="000000"/>
          <w:szCs w:val="22"/>
        </w:rPr>
      </w:pPr>
      <w:proofErr w:type="spellStart"/>
      <w:r w:rsidRPr="0000487B">
        <w:rPr>
          <w:rFonts w:ascii="Arial" w:eastAsia="Times New Roman" w:hAnsi="Arial" w:cs="Arial"/>
          <w:b/>
          <w:color w:val="000000"/>
          <w:szCs w:val="22"/>
        </w:rPr>
        <w:t>TotalMinerals</w:t>
      </w:r>
      <w:proofErr w:type="spellEnd"/>
      <w:r w:rsidR="00846F6F">
        <w:rPr>
          <w:rFonts w:ascii="Arial" w:eastAsia="Times New Roman" w:hAnsi="Arial" w:cs="Arial"/>
          <w:b/>
          <w:color w:val="000000"/>
          <w:szCs w:val="22"/>
        </w:rPr>
        <w:t xml:space="preserve">: </w:t>
      </w:r>
      <w:r w:rsidR="00846F6F" w:rsidRPr="00846F6F">
        <w:rPr>
          <w:rFonts w:ascii="Arial" w:eastAsia="Times New Roman" w:hAnsi="Arial" w:cs="Arial"/>
          <w:color w:val="000000"/>
          <w:szCs w:val="22"/>
        </w:rPr>
        <w:t>Tota</w:t>
      </w:r>
      <w:r w:rsidR="00846F6F">
        <w:rPr>
          <w:rFonts w:ascii="Arial" w:eastAsia="Times New Roman" w:hAnsi="Arial" w:cs="Arial"/>
          <w:color w:val="000000"/>
          <w:szCs w:val="22"/>
        </w:rPr>
        <w:t xml:space="preserve">l number of metal, metal making, </w:t>
      </w:r>
      <w:r w:rsidR="00846F6F" w:rsidRPr="00846F6F">
        <w:rPr>
          <w:rFonts w:ascii="Arial" w:eastAsia="Times New Roman" w:hAnsi="Arial" w:cs="Arial"/>
          <w:color w:val="000000"/>
          <w:szCs w:val="22"/>
        </w:rPr>
        <w:t xml:space="preserve">and </w:t>
      </w:r>
      <w:proofErr w:type="spellStart"/>
      <w:r w:rsidR="00846F6F" w:rsidRPr="00846F6F">
        <w:rPr>
          <w:rFonts w:ascii="Arial" w:eastAsia="Times New Roman" w:hAnsi="Arial" w:cs="Arial"/>
          <w:color w:val="000000"/>
          <w:szCs w:val="22"/>
        </w:rPr>
        <w:t>picrolite</w:t>
      </w:r>
      <w:proofErr w:type="spellEnd"/>
      <w:r w:rsidR="00846F6F" w:rsidRPr="00846F6F">
        <w:rPr>
          <w:rFonts w:ascii="Arial" w:eastAsia="Times New Roman" w:hAnsi="Arial" w:cs="Arial"/>
          <w:color w:val="000000"/>
          <w:szCs w:val="22"/>
        </w:rPr>
        <w:t xml:space="preserve"> objects in tomb</w:t>
      </w:r>
      <w:proofErr w:type="gramStart"/>
      <w:r w:rsidR="00846F6F" w:rsidRPr="00846F6F">
        <w:rPr>
          <w:rFonts w:ascii="Arial" w:eastAsia="Times New Roman" w:hAnsi="Arial" w:cs="Arial"/>
          <w:color w:val="000000"/>
          <w:szCs w:val="22"/>
        </w:rPr>
        <w:t xml:space="preserve">=  </w:t>
      </w:r>
      <w:r w:rsidR="0000487B" w:rsidRPr="00846F6F">
        <w:rPr>
          <w:rFonts w:ascii="Arial" w:eastAsia="Times New Roman" w:hAnsi="Arial" w:cs="Arial"/>
          <w:color w:val="000000"/>
          <w:szCs w:val="22"/>
        </w:rPr>
        <w:t>[</w:t>
      </w:r>
      <w:proofErr w:type="gramEnd"/>
      <w:r w:rsidR="0000487B" w:rsidRPr="00846F6F">
        <w:rPr>
          <w:rFonts w:ascii="Arial" w:eastAsia="Times New Roman" w:hAnsi="Arial" w:cs="Arial"/>
          <w:color w:val="000000"/>
          <w:szCs w:val="22"/>
        </w:rPr>
        <w:t>NoCuLocalArtifacts]+[NoCuRegionalImport]+[NoOtherMetalImports]+[NoBrzArtifacts]+[NoLocalPicrolite]+[NoMetalMakingSupIcon]+[NoPicroliteImport]</w:t>
      </w:r>
    </w:p>
    <w:p w:rsidR="00920C1E" w:rsidRPr="0000487B" w:rsidRDefault="00920C1E" w:rsidP="0000487B">
      <w:pPr>
        <w:spacing w:before="240" w:after="0" w:line="240" w:lineRule="auto"/>
        <w:rPr>
          <w:rFonts w:ascii="Arial" w:eastAsia="Times New Roman" w:hAnsi="Arial" w:cs="Arial"/>
          <w:b/>
          <w:color w:val="000000"/>
          <w:szCs w:val="22"/>
        </w:rPr>
      </w:pPr>
      <w:proofErr w:type="spellStart"/>
      <w:r w:rsidRPr="0000487B">
        <w:rPr>
          <w:rFonts w:ascii="Arial" w:eastAsia="Times New Roman" w:hAnsi="Arial" w:cs="Arial"/>
          <w:b/>
          <w:color w:val="000000"/>
          <w:szCs w:val="22"/>
        </w:rPr>
        <w:t>TotalMetals</w:t>
      </w:r>
      <w:proofErr w:type="spellEnd"/>
      <w:r w:rsidR="00846F6F">
        <w:rPr>
          <w:rFonts w:ascii="Arial" w:eastAsia="Times New Roman" w:hAnsi="Arial" w:cs="Arial"/>
          <w:b/>
          <w:color w:val="000000"/>
          <w:szCs w:val="22"/>
        </w:rPr>
        <w:t xml:space="preserve">: </w:t>
      </w:r>
      <w:r w:rsidR="00846F6F">
        <w:rPr>
          <w:rFonts w:ascii="Arial" w:eastAsia="Times New Roman" w:hAnsi="Arial" w:cs="Arial"/>
          <w:color w:val="000000"/>
          <w:szCs w:val="22"/>
        </w:rPr>
        <w:t xml:space="preserve">Total number of metal and metal making objects in tomb= </w:t>
      </w:r>
      <w:r w:rsidR="0000487B" w:rsidRPr="00846F6F">
        <w:rPr>
          <w:rFonts w:ascii="Arial" w:eastAsia="Times New Roman" w:hAnsi="Arial" w:cs="Arial"/>
          <w:color w:val="000000"/>
          <w:szCs w:val="22"/>
        </w:rPr>
        <w:t>[NoCuLocalArtifacts]+[NoCuRegionalImport]+[NoBrzArtifacts]+[NoOtherMetalImports]+[NoMetalMakingSupIcon]</w:t>
      </w:r>
    </w:p>
    <w:p w:rsidR="00920C1E" w:rsidRPr="00846F6F" w:rsidRDefault="00920C1E" w:rsidP="0000487B">
      <w:pPr>
        <w:spacing w:before="240" w:after="0" w:line="240" w:lineRule="auto"/>
        <w:rPr>
          <w:rFonts w:ascii="Arial" w:eastAsia="Times New Roman" w:hAnsi="Arial" w:cs="Arial"/>
          <w:color w:val="000000"/>
          <w:szCs w:val="22"/>
        </w:rPr>
      </w:pPr>
      <w:proofErr w:type="spellStart"/>
      <w:r w:rsidRPr="0000487B">
        <w:rPr>
          <w:rFonts w:ascii="Arial" w:eastAsia="Times New Roman" w:hAnsi="Arial" w:cs="Arial"/>
          <w:b/>
          <w:color w:val="000000"/>
          <w:szCs w:val="22"/>
        </w:rPr>
        <w:t>TotalLocal</w:t>
      </w:r>
      <w:proofErr w:type="spellEnd"/>
      <w:r w:rsidR="00846F6F">
        <w:rPr>
          <w:rFonts w:ascii="Arial" w:eastAsia="Times New Roman" w:hAnsi="Arial" w:cs="Arial"/>
          <w:b/>
          <w:color w:val="000000"/>
          <w:szCs w:val="22"/>
        </w:rPr>
        <w:t xml:space="preserve">: </w:t>
      </w:r>
      <w:r w:rsidR="00846F6F">
        <w:rPr>
          <w:rFonts w:ascii="Arial" w:eastAsia="Times New Roman" w:hAnsi="Arial" w:cs="Arial"/>
          <w:color w:val="000000"/>
          <w:szCs w:val="22"/>
        </w:rPr>
        <w:t>Total number of locally produced objects in tomb</w:t>
      </w:r>
      <w:r w:rsidR="0000487B" w:rsidRPr="00846F6F">
        <w:rPr>
          <w:rFonts w:ascii="Arial" w:eastAsia="Times New Roman" w:hAnsi="Arial" w:cs="Arial"/>
          <w:color w:val="000000"/>
          <w:szCs w:val="22"/>
        </w:rPr>
        <w:t>=</w:t>
      </w:r>
      <w:r w:rsidR="00846F6F">
        <w:rPr>
          <w:rFonts w:ascii="Arial" w:eastAsia="Times New Roman" w:hAnsi="Arial" w:cs="Arial"/>
          <w:color w:val="000000"/>
          <w:szCs w:val="22"/>
        </w:rPr>
        <w:t xml:space="preserve"> </w:t>
      </w:r>
      <w:r w:rsidR="0000487B" w:rsidRPr="00846F6F">
        <w:rPr>
          <w:rFonts w:ascii="Arial" w:eastAsia="Times New Roman" w:hAnsi="Arial" w:cs="Arial"/>
          <w:color w:val="000000"/>
          <w:szCs w:val="22"/>
        </w:rPr>
        <w:t>[NoLocalPots]+[NoOtherLocalGoods]+[NoLocalPicrolite]+[NoCuLocalArtifacts]</w:t>
      </w:r>
    </w:p>
    <w:p w:rsidR="00920C1E" w:rsidRPr="00846F6F" w:rsidRDefault="00920C1E" w:rsidP="0000487B">
      <w:pPr>
        <w:spacing w:before="240" w:after="0" w:line="240" w:lineRule="auto"/>
        <w:rPr>
          <w:rFonts w:ascii="Arial" w:eastAsia="Times New Roman" w:hAnsi="Arial" w:cs="Arial"/>
          <w:color w:val="000000"/>
          <w:szCs w:val="22"/>
        </w:rPr>
      </w:pPr>
      <w:proofErr w:type="spellStart"/>
      <w:r w:rsidRPr="0000487B">
        <w:rPr>
          <w:rFonts w:ascii="Arial" w:eastAsia="Times New Roman" w:hAnsi="Arial" w:cs="Arial"/>
          <w:b/>
          <w:color w:val="000000"/>
          <w:szCs w:val="22"/>
        </w:rPr>
        <w:t>TotalArtifacts</w:t>
      </w:r>
      <w:proofErr w:type="spellEnd"/>
      <w:r w:rsidR="00846F6F">
        <w:rPr>
          <w:rFonts w:ascii="Arial" w:eastAsia="Times New Roman" w:hAnsi="Arial" w:cs="Arial"/>
          <w:b/>
          <w:color w:val="000000"/>
          <w:szCs w:val="22"/>
        </w:rPr>
        <w:t xml:space="preserve">: </w:t>
      </w:r>
      <w:r w:rsidR="00846F6F" w:rsidRPr="00846F6F">
        <w:rPr>
          <w:rFonts w:ascii="Arial" w:eastAsia="Times New Roman" w:hAnsi="Arial" w:cs="Arial"/>
          <w:color w:val="000000"/>
          <w:szCs w:val="22"/>
        </w:rPr>
        <w:t>Total number of objects in tomb</w:t>
      </w:r>
      <w:r w:rsidR="0000487B" w:rsidRPr="00846F6F">
        <w:rPr>
          <w:rFonts w:ascii="Arial" w:eastAsia="Times New Roman" w:hAnsi="Arial" w:cs="Arial"/>
          <w:color w:val="000000"/>
          <w:szCs w:val="22"/>
        </w:rPr>
        <w:t>=</w:t>
      </w:r>
      <w:r w:rsidR="00846F6F" w:rsidRPr="00846F6F">
        <w:rPr>
          <w:rFonts w:ascii="Arial" w:eastAsia="Times New Roman" w:hAnsi="Arial" w:cs="Arial"/>
          <w:color w:val="000000"/>
          <w:szCs w:val="22"/>
        </w:rPr>
        <w:t xml:space="preserve"> </w:t>
      </w:r>
      <w:r w:rsidR="0000487B" w:rsidRPr="00846F6F">
        <w:rPr>
          <w:rFonts w:ascii="Arial" w:eastAsia="Times New Roman" w:hAnsi="Arial" w:cs="Arial"/>
          <w:color w:val="000000"/>
          <w:szCs w:val="22"/>
        </w:rPr>
        <w:t>[NoRegionalPotImports]+[NoInternPotImports]+[NoLocalPots]+[NoCuLocalArtifacts]+[NoCuRegionalImport]+[NoBrzArtifacts]+[NoOtherMetalImports]+[NoOtherRegionalImport]+[NoOtherInternationalImport]+[NoOtherLocalGoods]+[NoIntraRegionalPotImport]+[NoLocalPicrolite]+[NoPicroliteImport]+[NoIntraRegionalImport]</w:t>
      </w:r>
    </w:p>
    <w:p w:rsidR="00920C1E" w:rsidRPr="00846F6F" w:rsidRDefault="00920C1E" w:rsidP="0000487B">
      <w:pPr>
        <w:spacing w:before="240" w:after="0" w:line="240" w:lineRule="auto"/>
        <w:rPr>
          <w:rFonts w:ascii="Arial" w:eastAsia="Times New Roman" w:hAnsi="Arial" w:cs="Arial"/>
          <w:color w:val="000000"/>
          <w:szCs w:val="22"/>
        </w:rPr>
      </w:pPr>
      <w:proofErr w:type="spellStart"/>
      <w:r w:rsidRPr="0000487B">
        <w:rPr>
          <w:rFonts w:ascii="Arial" w:eastAsia="Times New Roman" w:hAnsi="Arial" w:cs="Arial"/>
          <w:b/>
          <w:color w:val="000000"/>
          <w:szCs w:val="22"/>
        </w:rPr>
        <w:t>TotalImports</w:t>
      </w:r>
      <w:proofErr w:type="spellEnd"/>
      <w:r w:rsidR="00846F6F">
        <w:rPr>
          <w:rFonts w:ascii="Arial" w:eastAsia="Times New Roman" w:hAnsi="Arial" w:cs="Arial"/>
          <w:b/>
          <w:color w:val="000000"/>
          <w:szCs w:val="22"/>
        </w:rPr>
        <w:t xml:space="preserve">: </w:t>
      </w:r>
      <w:r w:rsidR="00846F6F" w:rsidRPr="00846F6F">
        <w:rPr>
          <w:rFonts w:ascii="Arial" w:eastAsia="Times New Roman" w:hAnsi="Arial" w:cs="Arial"/>
          <w:color w:val="000000"/>
          <w:szCs w:val="22"/>
        </w:rPr>
        <w:t>Total number of imported objects in tomb</w:t>
      </w:r>
      <w:r w:rsidR="0000487B" w:rsidRPr="00846F6F">
        <w:rPr>
          <w:rFonts w:ascii="Arial" w:eastAsia="Times New Roman" w:hAnsi="Arial" w:cs="Arial"/>
          <w:color w:val="000000"/>
          <w:szCs w:val="22"/>
        </w:rPr>
        <w:t>=</w:t>
      </w:r>
      <w:r w:rsidR="00846F6F" w:rsidRPr="00846F6F">
        <w:rPr>
          <w:rFonts w:ascii="Arial" w:eastAsia="Times New Roman" w:hAnsi="Arial" w:cs="Arial"/>
          <w:color w:val="000000"/>
          <w:szCs w:val="22"/>
        </w:rPr>
        <w:t xml:space="preserve"> </w:t>
      </w:r>
      <w:r w:rsidR="0000487B" w:rsidRPr="00846F6F">
        <w:rPr>
          <w:rFonts w:ascii="Arial" w:eastAsia="Times New Roman" w:hAnsi="Arial" w:cs="Arial"/>
          <w:color w:val="000000"/>
          <w:szCs w:val="22"/>
        </w:rPr>
        <w:t>[NoRegionalPotImports]+[NoInternPotImports]+[NoBrzArtifacts]+[NoOtherMetalImports]+[NoOtherRegionalImport]+[NoOtherInternationalImport]+[NoIntraRegionalPotImport]+[NoPicroliteImport]+[NoIntraRegionalImport]</w:t>
      </w:r>
    </w:p>
    <w:p w:rsidR="00920C1E" w:rsidRPr="00846F6F" w:rsidRDefault="00920C1E" w:rsidP="0000487B">
      <w:pPr>
        <w:spacing w:before="240" w:after="0" w:line="240" w:lineRule="auto"/>
        <w:rPr>
          <w:rFonts w:ascii="Arial" w:eastAsia="Times New Roman" w:hAnsi="Arial" w:cs="Arial"/>
          <w:color w:val="000000"/>
          <w:szCs w:val="22"/>
        </w:rPr>
      </w:pPr>
      <w:proofErr w:type="spellStart"/>
      <w:r w:rsidRPr="0000487B">
        <w:rPr>
          <w:rFonts w:ascii="Arial" w:eastAsia="Times New Roman" w:hAnsi="Arial" w:cs="Arial"/>
          <w:b/>
          <w:color w:val="000000"/>
          <w:szCs w:val="22"/>
        </w:rPr>
        <w:t>TotalFeasting</w:t>
      </w:r>
      <w:proofErr w:type="spellEnd"/>
      <w:r w:rsidR="00846F6F">
        <w:rPr>
          <w:rFonts w:ascii="Arial" w:eastAsia="Times New Roman" w:hAnsi="Arial" w:cs="Arial"/>
          <w:b/>
          <w:color w:val="000000"/>
          <w:szCs w:val="22"/>
        </w:rPr>
        <w:t xml:space="preserve">: </w:t>
      </w:r>
      <w:r w:rsidR="00846F6F">
        <w:rPr>
          <w:rFonts w:ascii="Arial" w:eastAsia="Times New Roman" w:hAnsi="Arial" w:cs="Arial"/>
          <w:color w:val="000000"/>
          <w:szCs w:val="22"/>
        </w:rPr>
        <w:t>Total number of objects associated with funerary feast</w:t>
      </w:r>
      <w:r w:rsidR="0000487B" w:rsidRPr="00846F6F">
        <w:rPr>
          <w:rFonts w:ascii="Arial" w:eastAsia="Times New Roman" w:hAnsi="Arial" w:cs="Arial"/>
          <w:color w:val="000000"/>
          <w:szCs w:val="22"/>
        </w:rPr>
        <w:t>=</w:t>
      </w:r>
      <w:r w:rsidR="00846F6F" w:rsidRPr="00846F6F">
        <w:rPr>
          <w:rFonts w:ascii="Arial" w:eastAsia="Times New Roman" w:hAnsi="Arial" w:cs="Arial"/>
          <w:color w:val="000000"/>
          <w:szCs w:val="22"/>
        </w:rPr>
        <w:t xml:space="preserve"> </w:t>
      </w:r>
      <w:r w:rsidR="0000487B" w:rsidRPr="00846F6F">
        <w:rPr>
          <w:rFonts w:ascii="Arial" w:eastAsia="Times New Roman" w:hAnsi="Arial" w:cs="Arial"/>
          <w:color w:val="000000"/>
          <w:szCs w:val="22"/>
        </w:rPr>
        <w:t xml:space="preserve">[NoRegionalPotImports]+[NoInternPotImports]+[NoLocalPots]+[NoFeastingSpecial]+[NoAnimalBone]+[NoIntraRegionalPotImport] </w:t>
      </w:r>
    </w:p>
    <w:p w:rsidR="000E1B59" w:rsidRPr="00846F6F" w:rsidRDefault="00920C1E" w:rsidP="00846F6F">
      <w:pPr>
        <w:spacing w:before="240" w:after="0" w:line="240" w:lineRule="auto"/>
        <w:rPr>
          <w:rFonts w:ascii="Arial" w:eastAsia="Times New Roman" w:hAnsi="Arial" w:cs="Arial"/>
          <w:b/>
          <w:color w:val="000000"/>
          <w:szCs w:val="22"/>
        </w:rPr>
      </w:pPr>
      <w:proofErr w:type="spellStart"/>
      <w:r w:rsidRPr="0000487B">
        <w:rPr>
          <w:rFonts w:ascii="Arial" w:eastAsia="Times New Roman" w:hAnsi="Arial" w:cs="Arial"/>
          <w:b/>
          <w:color w:val="000000"/>
          <w:szCs w:val="22"/>
        </w:rPr>
        <w:t>TotalLocalImport</w:t>
      </w:r>
      <w:proofErr w:type="spellEnd"/>
      <w:r w:rsidR="00846F6F">
        <w:rPr>
          <w:rFonts w:ascii="Arial" w:eastAsia="Times New Roman" w:hAnsi="Arial" w:cs="Arial"/>
          <w:b/>
          <w:color w:val="000000"/>
          <w:szCs w:val="22"/>
        </w:rPr>
        <w:t xml:space="preserve">: </w:t>
      </w:r>
      <w:r w:rsidR="00846F6F" w:rsidRPr="00846F6F">
        <w:rPr>
          <w:rFonts w:ascii="Arial" w:eastAsia="Times New Roman" w:hAnsi="Arial" w:cs="Arial"/>
          <w:color w:val="000000"/>
          <w:szCs w:val="22"/>
        </w:rPr>
        <w:t>Total number of objects imported objects excluding international imports</w:t>
      </w:r>
      <w:r w:rsidR="0000487B" w:rsidRPr="00846F6F">
        <w:rPr>
          <w:rFonts w:ascii="Arial" w:eastAsia="Times New Roman" w:hAnsi="Arial" w:cs="Arial"/>
          <w:color w:val="000000"/>
          <w:szCs w:val="22"/>
        </w:rPr>
        <w:t>=</w:t>
      </w:r>
      <w:r w:rsidR="00846F6F">
        <w:rPr>
          <w:rFonts w:ascii="Arial" w:eastAsia="Times New Roman" w:hAnsi="Arial" w:cs="Arial"/>
          <w:b/>
          <w:color w:val="000000"/>
          <w:szCs w:val="22"/>
        </w:rPr>
        <w:t xml:space="preserve"> </w:t>
      </w:r>
      <w:r w:rsidR="0000487B" w:rsidRPr="00846F6F">
        <w:rPr>
          <w:rFonts w:ascii="Arial" w:eastAsia="Times New Roman" w:hAnsi="Arial" w:cs="Arial"/>
          <w:color w:val="000000"/>
          <w:szCs w:val="22"/>
        </w:rPr>
        <w:t>[NoRegionalPotImports]+[NoOtherRegionalImport]+[NoIntraRegionalPotImport]+[NoIntraRegionalImport]+[NoPicroliteImport]</w:t>
      </w:r>
    </w:p>
    <w:sectPr w:rsidR="000E1B59" w:rsidRPr="00846F6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FCA" w:rsidRDefault="003B2FCA" w:rsidP="00846F6F">
      <w:pPr>
        <w:spacing w:after="0" w:line="240" w:lineRule="auto"/>
      </w:pPr>
      <w:r>
        <w:separator/>
      </w:r>
    </w:p>
  </w:endnote>
  <w:endnote w:type="continuationSeparator" w:id="0">
    <w:p w:rsidR="003B2FCA" w:rsidRDefault="003B2FCA" w:rsidP="0084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132442"/>
      <w:docPartObj>
        <w:docPartGallery w:val="Page Numbers (Bottom of Page)"/>
        <w:docPartUnique/>
      </w:docPartObj>
    </w:sdtPr>
    <w:sdtEndPr>
      <w:rPr>
        <w:noProof/>
      </w:rPr>
    </w:sdtEndPr>
    <w:sdtContent>
      <w:p w:rsidR="00846F6F" w:rsidRDefault="00846F6F">
        <w:pPr>
          <w:pStyle w:val="Footer"/>
          <w:jc w:val="right"/>
        </w:pPr>
        <w:r>
          <w:t xml:space="preserve">Swantek </w:t>
        </w:r>
        <w:proofErr w:type="spellStart"/>
        <w:r>
          <w:t>CyprusPreBAData</w:t>
        </w:r>
        <w:proofErr w:type="spellEnd"/>
        <w:r>
          <w:t xml:space="preserve"> </w:t>
        </w:r>
        <w:r>
          <w:fldChar w:fldCharType="begin"/>
        </w:r>
        <w:r>
          <w:instrText xml:space="preserve"> PAGE   \* MERGEFORMAT </w:instrText>
        </w:r>
        <w:r>
          <w:fldChar w:fldCharType="separate"/>
        </w:r>
        <w:r w:rsidR="00B16105">
          <w:rPr>
            <w:noProof/>
          </w:rPr>
          <w:t>4</w:t>
        </w:r>
        <w:r>
          <w:rPr>
            <w:noProof/>
          </w:rPr>
          <w:fldChar w:fldCharType="end"/>
        </w:r>
      </w:p>
    </w:sdtContent>
  </w:sdt>
  <w:p w:rsidR="00846F6F" w:rsidRDefault="00846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FCA" w:rsidRDefault="003B2FCA" w:rsidP="00846F6F">
      <w:pPr>
        <w:spacing w:after="0" w:line="240" w:lineRule="auto"/>
      </w:pPr>
      <w:r>
        <w:separator/>
      </w:r>
    </w:p>
  </w:footnote>
  <w:footnote w:type="continuationSeparator" w:id="0">
    <w:p w:rsidR="003B2FCA" w:rsidRDefault="003B2FCA" w:rsidP="00846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59"/>
    <w:rsid w:val="0000487B"/>
    <w:rsid w:val="000E1B59"/>
    <w:rsid w:val="00107D73"/>
    <w:rsid w:val="0021792C"/>
    <w:rsid w:val="003B2FCA"/>
    <w:rsid w:val="005F3F54"/>
    <w:rsid w:val="007103BA"/>
    <w:rsid w:val="007228B2"/>
    <w:rsid w:val="00846F6F"/>
    <w:rsid w:val="00862450"/>
    <w:rsid w:val="0087198A"/>
    <w:rsid w:val="00920C1E"/>
    <w:rsid w:val="00936317"/>
    <w:rsid w:val="00951156"/>
    <w:rsid w:val="00A57DD0"/>
    <w:rsid w:val="00B16105"/>
    <w:rsid w:val="00D35688"/>
    <w:rsid w:val="00DE1537"/>
    <w:rsid w:val="00E9024B"/>
    <w:rsid w:val="00E90597"/>
    <w:rsid w:val="00EA7FE8"/>
    <w:rsid w:val="00F3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3995"/>
  <w15:chartTrackingRefBased/>
  <w15:docId w15:val="{DF5C6780-9112-49AB-AE5B-186E1116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0E1B59"/>
  </w:style>
  <w:style w:type="paragraph" w:styleId="Heading1">
    <w:name w:val="heading 1"/>
    <w:basedOn w:val="Normal"/>
    <w:next w:val="Normal"/>
    <w:link w:val="Heading1Char"/>
    <w:uiPriority w:val="9"/>
    <w:qFormat/>
    <w:rsid w:val="00710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ChTitle">
    <w:name w:val="Diss Ch Title"/>
    <w:basedOn w:val="Normal"/>
    <w:next w:val="Title"/>
    <w:link w:val="DissChTitleChar"/>
    <w:qFormat/>
    <w:rsid w:val="007103BA"/>
    <w:pPr>
      <w:spacing w:before="120" w:after="280" w:line="480" w:lineRule="auto"/>
      <w:jc w:val="center"/>
    </w:pPr>
    <w:rPr>
      <w:b/>
    </w:rPr>
  </w:style>
  <w:style w:type="character" w:customStyle="1" w:styleId="DissChTitleChar">
    <w:name w:val="Diss Ch Title Char"/>
    <w:basedOn w:val="DefaultParagraphFont"/>
    <w:link w:val="DissChTitle"/>
    <w:rsid w:val="007103BA"/>
    <w:rPr>
      <w:b/>
    </w:rPr>
  </w:style>
  <w:style w:type="paragraph" w:styleId="Title">
    <w:name w:val="Title"/>
    <w:basedOn w:val="Normal"/>
    <w:next w:val="Normal"/>
    <w:link w:val="TitleChar"/>
    <w:uiPriority w:val="10"/>
    <w:qFormat/>
    <w:rsid w:val="00710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3BA"/>
    <w:rPr>
      <w:rFonts w:asciiTheme="majorHAnsi" w:eastAsiaTheme="majorEastAsia" w:hAnsiTheme="majorHAnsi" w:cstheme="majorBidi"/>
      <w:spacing w:val="-10"/>
      <w:kern w:val="28"/>
      <w:sz w:val="56"/>
      <w:szCs w:val="56"/>
    </w:rPr>
  </w:style>
  <w:style w:type="paragraph" w:customStyle="1" w:styleId="DissSubheading">
    <w:name w:val="Diss Subheading"/>
    <w:basedOn w:val="Normal"/>
    <w:link w:val="DissSubheadingChar"/>
    <w:rsid w:val="007103BA"/>
    <w:pPr>
      <w:spacing w:line="480" w:lineRule="auto"/>
    </w:pPr>
    <w:rPr>
      <w:i/>
    </w:rPr>
  </w:style>
  <w:style w:type="character" w:customStyle="1" w:styleId="DissSubheadingChar">
    <w:name w:val="Diss Subheading Char"/>
    <w:basedOn w:val="DefaultParagraphFont"/>
    <w:link w:val="DissSubheading"/>
    <w:rsid w:val="007103BA"/>
    <w:rPr>
      <w:i/>
    </w:rPr>
  </w:style>
  <w:style w:type="paragraph" w:customStyle="1" w:styleId="DissChsubtitle">
    <w:name w:val="Diss Ch subtitle"/>
    <w:basedOn w:val="DissChTitle"/>
    <w:qFormat/>
    <w:rsid w:val="007103BA"/>
  </w:style>
  <w:style w:type="paragraph" w:customStyle="1" w:styleId="DissSectionHeading">
    <w:name w:val="Diss Section Heading"/>
    <w:qFormat/>
    <w:rsid w:val="007103BA"/>
    <w:pPr>
      <w:keepNext/>
      <w:spacing w:after="0" w:line="480" w:lineRule="auto"/>
    </w:pPr>
    <w:rPr>
      <w:i/>
    </w:rPr>
  </w:style>
  <w:style w:type="character" w:customStyle="1" w:styleId="Heading1Char">
    <w:name w:val="Heading 1 Char"/>
    <w:basedOn w:val="DefaultParagraphFont"/>
    <w:link w:val="Heading1"/>
    <w:uiPriority w:val="9"/>
    <w:rsid w:val="00710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103B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103BA"/>
    <w:pPr>
      <w:spacing w:after="100"/>
    </w:pPr>
  </w:style>
  <w:style w:type="paragraph" w:styleId="TOC2">
    <w:name w:val="toc 2"/>
    <w:basedOn w:val="Normal"/>
    <w:next w:val="Normal"/>
    <w:autoRedefine/>
    <w:uiPriority w:val="39"/>
    <w:unhideWhenUsed/>
    <w:rsid w:val="007103BA"/>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103BA"/>
    <w:pPr>
      <w:spacing w:after="100"/>
      <w:ind w:left="440"/>
    </w:pPr>
    <w:rPr>
      <w:rFonts w:asciiTheme="minorHAnsi" w:eastAsiaTheme="minorEastAsia" w:hAnsiTheme="minorHAnsi" w:cs="Times New Roman"/>
      <w:sz w:val="22"/>
    </w:rPr>
  </w:style>
  <w:style w:type="paragraph" w:styleId="FootnoteText">
    <w:name w:val="footnote text"/>
    <w:basedOn w:val="Normal"/>
    <w:link w:val="FootnoteTextChar"/>
    <w:uiPriority w:val="99"/>
    <w:semiHidden/>
    <w:unhideWhenUsed/>
    <w:rsid w:val="007103BA"/>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103BA"/>
    <w:rPr>
      <w:rFonts w:asciiTheme="minorHAnsi" w:hAnsiTheme="minorHAnsi"/>
      <w:sz w:val="20"/>
      <w:szCs w:val="20"/>
    </w:rPr>
  </w:style>
  <w:style w:type="paragraph" w:styleId="CommentText">
    <w:name w:val="annotation text"/>
    <w:basedOn w:val="Normal"/>
    <w:link w:val="CommentTextChar"/>
    <w:uiPriority w:val="99"/>
    <w:semiHidden/>
    <w:unhideWhenUsed/>
    <w:rsid w:val="007103BA"/>
    <w:pPr>
      <w:spacing w:line="240" w:lineRule="auto"/>
    </w:pPr>
    <w:rPr>
      <w:sz w:val="20"/>
      <w:szCs w:val="20"/>
    </w:rPr>
  </w:style>
  <w:style w:type="character" w:customStyle="1" w:styleId="CommentTextChar">
    <w:name w:val="Comment Text Char"/>
    <w:basedOn w:val="DefaultParagraphFont"/>
    <w:link w:val="CommentText"/>
    <w:uiPriority w:val="99"/>
    <w:semiHidden/>
    <w:rsid w:val="007103BA"/>
    <w:rPr>
      <w:sz w:val="20"/>
      <w:szCs w:val="20"/>
    </w:rPr>
  </w:style>
  <w:style w:type="paragraph" w:styleId="Header">
    <w:name w:val="header"/>
    <w:basedOn w:val="Normal"/>
    <w:link w:val="HeaderChar"/>
    <w:uiPriority w:val="99"/>
    <w:unhideWhenUsed/>
    <w:rsid w:val="00710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3BA"/>
  </w:style>
  <w:style w:type="paragraph" w:styleId="Footer">
    <w:name w:val="footer"/>
    <w:basedOn w:val="Normal"/>
    <w:link w:val="FooterChar"/>
    <w:uiPriority w:val="99"/>
    <w:unhideWhenUsed/>
    <w:rsid w:val="00710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3BA"/>
  </w:style>
  <w:style w:type="paragraph" w:styleId="Caption">
    <w:name w:val="caption"/>
    <w:basedOn w:val="Normal"/>
    <w:next w:val="Normal"/>
    <w:uiPriority w:val="35"/>
    <w:unhideWhenUsed/>
    <w:qFormat/>
    <w:rsid w:val="007103BA"/>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sid w:val="007103BA"/>
    <w:rPr>
      <w:vertAlign w:val="superscript"/>
    </w:rPr>
  </w:style>
  <w:style w:type="character" w:styleId="CommentReference">
    <w:name w:val="annotation reference"/>
    <w:basedOn w:val="DefaultParagraphFont"/>
    <w:uiPriority w:val="99"/>
    <w:semiHidden/>
    <w:unhideWhenUsed/>
    <w:rsid w:val="007103BA"/>
    <w:rPr>
      <w:sz w:val="16"/>
      <w:szCs w:val="16"/>
    </w:rPr>
  </w:style>
  <w:style w:type="paragraph" w:styleId="EndnoteText">
    <w:name w:val="endnote text"/>
    <w:basedOn w:val="Normal"/>
    <w:link w:val="EndnoteTextChar"/>
    <w:uiPriority w:val="99"/>
    <w:semiHidden/>
    <w:unhideWhenUsed/>
    <w:rsid w:val="007103BA"/>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7103B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103BA"/>
    <w:rPr>
      <w:b/>
      <w:bCs/>
    </w:rPr>
  </w:style>
  <w:style w:type="character" w:customStyle="1" w:styleId="CommentSubjectChar">
    <w:name w:val="Comment Subject Char"/>
    <w:basedOn w:val="CommentTextChar"/>
    <w:link w:val="CommentSubject"/>
    <w:uiPriority w:val="99"/>
    <w:semiHidden/>
    <w:rsid w:val="007103BA"/>
    <w:rPr>
      <w:b/>
      <w:bCs/>
      <w:sz w:val="20"/>
      <w:szCs w:val="20"/>
    </w:rPr>
  </w:style>
  <w:style w:type="paragraph" w:styleId="BalloonText">
    <w:name w:val="Balloon Text"/>
    <w:basedOn w:val="Normal"/>
    <w:link w:val="BalloonTextChar"/>
    <w:uiPriority w:val="99"/>
    <w:semiHidden/>
    <w:unhideWhenUsed/>
    <w:rsid w:val="00710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BA"/>
    <w:rPr>
      <w:rFonts w:ascii="Segoe UI" w:hAnsi="Segoe UI" w:cs="Segoe UI"/>
      <w:sz w:val="18"/>
      <w:szCs w:val="18"/>
    </w:rPr>
  </w:style>
  <w:style w:type="table" w:styleId="TableGrid">
    <w:name w:val="Table Grid"/>
    <w:basedOn w:val="TableNormal"/>
    <w:uiPriority w:val="39"/>
    <w:rsid w:val="0071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3BA"/>
    <w:rPr>
      <w:color w:val="808080"/>
    </w:rPr>
  </w:style>
  <w:style w:type="paragraph" w:styleId="Bibliography">
    <w:name w:val="Bibliography"/>
    <w:basedOn w:val="Normal"/>
    <w:next w:val="Normal"/>
    <w:uiPriority w:val="37"/>
    <w:unhideWhenUsed/>
    <w:rsid w:val="007103BA"/>
    <w:pPr>
      <w:spacing w:after="0" w:line="240" w:lineRule="auto"/>
    </w:pPr>
  </w:style>
  <w:style w:type="paragraph" w:styleId="TOCHeading">
    <w:name w:val="TOC Heading"/>
    <w:basedOn w:val="Heading1"/>
    <w:next w:val="Normal"/>
    <w:uiPriority w:val="39"/>
    <w:unhideWhenUsed/>
    <w:qFormat/>
    <w:rsid w:val="007103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7365">
      <w:bodyDiv w:val="1"/>
      <w:marLeft w:val="0"/>
      <w:marRight w:val="0"/>
      <w:marTop w:val="0"/>
      <w:marBottom w:val="0"/>
      <w:divBdr>
        <w:top w:val="none" w:sz="0" w:space="0" w:color="auto"/>
        <w:left w:val="none" w:sz="0" w:space="0" w:color="auto"/>
        <w:bottom w:val="none" w:sz="0" w:space="0" w:color="auto"/>
        <w:right w:val="none" w:sz="0" w:space="0" w:color="auto"/>
      </w:divBdr>
    </w:div>
    <w:div w:id="59522041">
      <w:bodyDiv w:val="1"/>
      <w:marLeft w:val="0"/>
      <w:marRight w:val="0"/>
      <w:marTop w:val="0"/>
      <w:marBottom w:val="0"/>
      <w:divBdr>
        <w:top w:val="none" w:sz="0" w:space="0" w:color="auto"/>
        <w:left w:val="none" w:sz="0" w:space="0" w:color="auto"/>
        <w:bottom w:val="none" w:sz="0" w:space="0" w:color="auto"/>
        <w:right w:val="none" w:sz="0" w:space="0" w:color="auto"/>
      </w:divBdr>
    </w:div>
    <w:div w:id="107314557">
      <w:bodyDiv w:val="1"/>
      <w:marLeft w:val="0"/>
      <w:marRight w:val="0"/>
      <w:marTop w:val="0"/>
      <w:marBottom w:val="0"/>
      <w:divBdr>
        <w:top w:val="none" w:sz="0" w:space="0" w:color="auto"/>
        <w:left w:val="none" w:sz="0" w:space="0" w:color="auto"/>
        <w:bottom w:val="none" w:sz="0" w:space="0" w:color="auto"/>
        <w:right w:val="none" w:sz="0" w:space="0" w:color="auto"/>
      </w:divBdr>
    </w:div>
    <w:div w:id="128941738">
      <w:bodyDiv w:val="1"/>
      <w:marLeft w:val="0"/>
      <w:marRight w:val="0"/>
      <w:marTop w:val="0"/>
      <w:marBottom w:val="0"/>
      <w:divBdr>
        <w:top w:val="none" w:sz="0" w:space="0" w:color="auto"/>
        <w:left w:val="none" w:sz="0" w:space="0" w:color="auto"/>
        <w:bottom w:val="none" w:sz="0" w:space="0" w:color="auto"/>
        <w:right w:val="none" w:sz="0" w:space="0" w:color="auto"/>
      </w:divBdr>
    </w:div>
    <w:div w:id="159543110">
      <w:bodyDiv w:val="1"/>
      <w:marLeft w:val="0"/>
      <w:marRight w:val="0"/>
      <w:marTop w:val="0"/>
      <w:marBottom w:val="0"/>
      <w:divBdr>
        <w:top w:val="none" w:sz="0" w:space="0" w:color="auto"/>
        <w:left w:val="none" w:sz="0" w:space="0" w:color="auto"/>
        <w:bottom w:val="none" w:sz="0" w:space="0" w:color="auto"/>
        <w:right w:val="none" w:sz="0" w:space="0" w:color="auto"/>
      </w:divBdr>
    </w:div>
    <w:div w:id="163785574">
      <w:bodyDiv w:val="1"/>
      <w:marLeft w:val="0"/>
      <w:marRight w:val="0"/>
      <w:marTop w:val="0"/>
      <w:marBottom w:val="0"/>
      <w:divBdr>
        <w:top w:val="none" w:sz="0" w:space="0" w:color="auto"/>
        <w:left w:val="none" w:sz="0" w:space="0" w:color="auto"/>
        <w:bottom w:val="none" w:sz="0" w:space="0" w:color="auto"/>
        <w:right w:val="none" w:sz="0" w:space="0" w:color="auto"/>
      </w:divBdr>
    </w:div>
    <w:div w:id="188684766">
      <w:bodyDiv w:val="1"/>
      <w:marLeft w:val="0"/>
      <w:marRight w:val="0"/>
      <w:marTop w:val="0"/>
      <w:marBottom w:val="0"/>
      <w:divBdr>
        <w:top w:val="none" w:sz="0" w:space="0" w:color="auto"/>
        <w:left w:val="none" w:sz="0" w:space="0" w:color="auto"/>
        <w:bottom w:val="none" w:sz="0" w:space="0" w:color="auto"/>
        <w:right w:val="none" w:sz="0" w:space="0" w:color="auto"/>
      </w:divBdr>
    </w:div>
    <w:div w:id="235286546">
      <w:bodyDiv w:val="1"/>
      <w:marLeft w:val="0"/>
      <w:marRight w:val="0"/>
      <w:marTop w:val="0"/>
      <w:marBottom w:val="0"/>
      <w:divBdr>
        <w:top w:val="none" w:sz="0" w:space="0" w:color="auto"/>
        <w:left w:val="none" w:sz="0" w:space="0" w:color="auto"/>
        <w:bottom w:val="none" w:sz="0" w:space="0" w:color="auto"/>
        <w:right w:val="none" w:sz="0" w:space="0" w:color="auto"/>
      </w:divBdr>
    </w:div>
    <w:div w:id="362171849">
      <w:bodyDiv w:val="1"/>
      <w:marLeft w:val="0"/>
      <w:marRight w:val="0"/>
      <w:marTop w:val="0"/>
      <w:marBottom w:val="0"/>
      <w:divBdr>
        <w:top w:val="none" w:sz="0" w:space="0" w:color="auto"/>
        <w:left w:val="none" w:sz="0" w:space="0" w:color="auto"/>
        <w:bottom w:val="none" w:sz="0" w:space="0" w:color="auto"/>
        <w:right w:val="none" w:sz="0" w:space="0" w:color="auto"/>
      </w:divBdr>
    </w:div>
    <w:div w:id="399602344">
      <w:bodyDiv w:val="1"/>
      <w:marLeft w:val="0"/>
      <w:marRight w:val="0"/>
      <w:marTop w:val="0"/>
      <w:marBottom w:val="0"/>
      <w:divBdr>
        <w:top w:val="none" w:sz="0" w:space="0" w:color="auto"/>
        <w:left w:val="none" w:sz="0" w:space="0" w:color="auto"/>
        <w:bottom w:val="none" w:sz="0" w:space="0" w:color="auto"/>
        <w:right w:val="none" w:sz="0" w:space="0" w:color="auto"/>
      </w:divBdr>
    </w:div>
    <w:div w:id="432360657">
      <w:bodyDiv w:val="1"/>
      <w:marLeft w:val="0"/>
      <w:marRight w:val="0"/>
      <w:marTop w:val="0"/>
      <w:marBottom w:val="0"/>
      <w:divBdr>
        <w:top w:val="none" w:sz="0" w:space="0" w:color="auto"/>
        <w:left w:val="none" w:sz="0" w:space="0" w:color="auto"/>
        <w:bottom w:val="none" w:sz="0" w:space="0" w:color="auto"/>
        <w:right w:val="none" w:sz="0" w:space="0" w:color="auto"/>
      </w:divBdr>
    </w:div>
    <w:div w:id="465968831">
      <w:bodyDiv w:val="1"/>
      <w:marLeft w:val="0"/>
      <w:marRight w:val="0"/>
      <w:marTop w:val="0"/>
      <w:marBottom w:val="0"/>
      <w:divBdr>
        <w:top w:val="none" w:sz="0" w:space="0" w:color="auto"/>
        <w:left w:val="none" w:sz="0" w:space="0" w:color="auto"/>
        <w:bottom w:val="none" w:sz="0" w:space="0" w:color="auto"/>
        <w:right w:val="none" w:sz="0" w:space="0" w:color="auto"/>
      </w:divBdr>
    </w:div>
    <w:div w:id="519855603">
      <w:bodyDiv w:val="1"/>
      <w:marLeft w:val="0"/>
      <w:marRight w:val="0"/>
      <w:marTop w:val="0"/>
      <w:marBottom w:val="0"/>
      <w:divBdr>
        <w:top w:val="none" w:sz="0" w:space="0" w:color="auto"/>
        <w:left w:val="none" w:sz="0" w:space="0" w:color="auto"/>
        <w:bottom w:val="none" w:sz="0" w:space="0" w:color="auto"/>
        <w:right w:val="none" w:sz="0" w:space="0" w:color="auto"/>
      </w:divBdr>
    </w:div>
    <w:div w:id="521239599">
      <w:bodyDiv w:val="1"/>
      <w:marLeft w:val="0"/>
      <w:marRight w:val="0"/>
      <w:marTop w:val="0"/>
      <w:marBottom w:val="0"/>
      <w:divBdr>
        <w:top w:val="none" w:sz="0" w:space="0" w:color="auto"/>
        <w:left w:val="none" w:sz="0" w:space="0" w:color="auto"/>
        <w:bottom w:val="none" w:sz="0" w:space="0" w:color="auto"/>
        <w:right w:val="none" w:sz="0" w:space="0" w:color="auto"/>
      </w:divBdr>
    </w:div>
    <w:div w:id="557716073">
      <w:bodyDiv w:val="1"/>
      <w:marLeft w:val="0"/>
      <w:marRight w:val="0"/>
      <w:marTop w:val="0"/>
      <w:marBottom w:val="0"/>
      <w:divBdr>
        <w:top w:val="none" w:sz="0" w:space="0" w:color="auto"/>
        <w:left w:val="none" w:sz="0" w:space="0" w:color="auto"/>
        <w:bottom w:val="none" w:sz="0" w:space="0" w:color="auto"/>
        <w:right w:val="none" w:sz="0" w:space="0" w:color="auto"/>
      </w:divBdr>
    </w:div>
    <w:div w:id="565647995">
      <w:bodyDiv w:val="1"/>
      <w:marLeft w:val="0"/>
      <w:marRight w:val="0"/>
      <w:marTop w:val="0"/>
      <w:marBottom w:val="0"/>
      <w:divBdr>
        <w:top w:val="none" w:sz="0" w:space="0" w:color="auto"/>
        <w:left w:val="none" w:sz="0" w:space="0" w:color="auto"/>
        <w:bottom w:val="none" w:sz="0" w:space="0" w:color="auto"/>
        <w:right w:val="none" w:sz="0" w:space="0" w:color="auto"/>
      </w:divBdr>
    </w:div>
    <w:div w:id="567227495">
      <w:bodyDiv w:val="1"/>
      <w:marLeft w:val="0"/>
      <w:marRight w:val="0"/>
      <w:marTop w:val="0"/>
      <w:marBottom w:val="0"/>
      <w:divBdr>
        <w:top w:val="none" w:sz="0" w:space="0" w:color="auto"/>
        <w:left w:val="none" w:sz="0" w:space="0" w:color="auto"/>
        <w:bottom w:val="none" w:sz="0" w:space="0" w:color="auto"/>
        <w:right w:val="none" w:sz="0" w:space="0" w:color="auto"/>
      </w:divBdr>
    </w:div>
    <w:div w:id="577591273">
      <w:bodyDiv w:val="1"/>
      <w:marLeft w:val="0"/>
      <w:marRight w:val="0"/>
      <w:marTop w:val="0"/>
      <w:marBottom w:val="0"/>
      <w:divBdr>
        <w:top w:val="none" w:sz="0" w:space="0" w:color="auto"/>
        <w:left w:val="none" w:sz="0" w:space="0" w:color="auto"/>
        <w:bottom w:val="none" w:sz="0" w:space="0" w:color="auto"/>
        <w:right w:val="none" w:sz="0" w:space="0" w:color="auto"/>
      </w:divBdr>
    </w:div>
    <w:div w:id="577637805">
      <w:bodyDiv w:val="1"/>
      <w:marLeft w:val="0"/>
      <w:marRight w:val="0"/>
      <w:marTop w:val="0"/>
      <w:marBottom w:val="0"/>
      <w:divBdr>
        <w:top w:val="none" w:sz="0" w:space="0" w:color="auto"/>
        <w:left w:val="none" w:sz="0" w:space="0" w:color="auto"/>
        <w:bottom w:val="none" w:sz="0" w:space="0" w:color="auto"/>
        <w:right w:val="none" w:sz="0" w:space="0" w:color="auto"/>
      </w:divBdr>
    </w:div>
    <w:div w:id="743726316">
      <w:bodyDiv w:val="1"/>
      <w:marLeft w:val="0"/>
      <w:marRight w:val="0"/>
      <w:marTop w:val="0"/>
      <w:marBottom w:val="0"/>
      <w:divBdr>
        <w:top w:val="none" w:sz="0" w:space="0" w:color="auto"/>
        <w:left w:val="none" w:sz="0" w:space="0" w:color="auto"/>
        <w:bottom w:val="none" w:sz="0" w:space="0" w:color="auto"/>
        <w:right w:val="none" w:sz="0" w:space="0" w:color="auto"/>
      </w:divBdr>
    </w:div>
    <w:div w:id="746540925">
      <w:bodyDiv w:val="1"/>
      <w:marLeft w:val="0"/>
      <w:marRight w:val="0"/>
      <w:marTop w:val="0"/>
      <w:marBottom w:val="0"/>
      <w:divBdr>
        <w:top w:val="none" w:sz="0" w:space="0" w:color="auto"/>
        <w:left w:val="none" w:sz="0" w:space="0" w:color="auto"/>
        <w:bottom w:val="none" w:sz="0" w:space="0" w:color="auto"/>
        <w:right w:val="none" w:sz="0" w:space="0" w:color="auto"/>
      </w:divBdr>
    </w:div>
    <w:div w:id="749740219">
      <w:bodyDiv w:val="1"/>
      <w:marLeft w:val="0"/>
      <w:marRight w:val="0"/>
      <w:marTop w:val="0"/>
      <w:marBottom w:val="0"/>
      <w:divBdr>
        <w:top w:val="none" w:sz="0" w:space="0" w:color="auto"/>
        <w:left w:val="none" w:sz="0" w:space="0" w:color="auto"/>
        <w:bottom w:val="none" w:sz="0" w:space="0" w:color="auto"/>
        <w:right w:val="none" w:sz="0" w:space="0" w:color="auto"/>
      </w:divBdr>
    </w:div>
    <w:div w:id="936908427">
      <w:bodyDiv w:val="1"/>
      <w:marLeft w:val="0"/>
      <w:marRight w:val="0"/>
      <w:marTop w:val="0"/>
      <w:marBottom w:val="0"/>
      <w:divBdr>
        <w:top w:val="none" w:sz="0" w:space="0" w:color="auto"/>
        <w:left w:val="none" w:sz="0" w:space="0" w:color="auto"/>
        <w:bottom w:val="none" w:sz="0" w:space="0" w:color="auto"/>
        <w:right w:val="none" w:sz="0" w:space="0" w:color="auto"/>
      </w:divBdr>
    </w:div>
    <w:div w:id="962344474">
      <w:bodyDiv w:val="1"/>
      <w:marLeft w:val="0"/>
      <w:marRight w:val="0"/>
      <w:marTop w:val="0"/>
      <w:marBottom w:val="0"/>
      <w:divBdr>
        <w:top w:val="none" w:sz="0" w:space="0" w:color="auto"/>
        <w:left w:val="none" w:sz="0" w:space="0" w:color="auto"/>
        <w:bottom w:val="none" w:sz="0" w:space="0" w:color="auto"/>
        <w:right w:val="none" w:sz="0" w:space="0" w:color="auto"/>
      </w:divBdr>
    </w:div>
    <w:div w:id="992218165">
      <w:bodyDiv w:val="1"/>
      <w:marLeft w:val="0"/>
      <w:marRight w:val="0"/>
      <w:marTop w:val="0"/>
      <w:marBottom w:val="0"/>
      <w:divBdr>
        <w:top w:val="none" w:sz="0" w:space="0" w:color="auto"/>
        <w:left w:val="none" w:sz="0" w:space="0" w:color="auto"/>
        <w:bottom w:val="none" w:sz="0" w:space="0" w:color="auto"/>
        <w:right w:val="none" w:sz="0" w:space="0" w:color="auto"/>
      </w:divBdr>
    </w:div>
    <w:div w:id="1012878072">
      <w:bodyDiv w:val="1"/>
      <w:marLeft w:val="0"/>
      <w:marRight w:val="0"/>
      <w:marTop w:val="0"/>
      <w:marBottom w:val="0"/>
      <w:divBdr>
        <w:top w:val="none" w:sz="0" w:space="0" w:color="auto"/>
        <w:left w:val="none" w:sz="0" w:space="0" w:color="auto"/>
        <w:bottom w:val="none" w:sz="0" w:space="0" w:color="auto"/>
        <w:right w:val="none" w:sz="0" w:space="0" w:color="auto"/>
      </w:divBdr>
    </w:div>
    <w:div w:id="1045063557">
      <w:bodyDiv w:val="1"/>
      <w:marLeft w:val="0"/>
      <w:marRight w:val="0"/>
      <w:marTop w:val="0"/>
      <w:marBottom w:val="0"/>
      <w:divBdr>
        <w:top w:val="none" w:sz="0" w:space="0" w:color="auto"/>
        <w:left w:val="none" w:sz="0" w:space="0" w:color="auto"/>
        <w:bottom w:val="none" w:sz="0" w:space="0" w:color="auto"/>
        <w:right w:val="none" w:sz="0" w:space="0" w:color="auto"/>
      </w:divBdr>
    </w:div>
    <w:div w:id="1174102731">
      <w:bodyDiv w:val="1"/>
      <w:marLeft w:val="0"/>
      <w:marRight w:val="0"/>
      <w:marTop w:val="0"/>
      <w:marBottom w:val="0"/>
      <w:divBdr>
        <w:top w:val="none" w:sz="0" w:space="0" w:color="auto"/>
        <w:left w:val="none" w:sz="0" w:space="0" w:color="auto"/>
        <w:bottom w:val="none" w:sz="0" w:space="0" w:color="auto"/>
        <w:right w:val="none" w:sz="0" w:space="0" w:color="auto"/>
      </w:divBdr>
    </w:div>
    <w:div w:id="1361853642">
      <w:bodyDiv w:val="1"/>
      <w:marLeft w:val="0"/>
      <w:marRight w:val="0"/>
      <w:marTop w:val="0"/>
      <w:marBottom w:val="0"/>
      <w:divBdr>
        <w:top w:val="none" w:sz="0" w:space="0" w:color="auto"/>
        <w:left w:val="none" w:sz="0" w:space="0" w:color="auto"/>
        <w:bottom w:val="none" w:sz="0" w:space="0" w:color="auto"/>
        <w:right w:val="none" w:sz="0" w:space="0" w:color="auto"/>
      </w:divBdr>
    </w:div>
    <w:div w:id="1385326289">
      <w:bodyDiv w:val="1"/>
      <w:marLeft w:val="0"/>
      <w:marRight w:val="0"/>
      <w:marTop w:val="0"/>
      <w:marBottom w:val="0"/>
      <w:divBdr>
        <w:top w:val="none" w:sz="0" w:space="0" w:color="auto"/>
        <w:left w:val="none" w:sz="0" w:space="0" w:color="auto"/>
        <w:bottom w:val="none" w:sz="0" w:space="0" w:color="auto"/>
        <w:right w:val="none" w:sz="0" w:space="0" w:color="auto"/>
      </w:divBdr>
    </w:div>
    <w:div w:id="1388644503">
      <w:bodyDiv w:val="1"/>
      <w:marLeft w:val="0"/>
      <w:marRight w:val="0"/>
      <w:marTop w:val="0"/>
      <w:marBottom w:val="0"/>
      <w:divBdr>
        <w:top w:val="none" w:sz="0" w:space="0" w:color="auto"/>
        <w:left w:val="none" w:sz="0" w:space="0" w:color="auto"/>
        <w:bottom w:val="none" w:sz="0" w:space="0" w:color="auto"/>
        <w:right w:val="none" w:sz="0" w:space="0" w:color="auto"/>
      </w:divBdr>
    </w:div>
    <w:div w:id="1527063603">
      <w:bodyDiv w:val="1"/>
      <w:marLeft w:val="0"/>
      <w:marRight w:val="0"/>
      <w:marTop w:val="0"/>
      <w:marBottom w:val="0"/>
      <w:divBdr>
        <w:top w:val="none" w:sz="0" w:space="0" w:color="auto"/>
        <w:left w:val="none" w:sz="0" w:space="0" w:color="auto"/>
        <w:bottom w:val="none" w:sz="0" w:space="0" w:color="auto"/>
        <w:right w:val="none" w:sz="0" w:space="0" w:color="auto"/>
      </w:divBdr>
    </w:div>
    <w:div w:id="1569346469">
      <w:bodyDiv w:val="1"/>
      <w:marLeft w:val="0"/>
      <w:marRight w:val="0"/>
      <w:marTop w:val="0"/>
      <w:marBottom w:val="0"/>
      <w:divBdr>
        <w:top w:val="none" w:sz="0" w:space="0" w:color="auto"/>
        <w:left w:val="none" w:sz="0" w:space="0" w:color="auto"/>
        <w:bottom w:val="none" w:sz="0" w:space="0" w:color="auto"/>
        <w:right w:val="none" w:sz="0" w:space="0" w:color="auto"/>
      </w:divBdr>
    </w:div>
    <w:div w:id="1670251784">
      <w:bodyDiv w:val="1"/>
      <w:marLeft w:val="0"/>
      <w:marRight w:val="0"/>
      <w:marTop w:val="0"/>
      <w:marBottom w:val="0"/>
      <w:divBdr>
        <w:top w:val="none" w:sz="0" w:space="0" w:color="auto"/>
        <w:left w:val="none" w:sz="0" w:space="0" w:color="auto"/>
        <w:bottom w:val="none" w:sz="0" w:space="0" w:color="auto"/>
        <w:right w:val="none" w:sz="0" w:space="0" w:color="auto"/>
      </w:divBdr>
    </w:div>
    <w:div w:id="1670601375">
      <w:bodyDiv w:val="1"/>
      <w:marLeft w:val="0"/>
      <w:marRight w:val="0"/>
      <w:marTop w:val="0"/>
      <w:marBottom w:val="0"/>
      <w:divBdr>
        <w:top w:val="none" w:sz="0" w:space="0" w:color="auto"/>
        <w:left w:val="none" w:sz="0" w:space="0" w:color="auto"/>
        <w:bottom w:val="none" w:sz="0" w:space="0" w:color="auto"/>
        <w:right w:val="none" w:sz="0" w:space="0" w:color="auto"/>
      </w:divBdr>
    </w:div>
    <w:div w:id="1715808660">
      <w:bodyDiv w:val="1"/>
      <w:marLeft w:val="0"/>
      <w:marRight w:val="0"/>
      <w:marTop w:val="0"/>
      <w:marBottom w:val="0"/>
      <w:divBdr>
        <w:top w:val="none" w:sz="0" w:space="0" w:color="auto"/>
        <w:left w:val="none" w:sz="0" w:space="0" w:color="auto"/>
        <w:bottom w:val="none" w:sz="0" w:space="0" w:color="auto"/>
        <w:right w:val="none" w:sz="0" w:space="0" w:color="auto"/>
      </w:divBdr>
    </w:div>
    <w:div w:id="1779837412">
      <w:bodyDiv w:val="1"/>
      <w:marLeft w:val="0"/>
      <w:marRight w:val="0"/>
      <w:marTop w:val="0"/>
      <w:marBottom w:val="0"/>
      <w:divBdr>
        <w:top w:val="none" w:sz="0" w:space="0" w:color="auto"/>
        <w:left w:val="none" w:sz="0" w:space="0" w:color="auto"/>
        <w:bottom w:val="none" w:sz="0" w:space="0" w:color="auto"/>
        <w:right w:val="none" w:sz="0" w:space="0" w:color="auto"/>
      </w:divBdr>
    </w:div>
    <w:div w:id="1807619788">
      <w:bodyDiv w:val="1"/>
      <w:marLeft w:val="0"/>
      <w:marRight w:val="0"/>
      <w:marTop w:val="0"/>
      <w:marBottom w:val="0"/>
      <w:divBdr>
        <w:top w:val="none" w:sz="0" w:space="0" w:color="auto"/>
        <w:left w:val="none" w:sz="0" w:space="0" w:color="auto"/>
        <w:bottom w:val="none" w:sz="0" w:space="0" w:color="auto"/>
        <w:right w:val="none" w:sz="0" w:space="0" w:color="auto"/>
      </w:divBdr>
    </w:div>
    <w:div w:id="1840845294">
      <w:bodyDiv w:val="1"/>
      <w:marLeft w:val="0"/>
      <w:marRight w:val="0"/>
      <w:marTop w:val="0"/>
      <w:marBottom w:val="0"/>
      <w:divBdr>
        <w:top w:val="none" w:sz="0" w:space="0" w:color="auto"/>
        <w:left w:val="none" w:sz="0" w:space="0" w:color="auto"/>
        <w:bottom w:val="none" w:sz="0" w:space="0" w:color="auto"/>
        <w:right w:val="none" w:sz="0" w:space="0" w:color="auto"/>
      </w:divBdr>
    </w:div>
    <w:div w:id="1939368885">
      <w:bodyDiv w:val="1"/>
      <w:marLeft w:val="0"/>
      <w:marRight w:val="0"/>
      <w:marTop w:val="0"/>
      <w:marBottom w:val="0"/>
      <w:divBdr>
        <w:top w:val="none" w:sz="0" w:space="0" w:color="auto"/>
        <w:left w:val="none" w:sz="0" w:space="0" w:color="auto"/>
        <w:bottom w:val="none" w:sz="0" w:space="0" w:color="auto"/>
        <w:right w:val="none" w:sz="0" w:space="0" w:color="auto"/>
      </w:divBdr>
    </w:div>
    <w:div w:id="1984579329">
      <w:bodyDiv w:val="1"/>
      <w:marLeft w:val="0"/>
      <w:marRight w:val="0"/>
      <w:marTop w:val="0"/>
      <w:marBottom w:val="0"/>
      <w:divBdr>
        <w:top w:val="none" w:sz="0" w:space="0" w:color="auto"/>
        <w:left w:val="none" w:sz="0" w:space="0" w:color="auto"/>
        <w:bottom w:val="none" w:sz="0" w:space="0" w:color="auto"/>
        <w:right w:val="none" w:sz="0" w:space="0" w:color="auto"/>
      </w:divBdr>
    </w:div>
    <w:div w:id="1990400285">
      <w:bodyDiv w:val="1"/>
      <w:marLeft w:val="0"/>
      <w:marRight w:val="0"/>
      <w:marTop w:val="0"/>
      <w:marBottom w:val="0"/>
      <w:divBdr>
        <w:top w:val="none" w:sz="0" w:space="0" w:color="auto"/>
        <w:left w:val="none" w:sz="0" w:space="0" w:color="auto"/>
        <w:bottom w:val="none" w:sz="0" w:space="0" w:color="auto"/>
        <w:right w:val="none" w:sz="0" w:space="0" w:color="auto"/>
      </w:divBdr>
    </w:div>
    <w:div w:id="2001956377">
      <w:bodyDiv w:val="1"/>
      <w:marLeft w:val="0"/>
      <w:marRight w:val="0"/>
      <w:marTop w:val="0"/>
      <w:marBottom w:val="0"/>
      <w:divBdr>
        <w:top w:val="none" w:sz="0" w:space="0" w:color="auto"/>
        <w:left w:val="none" w:sz="0" w:space="0" w:color="auto"/>
        <w:bottom w:val="none" w:sz="0" w:space="0" w:color="auto"/>
        <w:right w:val="none" w:sz="0" w:space="0" w:color="auto"/>
      </w:divBdr>
    </w:div>
    <w:div w:id="2014910726">
      <w:bodyDiv w:val="1"/>
      <w:marLeft w:val="0"/>
      <w:marRight w:val="0"/>
      <w:marTop w:val="0"/>
      <w:marBottom w:val="0"/>
      <w:divBdr>
        <w:top w:val="none" w:sz="0" w:space="0" w:color="auto"/>
        <w:left w:val="none" w:sz="0" w:space="0" w:color="auto"/>
        <w:bottom w:val="none" w:sz="0" w:space="0" w:color="auto"/>
        <w:right w:val="none" w:sz="0" w:space="0" w:color="auto"/>
      </w:divBdr>
    </w:div>
    <w:div w:id="2066292029">
      <w:bodyDiv w:val="1"/>
      <w:marLeft w:val="0"/>
      <w:marRight w:val="0"/>
      <w:marTop w:val="0"/>
      <w:marBottom w:val="0"/>
      <w:divBdr>
        <w:top w:val="none" w:sz="0" w:space="0" w:color="auto"/>
        <w:left w:val="none" w:sz="0" w:space="0" w:color="auto"/>
        <w:bottom w:val="none" w:sz="0" w:space="0" w:color="auto"/>
        <w:right w:val="none" w:sz="0" w:space="0" w:color="auto"/>
      </w:divBdr>
    </w:div>
    <w:div w:id="20908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Swantek</dc:creator>
  <cp:keywords/>
  <dc:description/>
  <cp:lastModifiedBy>Laura Swantek</cp:lastModifiedBy>
  <cp:revision>5</cp:revision>
  <dcterms:created xsi:type="dcterms:W3CDTF">2017-11-11T22:25:00Z</dcterms:created>
  <dcterms:modified xsi:type="dcterms:W3CDTF">2017-11-12T18:16:00Z</dcterms:modified>
</cp:coreProperties>
</file>