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'World Within World'</w:t>
      </w:r>
    </w:p>
    <w:p>
      <w:r>
        <w:t>Publisher: New York Times</w:t>
      </w:r>
    </w:p>
    <w:p>
      <w:r>
        <w:t>Date: 1994-10-02</w:t>
      </w:r>
    </w:p>
    <w:p>
      <w:r>
        <w:t>Section: Section 7; ; Section 7;  Page 43;  Column 2;  Book Review Desk ; Column 2; ; Letter</w:t>
      </w:r>
    </w:p>
    <w:p>
      <w:r>
        <w:t>Source file: NYT/28.DOCX</w:t>
      </w:r>
    </w:p>
    <w:p>
      <w:r>
        <w:t>Raw locations result, 'locations': ['Missouri']</w:t>
      </w:r>
    </w:p>
    <w:p>
      <w:r>
        <w:t>Standardized locations result, 'states_stand_flat': Missouri</w:t>
      </w:r>
    </w:p>
    <w:p>
      <w:r>
        <w:br/>
        <w:t>Body:</w:t>
        <w:br/>
      </w:r>
    </w:p>
    <w:p>
      <w:r>
        <w:t>To the Editor:</w:t>
        <w:br/>
        <w:t>It seems to me that Sir Stephen Spender has gone well past the stage of protesting too much. No one would condone plagiarism, and while David Leavitt certainly did not repeat the appropriation of Borges's Pierre Menard, he may have gone too far in replicating details, and Spender was right to question the alleged plagiarism.</w:t>
        <w:br/>
        <w:t>But the tales of Spender's life, or the lives of his lovers, are not more sacrosanct than those of Jesus or Mohammed, and to attack Mr. Leavitt, as others have attacked Nikos Kazantzakis and Salman Rushdie, for distorting or elaborating upon previously published materials is simply absurd. If Spender were merely afraid that some readers might naively equate the character's behavior with his own, perhaps we should all rise up and loudly reassure him that such a thought never crossed our minds. After all, what else is post-modernism for?</w:t>
        <w:br/>
        <w:t>Spender's fuss about "pornographic" descriptions only calls attention to himself. He takes for granted the ugliness of the physical details of lovemaking, hetero- or homosexual, and responds with distaste to what he and Auden stipula tively describe as pornography, but their definition (like their taste) is hardly universal. In fact, the sexual descriptions are rather pallid (like the book as a whole), and given the explicitness of much contemporary fiction, we can only conclude that Spender's distress has more to do with their homosexual character than with their graphic detail.</w:t>
        <w:br/>
        <w:t>Unfortunately, defenses must often be mounted of books that are not first-rate and would have faded quietly if not for a scandal. We probably need to crown and retire a narrow subgenre with a brilliant novel about romance between privileged English intellectuals/artists and working-class men, if only to stop the tedious repetition of the story in second-rate fiction ("Maurice") and memoirs of limited interest ("World Within World," et al.). If it is rapturously explicit about sexual equipment and activities, so much the better; Lawrence didn't exhaust the possibilities (though if Constance had been Clifford, he and Mellors might have culminated the genre then and there).</w:t>
        <w:br/>
        <w:t xml:space="preserve"> </w:t>
        <w:br/>
        <w:t>THOMAS F. DILLINGHAM</w:t>
        <w:br/>
        <w:t>Columbia, 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