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Return Tompkins Sq. Park to Those Who Live in Neighborhood</w:t>
      </w:r>
    </w:p>
    <w:p>
      <w:r>
        <w:t>Publisher: New York Times</w:t>
      </w:r>
    </w:p>
    <w:p>
      <w:r>
        <w:t>Date: 1991-06-12</w:t>
      </w:r>
    </w:p>
    <w:p>
      <w:r>
        <w:t>Section: Section A;; Section A; Page 26; Column 4; Editorial Desk; Column 4;; Letter</w:t>
      </w:r>
    </w:p>
    <w:p>
      <w:r>
        <w:t>Source File: NYT/56.361.DOCX</w:t>
      </w:r>
    </w:p>
    <w:p>
      <w:r>
        <w:t>Raw locations result: ['Pennsylvania']</w:t>
      </w:r>
    </w:p>
    <w:p>
      <w:r>
        <w:t>occupations_stand_flat (Standardized): Skilled Trades and Manual Labor</w:t>
      </w:r>
    </w:p>
    <w:p>
      <w:r>
        <w:br/>
        <w:t>Body:</w:t>
        <w:br/>
      </w:r>
    </w:p>
    <w:p>
      <w:r>
        <w:t>To the Editor:</w:t>
        <w:br/>
        <w:t>It is obvious that the situation in New York City's Tompkins Square Park, long a homeless encampment, must be dealt with. It is also obvious that Councilwoman Miriam Friedlander is not in touch with reality (news article, May 30). You quote her as saying that the majority of neighborhood residents favor keeping the homeless in the park. Her recommendation for solving the situation is to bring social services into the park to aid those living there.</w:t>
        <w:br/>
        <w:t>Apparently, Ms. Friedlander has forgotten her own failed efforts to set up outreach programs in the park. She has repeatedly ignored the pleas of local residents for the return of the park as a recreational facility. While vagrants, drug addicts, drunks and anarchists roam freely among its once green spaces, those who would use the park for leisure activities are relegated to fenced-in areas that are locked up at night.</w:t>
        <w:br/>
        <w:t>I applaud the efforts of Assemblyman Steven Sanders, Mayor David N. Dinkins and Parks Commissioner Betsy Gotbaum to return the park to the truly needy: the poor working class, the elderly and the youth of our neighborhood.</w:t>
        <w:br/>
        <w:t xml:space="preserve"> </w:t>
        <w:br/>
        <w:t>MARK ISAACSON</w:t>
        <w:br/>
        <w:t>New York, June 1, 1991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