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'GANGS OF NEW YORK'; The Historical Record</w:t>
      </w:r>
    </w:p>
    <w:p>
      <w:r>
        <w:t>Publisher: New York Times</w:t>
      </w:r>
    </w:p>
    <w:p>
      <w:r>
        <w:t>Date: 2002-09-22</w:t>
      </w:r>
    </w:p>
    <w:p>
      <w:r>
        <w:t>Section: Section 2; Column 3; Arts and Leisure Desk; Pg. 4</w:t>
      </w:r>
    </w:p>
    <w:p>
      <w:r>
        <w:t>Source file: NYT/24.DOCX</w:t>
      </w:r>
    </w:p>
    <w:p>
      <w:r>
        <w:t>Raw locations result, 'locations': ['Georgia', 'Indiana', 'Korea']</w:t>
      </w:r>
    </w:p>
    <w:p>
      <w:r>
        <w:t>Standardized locations result, 'countries_stand_flat': Korea</w:t>
      </w:r>
    </w:p>
    <w:p>
      <w:r>
        <w:br/>
        <w:t>Body:</w:t>
        <w:br/>
      </w:r>
    </w:p>
    <w:p>
      <w:r>
        <w:t>To the Editor:</w:t>
        <w:br/>
        <w:t xml:space="preserve">     Polly Shulman's article on Martin Scorsese's "Gangs of New York" "An Icy Night, an Old Book, and Decades Later . . .," Sept. 8 reflects the eager anticipation felt by many New Yorkers regarding the long-awaited film. But it also touches on a concern felt by many scholars that urban myth will trump the historical record in the film's portrayal of New York's 19th-century gangs -- and, by extension, the history of the city's immigrants and its working class. </w:t>
        <w:br/>
        <w:t xml:space="preserve"> For many historians, Herbert Asbury's sensational account of New York's underworld in his book "The Gangs of New York" served as a catalyst for serious scholarship that would largely contradict -- and certainly complicate -- Asbury's lurid vision.</w:t>
        <w:br/>
        <w:t>While nodding to Asbury's tall tales, somewhere along the line the article begins to offer them as fact, or substitutes its own versions. For example, the infamous June 1857 fight between Municipal and Metropolitan police on the City Hall steps did not represent a conflict between an "outgoing Tammany government" and a "new, reform-minded mayor," but rather a power struggle between the city and state governments. Similarly, it was not "racist, xenophobic Nativists" who constituted the bulk of draft rioters in 1863, but Irish immigrants.</w:t>
        <w:br/>
        <w:t>A certain amount of dramatic compression was no doubt necessary to transfer the story of New York's 19th-century streets to the screen. We can expect, based on his previous work, that Mr. Scorsese will give us a compelling vision of the past. I hope it is one that also expresses some of the sophistication and complexity of recent scholarship.</w:t>
        <w:br/>
        <w:br/>
        <w:t>JOSHUA BROWN</w:t>
        <w:br/>
        <w:t>Manhattan</w:t>
        <w:br/>
        <w:br/>
        <w:t>The writer is executive director of the American Social History Project/Center for Media and Learning at the Graduate Center of the City University of New York.</w:t>
        <w:br/>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