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Court's property ruling will 'stretch far, wide'</w:t>
      </w:r>
    </w:p>
    <w:p>
      <w:r>
        <w:t>Publisher: Other publisher</w:t>
      </w:r>
    </w:p>
    <w:p>
      <w:r>
        <w:t>Date: 2005-06-28</w:t>
      </w:r>
    </w:p>
    <w:p>
      <w:r>
        <w:t>Section: NEWS;; Debate</w:t>
      </w:r>
    </w:p>
    <w:p>
      <w:r>
        <w:t>Source file: Other publishers/Files (500) (12).DOCX</w:t>
      </w:r>
    </w:p>
    <w:p>
      <w:r>
        <w:t>Raw locations result, 'locations': ['North Carolina']</w:t>
      </w:r>
    </w:p>
    <w:p>
      <w:r>
        <w:t>Standardized locations result, 'states_stand_flat': North Carolina</w:t>
      </w:r>
    </w:p>
    <w:p>
      <w:r>
        <w:br/>
        <w:t>Body:</w:t>
        <w:br/>
      </w:r>
    </w:p>
    <w:p>
      <w:r>
        <w:t>The Supreme Court's decision granting cities the power to destroy homes so that corporations can erect office buildings is a devastating blow to property rights all over the United States ("Seizing land for private use OK'd," News, Friday).</w:t>
        <w:br/>
        <w:t>Designating such takings as "public use" under the Constitution, solely because they increase tax revenue to a city, strains credulity. In truth, using eminent domain to enable a private corporation to maximize profits at homeowners' expense is hardly a social obligation.</w:t>
        <w:br/>
        <w:t>The ramifications of the New London, Conn., case will stretch far and wide. We can now expect cities, in conjunction with private developers, to bulldoze neighborhoods in order to erect shopping centers and business complexes with the noble "public" goal of generating additional tax revenue. And who cares what property rights are sacrificed in the process?</w:t>
        <w:br/>
        <w:t>The Fifth Amendment to the Constitution states, "Nor shall private property be taken for public use, without just compensation." It is time that the Supreme Court put teeth back into the "public use" requirement and insist that government takings occur only when social welfare is served, not private developers' profits.</w:t>
        <w:br/>
        <w:t>Steve Calandrillo, associate professor</w:t>
        <w:br/>
        <w:t>University of Washington</w:t>
        <w:br/>
        <w:t>School of Law; Seattle</w:t>
        <w:br/>
        <w:t>Working class suffers</w:t>
        <w:br/>
        <w:t>The tragedy of the Supreme Court ruling regarding the seizure of private property for public use shows that the people of this country have a much smaller voice than previously thought.</w:t>
        <w:br/>
        <w:t>Middle-class, working individuals are now the target of their own cities, which they struggle every day to support. The taxes they work so hard to generate only allow their city governments to take their homes and turn them into strip malls, offices and other "public improvements." It's unfortunate that our children someday will drive their children by a mall or store and say, "That's where I grew up."</w:t>
        <w:br/>
        <w:t>Bryan Fulmer</w:t>
        <w:br/>
        <w:t>Charlotte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