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Staying Safe on the Bus</w:t>
      </w:r>
    </w:p>
    <w:p>
      <w:r>
        <w:t>Publisher: New York Times</w:t>
      </w:r>
    </w:p>
    <w:p>
      <w:r>
        <w:t>Date: 2001-11-17</w:t>
      </w:r>
    </w:p>
    <w:p>
      <w:r>
        <w:t>Section: Section A; Column 6; Editorial Desk; Pg. 22</w:t>
      </w:r>
    </w:p>
    <w:p>
      <w:r>
        <w:t>Source file: NYT/56.361.DOCX</w:t>
      </w:r>
    </w:p>
    <w:p>
      <w:r>
        <w:t>Raw locations result, 'locations': ['Algeria']</w:t>
      </w:r>
    </w:p>
    <w:p>
      <w:r>
        <w:t>Standardized locations result, 'countries_stand_flat': Algeria</w:t>
      </w:r>
    </w:p>
    <w:p>
      <w:r>
        <w:br/>
        <w:t>Body:</w:t>
        <w:br/>
      </w:r>
    </w:p>
    <w:p>
      <w:r>
        <w:t>To the Editor:</w:t>
        <w:br/>
        <w:t xml:space="preserve">"On the Greyhound Bus, Too, Life Changed After Attacks" (front page, Nov. 10) left me wondering about your view of working-class and lower-income Americans. </w:t>
        <w:br/>
        <w:t xml:space="preserve">     Ultimately, we are a nation of immigrants and working-class people trying to create a better life for our families. </w:t>
        <w:br/>
        <w:t xml:space="preserve">A snapshot of Greyhound's ridership looks pretty similar to an average group of Americans at an airport, church picnic or shopping mall. One-third of our passengers have a college degree a higher percentage than the population as a whole. And bus service is helping many to improve their situations; 26 percent are students. </w:t>
        <w:br/>
        <w:t xml:space="preserve"> Regardless of income or education level, our passengers deserve safe, affordable transportation. </w:t>
        <w:br/>
        <w:t>Just as for Amtrak and the airlines, Congress must address critical security upgrades to intercity bus travel. Greyhound continues to do its part to improve security, and we are not seeking subsidies, but we must have federal assistance to establish new security systems.</w:t>
        <w:br/>
        <w:br/>
        <w:t>CRAIG LENTZSCH</w:t>
        <w:br/>
        <w:t>Chief Executive, Greyhound Lines</w:t>
        <w:br/>
        <w:t>Dallas, Nov. 14, 2001</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