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CONSTITUENT SERVICE</w:t>
      </w:r>
    </w:p>
    <w:p>
      <w:r>
        <w:t>Publisher: Other publisher</w:t>
      </w:r>
    </w:p>
    <w:p>
      <w:r>
        <w:t>Date: 1996-10-21</w:t>
      </w:r>
    </w:p>
    <w:p>
      <w:r>
        <w:t>Section: EDITORIAL,; LETTERS TO THE EDITOR</w:t>
      </w:r>
    </w:p>
    <w:p>
      <w:r>
        <w:t>Source file: Other publishers/Files (500) (12).DOCX</w:t>
      </w:r>
    </w:p>
    <w:p>
      <w:r>
        <w:t>Raw occupations result, 'occupations': ['Health and Personal Care']</w:t>
      </w:r>
    </w:p>
    <w:p>
      <w:r>
        <w:t>Standardized occupations result, 'occupations_stand_flat': Health and Personal Care</w:t>
      </w:r>
    </w:p>
    <w:p>
      <w:r>
        <w:br/>
        <w:t>Body:</w:t>
        <w:br/>
      </w:r>
    </w:p>
    <w:p>
      <w:r>
        <w:t>There comes a time in a campaign when the constituents need to know exactly what positive contributions an incumbent has made during his or her term in office. Few individuals are aware of two critical situations I faced which Congressman Frank Mascara resolved for me.</w:t>
        <w:br/>
        <w:t>During last year's debate over the budget when the government shut down, thousands of dislocated workers throughout the state were in jeopardy of losing retraining funds. Unless Congress moved quickly to appropriate funds, these individuals would be forced to drop out of retraining. Dislocated workers in Washington County completed a part of their curriculum and many had a year to go. I contacted Congressman Mascara and we reviewed the situation. Within days, he drew support. On the night of the vote, Congressman Mascara led the fight on this appropriation bill. The bill passed, allowing many dislocated workers the ability to stay in school and complete their retraining.</w:t>
        <w:br/>
        <w:t>The second incident occurred over the sale of the Cooper transformer facility. The investment bank involved required a federal loan guarantee. Again, I contacted Congressman Mascara and within several days, I was sitting in Congressman Mascara's office in Washington, D.C. If necessary, top government executives were ready to put this issue on a fast track for approval.</w:t>
        <w:br/>
        <w:t>I believe senior citizens, the working class and business all have a valuable asset in Congressman Mascara.</w:t>
        <w:br/>
        <w:t>Editor's note: The writer is a member of Canonsburg Council and the Canonsburg Industrial Development Committee.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