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Anti-gay crimes up</w:t>
      </w:r>
    </w:p>
    <w:p>
      <w:r>
        <w:t>Publisher: Other publisher</w:t>
      </w:r>
    </w:p>
    <w:p>
      <w:r>
        <w:t>Date: 2008-10-28</w:t>
      </w:r>
    </w:p>
    <w:p>
      <w:r>
        <w:t>Section: NEWS; Pg. 5A</w:t>
      </w:r>
    </w:p>
    <w:p>
      <w:r>
        <w:t>Source file: Other publishers/Files (500) (9).DOCX</w:t>
      </w:r>
    </w:p>
    <w:p>
      <w:r>
        <w:t>Raw locations result, 'locations': ['West Virginia']</w:t>
      </w:r>
    </w:p>
    <w:p>
      <w:r>
        <w:t>Standardized locations result, 'states_stand_flat': West Virginia</w:t>
      </w:r>
    </w:p>
    <w:p>
      <w:r>
        <w:br/>
        <w:t>Body:</w:t>
        <w:br/>
      </w:r>
    </w:p>
    <w:p>
      <w:r>
        <w:t>Hate crimes against gays increased in 2007, up 6% from 2006, even though the overall number of hate crimes dropped slightly, the FBI reported Monday.</w:t>
        <w:br/>
        <w:t>There were 7,624 hate crimes reported in 2007, down 1% from 2006. Crimes based on sexual orientation -- 1,265 in 2007 -- have been rising since 2005. A hate crime is one motivated by bias against a person's race, religion, sexual orientation or other status.</w:t>
        <w:br/>
        <w:t>"Until we make laws that make it clear these attacks are not OK, the nation will continue to be scarred," says Neil Giuliano, president of the Gay &amp; Lesbian Alliance Against Defamation. In 19 states, hate-crime laws don't cover sexual orientation.</w:t>
        <w:br/>
        <w:t>Other changes in 2007:</w:t>
        <w:br/>
        <w:t>*Race-related incidents, 51% of the reported hate crimes, fell 3%.</w:t>
        <w:br/>
        <w:t>*Incidents against Latinos increased for the fourth year, from 426 in 2003 to 595.</w:t>
        <w:br/>
        <w:t>*Bias incidents against Asians increased 4%, from 181 to 188.</w:t>
        <w:br/>
        <w:t>*Crimes against Muslims declined 26% to 115 incidents. In 2001, there were 481. Jack Levin, a criminologist at Northeastern University in Boston, says that drop shows the effect of 9/11 waning.</w:t>
        <w:br/>
        <w:t>Latinos and Asians, he says, are likely to be targets as the economy worsens. "Working-class Americans feel they have to compete more with immigrants," Levin says.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