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w:t>
        <w:br/>
        <w:t>From Switzerland, a Rediscovery of a True Master of Angst</w:t>
      </w:r>
    </w:p>
    <w:p>
      <w:r>
        <w:t>Publisher: New York Times</w:t>
      </w:r>
    </w:p>
    <w:p>
      <w:r>
        <w:t>Date: 1995-06-25</w:t>
      </w:r>
    </w:p>
    <w:p>
      <w:r>
        <w:t>Section: Section 13CN;   ; Section 13CN;    Page 14;    Column 1;    Connecticut Weekly Desk   ; Column 1;   ; Review</w:t>
      </w:r>
    </w:p>
    <w:p>
      <w:r>
        <w:t>Source file: NYT/38.DOCX</w:t>
      </w:r>
    </w:p>
    <w:p>
      <w:r>
        <w:t>Raw locations result, 'locations': ['Switzerland']</w:t>
      </w:r>
    </w:p>
    <w:p>
      <w:r>
        <w:t>Standardized locations result, 'countries_stand_flat': Switzerland</w:t>
      </w:r>
    </w:p>
    <w:p>
      <w:r>
        <w:br/>
        <w:t>Body:</w:t>
        <w:br/>
      </w:r>
    </w:p>
    <w:p>
      <w:r>
        <w:t>IN a traveling retrospective of the early 1970's, Ferdinand Hodler (1853-1918) was presented as a painter relatively unknown in the United States. Fifteen years later, in another touring show, his landscapes were billed as little known. Now, with "Views and Visions" making its last stop at the Wadsworth Atheneum in Hartford, Hodler has become a "rediscovery."</w:t>
        <w:br/>
        <w:t>Another decade and the Swiss Symbolist -- who made an international reputation without leaving home (unlike Henry Fuseli, Karl Bodmer, Giacometti and Klee) -- should be in the top register along with van Gogh, Gauguin, Klimt, Munch and other contemporaries.</w:t>
        <w:br/>
        <w:t>At 49 works, the Atheneum show, larger than its immediate predecessor but half the size of the 1970's blockbuster, conveys the same message: Hodler was the equal in angst of any Expressionist but he conveyed it with remarkably un-Expressionist discipline. Among the copious notes kept by the artist is one on nature, which explains that he saw it with "a feeling of pain" and reproduced it "because of that intense pain," adding that he worked out the effects "after feeling them." It is therefore no surprise to find the man who wrote this and "nothing more delights us than orderly forms" adopting a system for expressing such forms. He called it parallelism and seems almost to have regarded it as a raison d'etre. The first landscape composed in this way is "Beech Forest" (1885), and in this selection it is followed by single figures like the pale nude flanked by saplings. Much more striking though is the 1892-93 view of a road lined with trees and littered with leaves in which the parallels head for infinity.</w:t>
        <w:br/>
        <w:t>Still, the idea is demonstrated most subtly in a 1909 view of Lake Geneva, where horizontal clouds are echoed by lines of surf, and most dramatically in the mural-sized "Sacred Hour" (1907-1911) in which two almost identical women in blue sit side by side like mirror images.</w:t>
        <w:br/>
        <w:t>That Hodler chose to remain in Switzerland (apart from trips to Spain, Munich and Paris) does not mean that he remained provincial. On the contrary, he seems to have kept abreast of Paris developments and by 1885 began blossoming as a Symbolist.</w:t>
        <w:br/>
        <w:t>Though short on Eros, this display has its share of Thanatos in the 1914-15 portraits of Valentine Gode-Darel, painted when she was sick, dying and dead. The emaciated body, lying parallel to ceiling and bed, is the same in life as in death, except that it gradually recedes from the viewer, seeming to melt.</w:t>
        <w:br/>
        <w:t>Hodler was a fine draftsman who had his off moments as a painter -- the green shadow that stains the neck of Emma Schmidt-Muller, the backgrounds that would be wastelands but for the roses strewn about them and the Isadora Duncanish gestures of the symbolic figures.</w:t>
        <w:br/>
        <w:t>On the other hand, he is a superb portraitist, especially when the subject is himself, and he produced some magnificent, crystalline views of the Swiss landscape. Occasionally these include fat little clouds that suggest associations with Matisse.</w:t>
        <w:br/>
        <w:t>"The Reaper" (1878) implies the influence of Millet, the 1885 "Portrait of Louise Delphine Duchosal," Manet. There are signs of Jugendstil, too, notably in the figure of the artist's son, wearing white and kneeling with hands folded on grass studded with daisies. But the Hodler who impresses is the late Hodler, intent on accuracy and pellucid color.</w:t>
        <w:br/>
        <w:t>Too bad the catalogue accompanying this show devotes so much attention to setting him in the context of Swiss fin-de-siecle politics. Those who would like to know more about the artist, who started life as the child of working-class parents soon to die of tuberculosis (in a land where wealthy foreigners came to rid themselves of the disease) should look elsewhere -- perhaps in the catalogue to the retrospective, if it still exists.</w:t>
        <w:br/>
        <w:t xml:space="preserve"> "Views and Visions: Ferdinand Hodler" continues at the Wadsworth Atheneum (600 Main Street, Hartford) through July 8.</w:t>
        <w:br/>
        <w:br/>
        <w:t>Graphic</w:t>
        <w:br/>
        <w:br/>
        <w:t xml:space="preserve"> </w:t>
        <w:br/>
        <w:t>Photos: "Self-Portrait With Wide-Open Eyes," dated 1912.; The Wadsworth Atheneum in Hartford is exhibiting the oil paintings of Ferdinand Hodler, including "Portrait of Mrs. Dr. E. Schmidt-Muller," 1915, and "The Woodcutter," 1910. (Photographs from the Swiss Institute for Art Research, Zurich)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