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SUNDAY, JANUARY 18, 1998;</w:t>
        <w:br/>
        <w:t>MY JUNKER, RIGHT OR WRONG</w:t>
      </w:r>
    </w:p>
    <w:p>
      <w:r>
        <w:t>Publisher: New York Times</w:t>
      </w:r>
    </w:p>
    <w:p>
      <w:r>
        <w:t>Date: 1998-01-18</w:t>
      </w:r>
    </w:p>
    <w:p>
      <w:r>
        <w:t>Section: Section 6; ; Section 6; Page 9; Column 2; Magazine Desk ; Column 2;</w:t>
      </w:r>
    </w:p>
    <w:p>
      <w:r>
        <w:t>Source file: NYT/56.361.DOCX</w:t>
      </w:r>
    </w:p>
    <w:p>
      <w:r>
        <w:t>Raw locations result, 'locations': ['Wyoming']</w:t>
      </w:r>
    </w:p>
    <w:p>
      <w:r>
        <w:t>Standardized locations result, 'states_stand_flat': Wyoming</w:t>
      </w:r>
    </w:p>
    <w:p>
      <w:r>
        <w:br/>
        <w:t>Body:</w:t>
        <w:br/>
      </w:r>
    </w:p>
    <w:p>
      <w:r>
        <w:t>After the city government of Saratoga, Wyo. -- pop. 2,500 -- passed an ordinance banning junk cars, disgruntled citizens fought back. Invoking a never-used clause in state law, the pro-clunker contingent forced a referendum last month and soundly rejected the beautification attempt, which was seen as a nefarious first step leading to yuppified socialism. "We like as little government as possible," says Mitch Zeiger, a self-proclaimed redneck whose family runs an auto-repair shop on the edge of town. "It may be junk, but it has value if the right person comes by." Christine Wickstrom, a housewife who helped form the opposition, is fond of her 1951 Ford stock truck, rusting behind the garage. "We like this town the way it is," she says. "We're mostly working-class people. Who cares if I have a ratty old truck out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