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Economic Scene;</w:t>
        <w:br/>
        <w:t>Harder Times, Softer Politics</w:t>
      </w:r>
    </w:p>
    <w:p>
      <w:r>
        <w:t>Publisher: New York Times</w:t>
      </w:r>
    </w:p>
    <w:p>
      <w:r>
        <w:t>Date: 1990-09-05</w:t>
      </w:r>
    </w:p>
    <w:p>
      <w:r>
        <w:t>Section: Section D; Page 2, Column 1; Financial Desk</w:t>
      </w:r>
    </w:p>
    <w:p>
      <w:r>
        <w:t>Source File: NYT/36.DOCX</w:t>
      </w:r>
    </w:p>
    <w:p>
      <w:r>
        <w:t>Raw locations result: ['Poland']</w:t>
      </w:r>
    </w:p>
    <w:p>
      <w:r>
        <w:t>setting_stand_flat (Standardized): Multiple</w:t>
      </w:r>
    </w:p>
    <w:p>
      <w:r>
        <w:br/>
        <w:t>Body:</w:t>
        <w:br/>
      </w:r>
    </w:p>
    <w:p>
      <w:r>
        <w:t>In the 26 years from 1947 to 1973, the authors point out, average family incomes rose by 111 percent. But in the last 16 years, they have edged up just 9 percent. And even this marginal increase has come at considerable effort. Virtually the entire gain is attributable to the entry of middle-class housewives into the paid labor force.</w:t>
        <w:br/>
        <w:t>That is only part of the bad news. Since the 19th century, the ''trickle-down'' of wealth from sucessful businesses had had a leveling effect: A disproportionate share of the gains from American economic growth ended up in the pockets of workers. But since the mid-1970's trickle-up has replaced trickle-down. In 1973 the poorest 40 percent of families took home 17 percent of income, while the richest 20 percent pocketed 41 percent. By 1988 the share of the poorest 40 percent had slipped to 15 percent, while the share of the top fifth had grown to 44 percent.</w:t>
        <w:br/>
        <w:t>The ground lost, the two economists note, has been almost entirely at the expense of the young. The typical family with a head in the 25- to 34-year-old bracket earned 2 percent less in 1987 than in 1973. And among the young, the poorly educated bore the brunt: The one family in six whose primary breadwinner did not finish high school earned a stunning 29 percent less.</w:t>
        <w:br/>
        <w:t>Lagging incomes translate into lagging living standards. Since 1973 the percentage of families owning homes has slipped for every age group under 55. Those in the 25 to 29 group have been most dramatically hit, with the percentage of homeowners slipping to 35 from 44. Young workers are also much more likely to fall between the cracks in the health insurance system. In one 28-month period spanning 1985 through 1987, 28 percent of Americans were covered for less than the full 28 months. Among 18- to 24-year-olds, however, 52 percent suffered from interruptions in coverage.</w:t>
        <w:br/>
        <w:t>Why has this economic malaise had so little political impact? More specifically, why was President Reagan not touched by high mortgage rates, exploding college tuition costs and a lack of affordable day care? And why has President Bush, a leader known for keeping one finger on the public pulse at all times, resisted a cut in payroll taxes while pushing for a cut in the levy on capital gains?</w:t>
        <w:br/>
        <w:t>One answer is that the best organized group of lower- and middle-income Americans, retirees over 65, have been bought off with Medicare and fatter Social Security checks. Another is that the labor movement represents a shrinking proportion of workers. And in the process of downsizing, the image of unions has changed: Once seen as the defender of the working class, they must now compete for influence with other, equally well-financed interest groups.</w:t>
        <w:br/>
        <w:t>Frank Levy, an economist at the University of Maryland, offers an entirely different explanation: Eroding living standards have indeed had a political impact, but popular frustrations have been deflected in unexpected directions.</w:t>
        <w:br/>
        <w:t>Voters may not blame the President. But they apparently do blame state and local governments, which have had an increasingly difficult time raising taxes to pay for badly needed local services. By the same token, unfocused economic frustrations may also play a large part in the public's anger over ''unfair'' competition from Japan and other rapidly developing export economies.</w:t>
        <w:br/>
        <w:t>Ironically, the hard-pressed middle class may well be the biggest beneficiary from access to cheap imported clothes, shoes, appliances and autos. But then, irony is nothing new to the American political system, which for better or worse has always been successful in fragmenting and diffusing class interests.</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