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left w:val="none"/>
          <w:bottom w:val="none"/>
          <w:right w:val="none"/>
          <w:insideH w:val="none"/>
          <w:insideV w:val="none"/>
        </w:tblBorders>
      </w:tblPr>
      <w:tblGrid>
        <w:gridCol w:w="100"/>
      </w:tblGrid>
      <w:tr>
        <w:tc>
          <w:tcPr>
            <w:shd w:fill="17428F" w:color="auto" w:val="clear"/>
            <w:tcMar>
              <w:top w:type="dxa" w:w="200"/>
              <w:left w:type="dxa" w:w="200"/>
              <w:bottom w:type="dxa" w:w="200"/>
              <w:right w:type="dxa" w:w="200"/>
            </w:tcMar>
          </w:tcPr>
          <w:p>
            <w:pPr>
              <w:spacing w:after="40"/>
            </w:pPr>
            <w:r>
              <w:rPr>
                <w:color w:val="7DCCEF"/>
                <w:sz w:val="15"/>
                <w:szCs w:val="15"/>
                <w:rFonts w:ascii="Arial" w:cs="Arial" w:eastAsia="Arial" w:hAnsi="Arial"/>
              </w:rPr>
              <w:t xml:space="preserve">PRÉVENTIA-LAB · FICHE D’ENTREPRISE AMÉLIORÉE</w:t>
            </w:r>
          </w:p>
          <w:p>
            <w:pPr>
              <w:spacing w:after="0"/>
            </w:pPr>
            <w:r>
              <w:rPr>
                <w:b/>
                <w:bCs/>
                <w:color w:val="FFFFFF"/>
                <w:sz w:val="32"/>
                <w:szCs w:val="32"/>
                <w:rFonts w:ascii="Arial" w:cs="Arial" w:eastAsia="Arial" w:hAnsi="Arial"/>
              </w:rPr>
              <w:t xml:space="preserve">Test SPSTI</w:t>
            </w:r>
          </w:p>
        </w:tc>
      </w:tr>
    </w:tbl>
    <w:p>
      <w:pPr>
        <w:spacing w:before="0" w:after="160"/>
      </w:pPr>
      <w:r>
        <w:rPr>
          <w:b w:val="false"/>
          <w:bCs w:val="false"/>
          <w:i w:val="false"/>
          <w:iCs w:val="false"/>
          <w:color w:val="000000"/>
          <w:sz w:val="20"/>
          <w:szCs w:val="20"/>
          <w:rFonts w:ascii="Arial" w:cs="Arial" w:eastAsia="Arial" w:hAnsi="Arial"/>
        </w:rPr>
      </w:r>
    </w:p>
    <w:p>
      <w:pPr>
        <w:spacing w:before="0" w:after="100"/>
      </w:pPr>
      <w:r>
        <w:rPr>
          <w:b w:val="false"/>
          <w:bCs w:val="false"/>
          <w:i w:val="false"/>
          <w:iCs w:val="false"/>
          <w:color w:val="44546A"/>
          <w:sz w:val="17"/>
          <w:szCs w:val="17"/>
          <w:rFonts w:ascii="Arial" w:cs="Arial" w:eastAsia="Arial" w:hAnsi="Arial"/>
        </w:rPr>
        <w:t xml:space="preserve">NAF 86.10Z — Hôpitaux  ·  Effectif : 45  ·  Date : 2026-07-16  ·  Préventeur : L.B.</w:t>
      </w:r>
    </w:p>
    <w:p>
      <w:pPr>
        <w:pBdr>
          <w:bottom w:val="single" w:sz="6"/>
        </w:pBdr>
        <w:spacing w:before="260" w:after="100"/>
      </w:pPr>
      <w:r>
        <w:rPr>
          <w:b/>
          <w:bCs/>
          <w:sz w:val="26"/>
          <w:szCs w:val="26"/>
          <w:rFonts w:ascii="Arial" w:cs="Arial" w:eastAsia="Arial" w:hAnsi="Arial"/>
        </w:rPr>
        <w:t xml:space="preserve">1 · Synthèse de l’analyse</w:t>
      </w:r>
    </w:p>
    <w:p>
      <w:pPr>
        <w:spacing w:before="0" w:after="100"/>
      </w:pPr>
      <w:r>
        <w:rPr>
          <w:b w:val="false"/>
          <w:bCs w:val="false"/>
          <w:i w:val="false"/>
          <w:iCs w:val="false"/>
          <w:color w:val="000000"/>
          <w:sz w:val="19"/>
          <w:szCs w:val="19"/>
          <w:rFonts w:ascii="Arial" w:cs="Arial" w:eastAsia="Arial" w:hAnsi="Arial"/>
        </w:rPr>
        <w:t xml:space="preserve">L'analyse porte sur 4 famille(s) de risques : 0 maîtrisée(s), 2 partiellement maîtrisée(s), 2 non maîtrisée(s) — indice de maîtrise documentaire 25/100. 4 préconisation(s) restent à l'employeur après déduplication, dont 2 de priorité urgente (échéance 3 mois). Aucune redondance « observé / conseillé » détectée. 2 champ(s) laissé(s) à compléter dans le document source. Document d'aide à la décision (méthode PréventIA®) — à confirmer par une visite in situ et à valider par le médecin du travail (art. R.4624-46 du Code du travail).</w:t>
      </w:r>
    </w:p>
    <w:p>
      <w:pPr>
        <w:pBdr>
          <w:bottom w:val="single" w:sz="6"/>
        </w:pBdr>
        <w:spacing w:before="260" w:after="100"/>
      </w:pPr>
      <w:r>
        <w:rPr>
          <w:b/>
          <w:bCs/>
          <w:sz w:val="26"/>
          <w:szCs w:val="26"/>
          <w:rFonts w:ascii="Arial" w:cs="Arial" w:eastAsia="Arial" w:hAnsi="Arial"/>
        </w:rPr>
        <w:t xml:space="preserve">2 · Tableau synthétique des risques</w:t>
      </w:r>
    </w:p>
    <w:tbl>
      <w:tblPr>
        <w:tblW w:type="pct" w:w="100%"/>
        <w:tblBorders>
          <w:top w:val="single" w:color="DDE3EA" w:sz="2"/>
          <w:left w:val="single" w:color="DDE3EA" w:sz="2"/>
          <w:bottom w:val="single" w:color="DDE3EA" w:sz="2"/>
          <w:right w:val="single" w:color="DDE3EA" w:sz="2"/>
          <w:insideH w:val="single" w:color="DDE3EA" w:sz="2"/>
          <w:insideV w:val="single" w:color="DDE3EA" w:sz="2"/>
        </w:tblBorders>
      </w:tblPr>
      <w:tblGrid>
        <w:gridCol w:w="100"/>
        <w:gridCol w:w="100"/>
        <w:gridCol w:w="100"/>
        <w:gridCol w:w="100"/>
      </w:tblGrid>
      <w:tr>
        <w:trPr>
          <w:tblHeader/>
        </w:trPr>
        <w:tc>
          <w:tcPr>
            <w:tcW w:type="pct" w:w="20%"/>
            <w:shd w:fill="17428F" w:color="auto" w:val="clear"/>
            <w:tcMar>
              <w:top w:type="dxa" w:w="60"/>
              <w:left w:type="dxa" w:w="90"/>
              <w:bottom w:type="dxa" w:w="60"/>
              <w:right w:type="dxa" w:w="90"/>
            </w:tcMar>
          </w:tcPr>
          <w:p>
            <w:pPr>
              <w:spacing w:after="0"/>
            </w:pPr>
            <w:r>
              <w:rPr>
                <w:b/>
                <w:bCs/>
                <w:color w:val="FFFFFF"/>
                <w:sz w:val="16"/>
                <w:szCs w:val="16"/>
                <w:rFonts w:ascii="Arial" w:cs="Arial" w:eastAsia="Arial" w:hAnsi="Arial"/>
              </w:rPr>
              <w:t xml:space="preserve">Famille de risque</w:t>
            </w:r>
          </w:p>
        </w:tc>
        <w:tc>
          <w:tcPr>
            <w:tcW w:type="pct" w:w="38%"/>
            <w:shd w:fill="17428F" w:color="auto" w:val="clear"/>
            <w:tcMar>
              <w:top w:type="dxa" w:w="60"/>
              <w:left w:type="dxa" w:w="90"/>
              <w:bottom w:type="dxa" w:w="60"/>
              <w:right w:type="dxa" w:w="90"/>
            </w:tcMar>
          </w:tcPr>
          <w:p>
            <w:pPr>
              <w:spacing w:after="0"/>
            </w:pPr>
            <w:r>
              <w:rPr>
                <w:b/>
                <w:bCs/>
                <w:color w:val="FFFFFF"/>
                <w:sz w:val="16"/>
                <w:szCs w:val="16"/>
                <w:rFonts w:ascii="Arial" w:cs="Arial" w:eastAsia="Arial" w:hAnsi="Arial"/>
              </w:rPr>
              <w:t xml:space="preserve">Moyens en place (observés)</w:t>
            </w:r>
          </w:p>
        </w:tc>
        <w:tc>
          <w:tcPr>
            <w:tcW w:type="pct" w:w="14%"/>
            <w:shd w:fill="17428F" w:color="auto" w:val="clear"/>
            <w:tcMar>
              <w:top w:type="dxa" w:w="60"/>
              <w:left w:type="dxa" w:w="90"/>
              <w:bottom w:type="dxa" w:w="60"/>
              <w:right w:type="dxa" w:w="90"/>
            </w:tcMar>
          </w:tcPr>
          <w:p>
            <w:pPr>
              <w:spacing w:after="0"/>
            </w:pPr>
            <w:r>
              <w:rPr>
                <w:b/>
                <w:bCs/>
                <w:color w:val="FFFFFF"/>
                <w:sz w:val="16"/>
                <w:szCs w:val="16"/>
                <w:rFonts w:ascii="Arial" w:cs="Arial" w:eastAsia="Arial" w:hAnsi="Arial"/>
              </w:rPr>
              <w:t xml:space="preserve">Statut</w:t>
            </w:r>
          </w:p>
        </w:tc>
        <w:tc>
          <w:tcPr>
            <w:tcW w:type="pct" w:w="28%"/>
            <w:shd w:fill="17428F" w:color="auto" w:val="clear"/>
            <w:tcMar>
              <w:top w:type="dxa" w:w="60"/>
              <w:left w:type="dxa" w:w="90"/>
              <w:bottom w:type="dxa" w:w="60"/>
              <w:right w:type="dxa" w:w="90"/>
            </w:tcMar>
          </w:tcPr>
          <w:p>
            <w:pPr>
              <w:spacing w:after="0"/>
            </w:pPr>
            <w:r>
              <w:rPr>
                <w:b/>
                <w:bCs/>
                <w:color w:val="FFFFFF"/>
                <w:sz w:val="16"/>
                <w:szCs w:val="16"/>
                <w:rFonts w:ascii="Arial" w:cs="Arial" w:eastAsia="Arial" w:hAnsi="Arial"/>
              </w:rPr>
              <w:t xml:space="preserve">Référence</w:t>
            </w:r>
          </w:p>
        </w:tc>
      </w:tr>
      <w:tr>
        <w:tc>
          <w:tcPr>
            <w:tcMar>
              <w:top w:type="dxa" w:w="60"/>
              <w:left w:type="dxa" w:w="90"/>
              <w:bottom w:type="dxa" w:w="60"/>
              <w:right w:type="dxa" w:w="90"/>
            </w:tcMar>
          </w:tcPr>
          <w:p>
            <w:pPr>
              <w:spacing w:after="0"/>
            </w:pPr>
            <w:r>
              <w:rPr>
                <w:b/>
                <w:bCs/>
                <w:color w:val="000000"/>
                <w:sz w:val="17"/>
                <w:szCs w:val="17"/>
                <w:rFonts w:ascii="Arial" w:cs="Arial" w:eastAsia="Arial" w:hAnsi="Arial"/>
              </w:rPr>
              <w:t xml:space="preserve">Risque biologique</w:t>
            </w:r>
          </w:p>
        </w:tc>
        <w:tc>
          <w:tcPr>
            <w:tcMar>
              <w:top w:type="dxa" w:w="60"/>
              <w:left w:type="dxa" w:w="90"/>
              <w:bottom w:type="dxa" w:w="60"/>
              <w:right w:type="dxa" w:w="90"/>
            </w:tcMar>
          </w:tcPr>
          <w:p>
            <w:pPr>
              <w:spacing w:after="0"/>
            </w:pPr>
            <w:r>
              <w:rPr>
                <w:b w:val="false"/>
                <w:bCs w:val="false"/>
                <w:color w:val="000000"/>
                <w:sz w:val="17"/>
                <w:szCs w:val="17"/>
                <w:rFonts w:ascii="Arial" w:cs="Arial" w:eastAsia="Arial" w:hAnsi="Arial"/>
              </w:rPr>
              <w:t xml:space="preserve">SHA disponibles</w:t>
            </w:r>
          </w:p>
        </w:tc>
        <w:tc>
          <w:tcPr>
            <w:tcMar>
              <w:top w:type="dxa" w:w="60"/>
              <w:left w:type="dxa" w:w="90"/>
              <w:bottom w:type="dxa" w:w="60"/>
              <w:right w:type="dxa" w:w="90"/>
            </w:tcMar>
          </w:tcPr>
          <w:p>
            <w:pPr>
              <w:spacing w:after="0"/>
            </w:pPr>
            <w:r>
              <w:rPr>
                <w:b/>
                <w:bCs/>
                <w:color w:val="EB7420"/>
                <w:sz w:val="17"/>
                <w:szCs w:val="17"/>
                <w:rFonts w:ascii="Arial" w:cs="Arial" w:eastAsia="Arial" w:hAnsi="Arial"/>
              </w:rPr>
              <w:t xml:space="preserve">⚠️ Partiel</w:t>
            </w:r>
          </w:p>
        </w:tc>
        <w:tc>
          <w:tcPr>
            <w:tcMar>
              <w:top w:type="dxa" w:w="60"/>
              <w:left w:type="dxa" w:w="90"/>
              <w:bottom w:type="dxa" w:w="60"/>
              <w:right w:type="dxa" w:w="90"/>
            </w:tcMar>
          </w:tcPr>
          <w:p>
            <w:pPr>
              <w:spacing w:after="0"/>
            </w:pPr>
            <w:r>
              <w:rPr>
                <w:b w:val="false"/>
                <w:bCs w:val="false"/>
                <w:color w:val="44546A"/>
                <w:sz w:val="17"/>
                <w:szCs w:val="17"/>
                <w:rFonts w:ascii="Arial" w:cs="Arial" w:eastAsia="Arial" w:hAnsi="Arial"/>
              </w:rPr>
              <w:t xml:space="preserve">R.4421-1 à R.4427-5</w:t>
            </w:r>
          </w:p>
        </w:tc>
      </w:tr>
      <w:tr>
        <w:tc>
          <w:tcPr>
            <w:shd w:fill="F2F2F2" w:color="auto" w:val="clear"/>
            <w:tcMar>
              <w:top w:type="dxa" w:w="60"/>
              <w:left w:type="dxa" w:w="90"/>
              <w:bottom w:type="dxa" w:w="60"/>
              <w:right w:type="dxa" w:w="90"/>
            </w:tcMar>
          </w:tcPr>
          <w:p>
            <w:pPr>
              <w:spacing w:after="0"/>
            </w:pPr>
            <w:r>
              <w:rPr>
                <w:b/>
                <w:bCs/>
                <w:color w:val="000000"/>
                <w:sz w:val="17"/>
                <w:szCs w:val="17"/>
                <w:rFonts w:ascii="Arial" w:cs="Arial" w:eastAsia="Arial" w:hAnsi="Arial"/>
              </w:rPr>
              <w:t xml:space="preserve">Bruit</w:t>
            </w:r>
          </w:p>
        </w:tc>
        <w:tc>
          <w:tcPr>
            <w:shd w:fill="F2F2F2" w:color="auto" w:val="clear"/>
            <w:tcMar>
              <w:top w:type="dxa" w:w="60"/>
              <w:left w:type="dxa" w:w="90"/>
              <w:bottom w:type="dxa" w:w="60"/>
              <w:right w:type="dxa" w:w="90"/>
            </w:tcMar>
          </w:tcPr>
          <w:p>
            <w:pPr>
              <w:spacing w:after="0"/>
            </w:pPr>
            <w:r>
              <w:rPr>
                <w:b w:val="false"/>
                <w:bCs w:val="false"/>
                <w:color w:val="000000"/>
                <w:sz w:val="17"/>
                <w:szCs w:val="17"/>
                <w:rFonts w:ascii="Arial" w:cs="Arial" w:eastAsia="Arial" w:hAnsi="Arial"/>
              </w:rPr>
              <w:t xml:space="preserve">Bouchons moulés</w:t>
            </w:r>
          </w:p>
        </w:tc>
        <w:tc>
          <w:tcPr>
            <w:shd w:fill="F2F2F2" w:color="auto" w:val="clear"/>
            <w:tcMar>
              <w:top w:type="dxa" w:w="60"/>
              <w:left w:type="dxa" w:w="90"/>
              <w:bottom w:type="dxa" w:w="60"/>
              <w:right w:type="dxa" w:w="90"/>
            </w:tcMar>
          </w:tcPr>
          <w:p>
            <w:pPr>
              <w:spacing w:after="0"/>
            </w:pPr>
            <w:r>
              <w:rPr>
                <w:b/>
                <w:bCs/>
                <w:color w:val="EB7420"/>
                <w:sz w:val="17"/>
                <w:szCs w:val="17"/>
                <w:rFonts w:ascii="Arial" w:cs="Arial" w:eastAsia="Arial" w:hAnsi="Arial"/>
              </w:rPr>
              <w:t xml:space="preserve">⚠️ Partiel</w:t>
            </w:r>
          </w:p>
        </w:tc>
        <w:tc>
          <w:tcPr>
            <w:shd w:fill="F2F2F2" w:color="auto" w:val="clear"/>
            <w:tcMar>
              <w:top w:type="dxa" w:w="60"/>
              <w:left w:type="dxa" w:w="90"/>
              <w:bottom w:type="dxa" w:w="60"/>
              <w:right w:type="dxa" w:w="90"/>
            </w:tcMar>
          </w:tcPr>
          <w:p>
            <w:pPr>
              <w:spacing w:after="0"/>
            </w:pPr>
            <w:r>
              <w:rPr>
                <w:b w:val="false"/>
                <w:bCs w:val="false"/>
                <w:color w:val="44546A"/>
                <w:sz w:val="17"/>
                <w:szCs w:val="17"/>
                <w:rFonts w:ascii="Arial" w:cs="Arial" w:eastAsia="Arial" w:hAnsi="Arial"/>
              </w:rPr>
              <w:t xml:space="preserve">R.4431-1 à R.4436-1</w:t>
            </w:r>
          </w:p>
        </w:tc>
      </w:tr>
      <w:tr>
        <w:tc>
          <w:tcPr>
            <w:tcMar>
              <w:top w:type="dxa" w:w="60"/>
              <w:left w:type="dxa" w:w="90"/>
              <w:bottom w:type="dxa" w:w="60"/>
              <w:right w:type="dxa" w:w="90"/>
            </w:tcMar>
          </w:tcPr>
          <w:p>
            <w:pPr>
              <w:spacing w:after="0"/>
            </w:pPr>
            <w:r>
              <w:rPr>
                <w:b/>
                <w:bCs/>
                <w:color w:val="000000"/>
                <w:sz w:val="17"/>
                <w:szCs w:val="17"/>
                <w:rFonts w:ascii="Arial" w:cs="Arial" w:eastAsia="Arial" w:hAnsi="Arial"/>
              </w:rPr>
              <w:t xml:space="preserve">Circulation routière</w:t>
            </w:r>
          </w:p>
        </w:tc>
        <w:tc>
          <w:tcPr>
            <w:tcMar>
              <w:top w:type="dxa" w:w="60"/>
              <w:left w:type="dxa" w:w="90"/>
              <w:bottom w:type="dxa" w:w="60"/>
              <w:right w:type="dxa" w:w="90"/>
            </w:tcMar>
          </w:tcPr>
          <w:p>
            <w:pPr>
              <w:spacing w:after="0"/>
            </w:pPr>
            <w:r>
              <w:rPr>
                <w:b w:val="false"/>
                <w:bCs w:val="false"/>
                <w:color w:val="000000"/>
                <w:sz w:val="17"/>
                <w:szCs w:val="17"/>
                <w:rFonts w:ascii="Arial" w:cs="Arial" w:eastAsia="Arial" w:hAnsi="Arial"/>
              </w:rPr>
              <w:t xml:space="preserve">—</w:t>
            </w:r>
          </w:p>
        </w:tc>
        <w:tc>
          <w:tcPr>
            <w:tcMar>
              <w:top w:type="dxa" w:w="60"/>
              <w:left w:type="dxa" w:w="90"/>
              <w:bottom w:type="dxa" w:w="60"/>
              <w:right w:type="dxa" w:w="90"/>
            </w:tcMar>
          </w:tcPr>
          <w:p>
            <w:pPr>
              <w:spacing w:after="0"/>
            </w:pPr>
            <w:r>
              <w:rPr>
                <w:b/>
                <w:bCs/>
                <w:color w:val="C0392B"/>
                <w:sz w:val="17"/>
                <w:szCs w:val="17"/>
                <w:rFonts w:ascii="Arial" w:cs="Arial" w:eastAsia="Arial" w:hAnsi="Arial"/>
              </w:rPr>
              <w:t xml:space="preserve">🔴 Non maîtrisé</w:t>
            </w:r>
          </w:p>
        </w:tc>
        <w:tc>
          <w:tcPr>
            <w:tcMar>
              <w:top w:type="dxa" w:w="60"/>
              <w:left w:type="dxa" w:w="90"/>
              <w:bottom w:type="dxa" w:w="60"/>
              <w:right w:type="dxa" w:w="90"/>
            </w:tcMar>
          </w:tcPr>
          <w:p>
            <w:pPr>
              <w:spacing w:after="0"/>
            </w:pPr>
            <w:r>
              <w:rPr>
                <w:b w:val="false"/>
                <w:bCs w:val="false"/>
                <w:color w:val="44546A"/>
                <w:sz w:val="17"/>
                <w:szCs w:val="17"/>
                <w:rFonts w:ascii="Arial" w:cs="Arial" w:eastAsia="Arial" w:hAnsi="Arial"/>
              </w:rPr>
              <w:t xml:space="preserve">Art. L.4121-1 CT ; Recommandation CNAM R.488</w:t>
            </w:r>
          </w:p>
        </w:tc>
      </w:tr>
      <w:tr>
        <w:tc>
          <w:tcPr>
            <w:shd w:fill="F2F2F2" w:color="auto" w:val="clear"/>
            <w:tcMar>
              <w:top w:type="dxa" w:w="60"/>
              <w:left w:type="dxa" w:w="90"/>
              <w:bottom w:type="dxa" w:w="60"/>
              <w:right w:type="dxa" w:w="90"/>
            </w:tcMar>
          </w:tcPr>
          <w:p>
            <w:pPr>
              <w:spacing w:after="0"/>
            </w:pPr>
            <w:r>
              <w:rPr>
                <w:b/>
                <w:bCs/>
                <w:color w:val="000000"/>
                <w:sz w:val="17"/>
                <w:szCs w:val="17"/>
                <w:rFonts w:ascii="Arial" w:cs="Arial" w:eastAsia="Arial" w:hAnsi="Arial"/>
              </w:rPr>
              <w:t xml:space="preserve">RPS</w:t>
            </w:r>
          </w:p>
        </w:tc>
        <w:tc>
          <w:tcPr>
            <w:shd w:fill="F2F2F2" w:color="auto" w:val="clear"/>
            <w:tcMar>
              <w:top w:type="dxa" w:w="60"/>
              <w:left w:type="dxa" w:w="90"/>
              <w:bottom w:type="dxa" w:w="60"/>
              <w:right w:type="dxa" w:w="90"/>
            </w:tcMar>
          </w:tcPr>
          <w:p>
            <w:pPr>
              <w:spacing w:after="0"/>
            </w:pPr>
            <w:r>
              <w:rPr>
                <w:b w:val="false"/>
                <w:bCs w:val="false"/>
                <w:color w:val="000000"/>
                <w:sz w:val="17"/>
                <w:szCs w:val="17"/>
                <w:rFonts w:ascii="Arial" w:cs="Arial" w:eastAsia="Arial" w:hAnsi="Arial"/>
              </w:rPr>
              <w:t xml:space="preserve">—</w:t>
            </w:r>
          </w:p>
        </w:tc>
        <w:tc>
          <w:tcPr>
            <w:shd w:fill="F2F2F2" w:color="auto" w:val="clear"/>
            <w:tcMar>
              <w:top w:type="dxa" w:w="60"/>
              <w:left w:type="dxa" w:w="90"/>
              <w:bottom w:type="dxa" w:w="60"/>
              <w:right w:type="dxa" w:w="90"/>
            </w:tcMar>
          </w:tcPr>
          <w:p>
            <w:pPr>
              <w:spacing w:after="0"/>
            </w:pPr>
            <w:r>
              <w:rPr>
                <w:b/>
                <w:bCs/>
                <w:color w:val="C0392B"/>
                <w:sz w:val="17"/>
                <w:szCs w:val="17"/>
                <w:rFonts w:ascii="Arial" w:cs="Arial" w:eastAsia="Arial" w:hAnsi="Arial"/>
              </w:rPr>
              <w:t xml:space="preserve">🔴 Non maîtrisé</w:t>
            </w:r>
          </w:p>
        </w:tc>
        <w:tc>
          <w:tcPr>
            <w:shd w:fill="F2F2F2" w:color="auto" w:val="clear"/>
            <w:tcMar>
              <w:top w:type="dxa" w:w="60"/>
              <w:left w:type="dxa" w:w="90"/>
              <w:bottom w:type="dxa" w:w="60"/>
              <w:right w:type="dxa" w:w="90"/>
            </w:tcMar>
          </w:tcPr>
          <w:p>
            <w:pPr>
              <w:spacing w:after="0"/>
            </w:pPr>
            <w:r>
              <w:rPr>
                <w:b w:val="false"/>
                <w:bCs w:val="false"/>
                <w:color w:val="44546A"/>
                <w:sz w:val="17"/>
                <w:szCs w:val="17"/>
                <w:rFonts w:ascii="Arial" w:cs="Arial" w:eastAsia="Arial" w:hAnsi="Arial"/>
              </w:rPr>
              <w:t xml:space="preserve">Art. L.4121-1 ; Accord ANI 2008</w:t>
            </w:r>
          </w:p>
        </w:tc>
      </w:tr>
    </w:tbl>
    <w:p>
      <w:pPr>
        <w:pBdr>
          <w:bottom w:val="single" w:sz="6"/>
        </w:pBdr>
        <w:spacing w:before="260" w:after="100"/>
      </w:pPr>
      <w:r>
        <w:rPr>
          <w:b/>
          <w:bCs/>
          <w:sz w:val="26"/>
          <w:szCs w:val="26"/>
          <w:rFonts w:ascii="Arial" w:cs="Arial" w:eastAsia="Arial" w:hAnsi="Arial"/>
        </w:rPr>
        <w:t xml:space="preserve">3 · Préconisations employeur priorisées</w:t>
      </w:r>
    </w:p>
    <w:tbl>
      <w:tblPr>
        <w:tblW w:type="pct" w:w="100%"/>
        <w:tblBorders>
          <w:top w:val="single" w:color="DDE3EA" w:sz="2"/>
          <w:left w:val="single" w:color="DDE3EA" w:sz="2"/>
          <w:bottom w:val="single" w:color="DDE3EA" w:sz="2"/>
          <w:right w:val="single" w:color="DDE3EA" w:sz="2"/>
          <w:insideH w:val="single" w:color="DDE3EA" w:sz="2"/>
          <w:insideV w:val="single" w:color="DDE3EA" w:sz="2"/>
        </w:tblBorders>
      </w:tblPr>
      <w:tblGrid>
        <w:gridCol w:w="100"/>
        <w:gridCol w:w="100"/>
        <w:gridCol w:w="100"/>
        <w:gridCol w:w="100"/>
      </w:tblGrid>
      <w:tr>
        <w:trPr>
          <w:tblHeader/>
        </w:trPr>
        <w:tc>
          <w:tcPr>
            <w:tcW w:type="pct" w:w="42%"/>
            <w:shd w:fill="17428F" w:color="auto" w:val="clear"/>
            <w:tcMar>
              <w:top w:type="dxa" w:w="60"/>
              <w:left w:type="dxa" w:w="90"/>
              <w:bottom w:type="dxa" w:w="60"/>
              <w:right w:type="dxa" w:w="90"/>
            </w:tcMar>
          </w:tcPr>
          <w:p>
            <w:pPr>
              <w:spacing w:after="0"/>
            </w:pPr>
            <w:r>
              <w:rPr>
                <w:b/>
                <w:bCs/>
                <w:color w:val="FFFFFF"/>
                <w:sz w:val="16"/>
                <w:szCs w:val="16"/>
                <w:rFonts w:ascii="Arial" w:cs="Arial" w:eastAsia="Arial" w:hAnsi="Arial"/>
              </w:rPr>
              <w:t xml:space="preserve">Préconisation</w:t>
            </w:r>
          </w:p>
        </w:tc>
        <w:tc>
          <w:tcPr>
            <w:tcW w:type="pct" w:w="28%"/>
            <w:shd w:fill="17428F" w:color="auto" w:val="clear"/>
            <w:tcMar>
              <w:top w:type="dxa" w:w="60"/>
              <w:left w:type="dxa" w:w="90"/>
              <w:bottom w:type="dxa" w:w="60"/>
              <w:right w:type="dxa" w:w="90"/>
            </w:tcMar>
          </w:tcPr>
          <w:p>
            <w:pPr>
              <w:spacing w:after="0"/>
            </w:pPr>
            <w:r>
              <w:rPr>
                <w:b/>
                <w:bCs/>
                <w:color w:val="FFFFFF"/>
                <w:sz w:val="16"/>
                <w:szCs w:val="16"/>
                <w:rFonts w:ascii="Arial" w:cs="Arial" w:eastAsia="Arial" w:hAnsi="Arial"/>
              </w:rPr>
              <w:t xml:space="preserve">Référence réglementaire</w:t>
            </w:r>
          </w:p>
        </w:tc>
        <w:tc>
          <w:tcPr>
            <w:tcW w:type="pct" w:w="16%"/>
            <w:shd w:fill="17428F" w:color="auto" w:val="clear"/>
            <w:tcMar>
              <w:top w:type="dxa" w:w="60"/>
              <w:left w:type="dxa" w:w="90"/>
              <w:bottom w:type="dxa" w:w="60"/>
              <w:right w:type="dxa" w:w="90"/>
            </w:tcMar>
          </w:tcPr>
          <w:p>
            <w:pPr>
              <w:spacing w:after="0"/>
            </w:pPr>
            <w:r>
              <w:rPr>
                <w:b/>
                <w:bCs/>
                <w:color w:val="FFFFFF"/>
                <w:sz w:val="16"/>
                <w:szCs w:val="16"/>
                <w:rFonts w:ascii="Arial" w:cs="Arial" w:eastAsia="Arial" w:hAnsi="Arial"/>
              </w:rPr>
              <w:t xml:space="preserve">Priorité</w:t>
            </w:r>
          </w:p>
        </w:tc>
        <w:tc>
          <w:tcPr>
            <w:tcW w:type="pct" w:w="14%"/>
            <w:shd w:fill="17428F" w:color="auto" w:val="clear"/>
            <w:tcMar>
              <w:top w:type="dxa" w:w="60"/>
              <w:left w:type="dxa" w:w="90"/>
              <w:bottom w:type="dxa" w:w="60"/>
              <w:right w:type="dxa" w:w="90"/>
            </w:tcMar>
          </w:tcPr>
          <w:p>
            <w:pPr>
              <w:spacing w:after="0"/>
            </w:pPr>
            <w:r>
              <w:rPr>
                <w:b/>
                <w:bCs/>
                <w:color w:val="FFFFFF"/>
                <w:sz w:val="16"/>
                <w:szCs w:val="16"/>
                <w:rFonts w:ascii="Arial" w:cs="Arial" w:eastAsia="Arial" w:hAnsi="Arial"/>
              </w:rPr>
              <w:t xml:space="preserve">Échéance</w:t>
            </w:r>
          </w:p>
        </w:tc>
      </w:tr>
      <w:tr>
        <w:tc>
          <w:tcPr>
            <w:tcMar>
              <w:top w:type="dxa" w:w="60"/>
              <w:left w:type="dxa" w:w="90"/>
              <w:bottom w:type="dxa" w:w="60"/>
              <w:right w:type="dxa" w:w="90"/>
            </w:tcMar>
          </w:tcPr>
          <w:p>
            <w:pPr>
              <w:spacing w:after="0"/>
            </w:pPr>
            <w:r>
              <w:rPr>
                <w:b w:val="false"/>
                <w:bCs w:val="false"/>
                <w:color w:val="000000"/>
                <w:sz w:val="17"/>
                <w:szCs w:val="17"/>
                <w:rFonts w:ascii="Arial" w:cs="Arial" w:eastAsia="Arial" w:hAnsi="Arial"/>
              </w:rPr>
              <w:t xml:space="preserve">Afficher le protocole AES</w:t>
            </w:r>
          </w:p>
        </w:tc>
        <w:tc>
          <w:tcPr>
            <w:tcMar>
              <w:top w:type="dxa" w:w="60"/>
              <w:left w:type="dxa" w:w="90"/>
              <w:bottom w:type="dxa" w:w="60"/>
              <w:right w:type="dxa" w:w="90"/>
            </w:tcMar>
          </w:tcPr>
          <w:p>
            <w:pPr>
              <w:spacing w:after="0"/>
            </w:pPr>
            <w:r>
              <w:rPr>
                <w:b w:val="false"/>
                <w:bCs w:val="false"/>
                <w:color w:val="44546A"/>
                <w:sz w:val="17"/>
                <w:szCs w:val="17"/>
                <w:rFonts w:ascii="Arial" w:cs="Arial" w:eastAsia="Arial" w:hAnsi="Arial"/>
              </w:rPr>
              <w:t xml:space="preserve">Art. R.4421-1 à R.4427-5 du Code du travail</w:t>
            </w:r>
          </w:p>
        </w:tc>
        <w:tc>
          <w:tcPr>
            <w:tcMar>
              <w:top w:type="dxa" w:w="60"/>
              <w:left w:type="dxa" w:w="90"/>
              <w:bottom w:type="dxa" w:w="60"/>
              <w:right w:type="dxa" w:w="90"/>
            </w:tcMar>
          </w:tcPr>
          <w:p>
            <w:pPr>
              <w:spacing w:after="0"/>
            </w:pPr>
            <w:r>
              <w:rPr>
                <w:b/>
                <w:bCs/>
                <w:color w:val="C0392B"/>
                <w:sz w:val="17"/>
                <w:szCs w:val="17"/>
                <w:rFonts w:ascii="Arial" w:cs="Arial" w:eastAsia="Arial" w:hAnsi="Arial"/>
              </w:rPr>
              <w:t xml:space="preserve">🔴 URGENT</w:t>
            </w:r>
          </w:p>
        </w:tc>
        <w:tc>
          <w:tcPr>
            <w:tcMar>
              <w:top w:type="dxa" w:w="60"/>
              <w:left w:type="dxa" w:w="90"/>
              <w:bottom w:type="dxa" w:w="60"/>
              <w:right w:type="dxa" w:w="90"/>
            </w:tcMar>
          </w:tcPr>
          <w:p>
            <w:pPr>
              <w:spacing w:after="0"/>
            </w:pPr>
            <w:r>
              <w:rPr>
                <w:b w:val="false"/>
                <w:bCs w:val="false"/>
                <w:color w:val="000000"/>
                <w:sz w:val="17"/>
                <w:szCs w:val="17"/>
                <w:rFonts w:ascii="Arial" w:cs="Arial" w:eastAsia="Arial" w:hAnsi="Arial"/>
              </w:rPr>
              <w:t xml:space="preserve">3 mois</w:t>
            </w:r>
          </w:p>
        </w:tc>
      </w:tr>
      <w:tr>
        <w:tc>
          <w:tcPr>
            <w:shd w:fill="F2F2F2" w:color="auto" w:val="clear"/>
            <w:tcMar>
              <w:top w:type="dxa" w:w="60"/>
              <w:left w:type="dxa" w:w="90"/>
              <w:bottom w:type="dxa" w:w="60"/>
              <w:right w:type="dxa" w:w="90"/>
            </w:tcMar>
          </w:tcPr>
          <w:p>
            <w:pPr>
              <w:spacing w:after="0"/>
            </w:pPr>
            <w:r>
              <w:rPr>
                <w:b w:val="false"/>
                <w:bCs w:val="false"/>
                <w:color w:val="000000"/>
                <w:sz w:val="17"/>
                <w:szCs w:val="17"/>
                <w:rFonts w:ascii="Arial" w:cs="Arial" w:eastAsia="Arial" w:hAnsi="Arial"/>
              </w:rPr>
              <w:t xml:space="preserve">Réaliser une sonométrie</w:t>
            </w:r>
          </w:p>
        </w:tc>
        <w:tc>
          <w:tcPr>
            <w:shd w:fill="F2F2F2" w:color="auto" w:val="clear"/>
            <w:tcMar>
              <w:top w:type="dxa" w:w="60"/>
              <w:left w:type="dxa" w:w="90"/>
              <w:bottom w:type="dxa" w:w="60"/>
              <w:right w:type="dxa" w:w="90"/>
            </w:tcMar>
          </w:tcPr>
          <w:p>
            <w:pPr>
              <w:spacing w:after="0"/>
            </w:pPr>
            <w:r>
              <w:rPr>
                <w:b w:val="false"/>
                <w:bCs w:val="false"/>
                <w:color w:val="44546A"/>
                <w:sz w:val="17"/>
                <w:szCs w:val="17"/>
                <w:rFonts w:ascii="Arial" w:cs="Arial" w:eastAsia="Arial" w:hAnsi="Arial"/>
              </w:rPr>
              <w:t xml:space="preserve">Art. R.4431-1 à R.4437-4 du Code du travail</w:t>
            </w:r>
          </w:p>
        </w:tc>
        <w:tc>
          <w:tcPr>
            <w:shd w:fill="F2F2F2" w:color="auto" w:val="clear"/>
            <w:tcMar>
              <w:top w:type="dxa" w:w="60"/>
              <w:left w:type="dxa" w:w="90"/>
              <w:bottom w:type="dxa" w:w="60"/>
              <w:right w:type="dxa" w:w="90"/>
            </w:tcMar>
          </w:tcPr>
          <w:p>
            <w:pPr>
              <w:spacing w:after="0"/>
            </w:pPr>
            <w:r>
              <w:rPr>
                <w:b/>
                <w:bCs/>
                <w:color w:val="C0392B"/>
                <w:sz w:val="17"/>
                <w:szCs w:val="17"/>
                <w:rFonts w:ascii="Arial" w:cs="Arial" w:eastAsia="Arial" w:hAnsi="Arial"/>
              </w:rPr>
              <w:t xml:space="preserve">🔴 URGENT</w:t>
            </w:r>
          </w:p>
        </w:tc>
        <w:tc>
          <w:tcPr>
            <w:shd w:fill="F2F2F2" w:color="auto" w:val="clear"/>
            <w:tcMar>
              <w:top w:type="dxa" w:w="60"/>
              <w:left w:type="dxa" w:w="90"/>
              <w:bottom w:type="dxa" w:w="60"/>
              <w:right w:type="dxa" w:w="90"/>
            </w:tcMar>
          </w:tcPr>
          <w:p>
            <w:pPr>
              <w:spacing w:after="0"/>
            </w:pPr>
            <w:r>
              <w:rPr>
                <w:b w:val="false"/>
                <w:bCs w:val="false"/>
                <w:color w:val="000000"/>
                <w:sz w:val="17"/>
                <w:szCs w:val="17"/>
                <w:rFonts w:ascii="Arial" w:cs="Arial" w:eastAsia="Arial" w:hAnsi="Arial"/>
              </w:rPr>
              <w:t xml:space="preserve">3 mois</w:t>
            </w:r>
          </w:p>
        </w:tc>
      </w:tr>
      <w:tr>
        <w:tc>
          <w:tcPr>
            <w:tcMar>
              <w:top w:type="dxa" w:w="60"/>
              <w:left w:type="dxa" w:w="90"/>
              <w:bottom w:type="dxa" w:w="60"/>
              <w:right w:type="dxa" w:w="90"/>
            </w:tcMar>
          </w:tcPr>
          <w:p>
            <w:pPr>
              <w:spacing w:after="0"/>
            </w:pPr>
            <w:r>
              <w:rPr>
                <w:b w:val="false"/>
                <w:bCs w:val="false"/>
                <w:color w:val="000000"/>
                <w:sz w:val="17"/>
                <w:szCs w:val="17"/>
                <w:rFonts w:ascii="Arial" w:cs="Arial" w:eastAsia="Arial" w:hAnsi="Arial"/>
              </w:rPr>
              <w:t xml:space="preserve">Former à l'écoconduite</w:t>
            </w:r>
          </w:p>
        </w:tc>
        <w:tc>
          <w:tcPr>
            <w:tcMar>
              <w:top w:type="dxa" w:w="60"/>
              <w:left w:type="dxa" w:w="90"/>
              <w:bottom w:type="dxa" w:w="60"/>
              <w:right w:type="dxa" w:w="90"/>
            </w:tcMar>
          </w:tcPr>
          <w:p>
            <w:pPr>
              <w:spacing w:after="0"/>
            </w:pPr>
            <w:r>
              <w:rPr>
                <w:b w:val="false"/>
                <w:bCs w:val="false"/>
                <w:color w:val="44546A"/>
                <w:sz w:val="17"/>
                <w:szCs w:val="17"/>
                <w:rFonts w:ascii="Arial" w:cs="Arial" w:eastAsia="Arial" w:hAnsi="Arial"/>
              </w:rPr>
              <w:t xml:space="preserve">Art. L.4121-1 CT ; Recommandation CNAM R.488</w:t>
            </w:r>
          </w:p>
        </w:tc>
        <w:tc>
          <w:tcPr>
            <w:tcMar>
              <w:top w:type="dxa" w:w="60"/>
              <w:left w:type="dxa" w:w="90"/>
              <w:bottom w:type="dxa" w:w="60"/>
              <w:right w:type="dxa" w:w="90"/>
            </w:tcMar>
          </w:tcPr>
          <w:p>
            <w:pPr>
              <w:spacing w:after="0"/>
            </w:pPr>
            <w:r>
              <w:rPr>
                <w:b/>
                <w:bCs/>
                <w:color w:val="EB7420"/>
                <w:sz w:val="17"/>
                <w:szCs w:val="17"/>
                <w:rFonts w:ascii="Arial" w:cs="Arial" w:eastAsia="Arial" w:hAnsi="Arial"/>
              </w:rPr>
              <w:t xml:space="preserve">🟡 IMPORTANTE</w:t>
            </w:r>
          </w:p>
        </w:tc>
        <w:tc>
          <w:tcPr>
            <w:tcMar>
              <w:top w:type="dxa" w:w="60"/>
              <w:left w:type="dxa" w:w="90"/>
              <w:bottom w:type="dxa" w:w="60"/>
              <w:right w:type="dxa" w:w="90"/>
            </w:tcMar>
          </w:tcPr>
          <w:p>
            <w:pPr>
              <w:spacing w:after="0"/>
            </w:pPr>
            <w:r>
              <w:rPr>
                <w:b w:val="false"/>
                <w:bCs w:val="false"/>
                <w:color w:val="000000"/>
                <w:sz w:val="17"/>
                <w:szCs w:val="17"/>
                <w:rFonts w:ascii="Arial" w:cs="Arial" w:eastAsia="Arial" w:hAnsi="Arial"/>
              </w:rPr>
              <w:t xml:space="preserve">6 mois</w:t>
            </w:r>
          </w:p>
        </w:tc>
      </w:tr>
      <w:tr>
        <w:tc>
          <w:tcPr>
            <w:shd w:fill="F2F2F2" w:color="auto" w:val="clear"/>
            <w:tcMar>
              <w:top w:type="dxa" w:w="60"/>
              <w:left w:type="dxa" w:w="90"/>
              <w:bottom w:type="dxa" w:w="60"/>
              <w:right w:type="dxa" w:w="90"/>
            </w:tcMar>
          </w:tcPr>
          <w:p>
            <w:pPr>
              <w:spacing w:after="0"/>
            </w:pPr>
            <w:r>
              <w:rPr>
                <w:b w:val="false"/>
                <w:bCs w:val="false"/>
                <w:color w:val="000000"/>
                <w:sz w:val="17"/>
                <w:szCs w:val="17"/>
                <w:rFonts w:ascii="Arial" w:cs="Arial" w:eastAsia="Arial" w:hAnsi="Arial"/>
              </w:rPr>
              <w:t xml:space="preserve">Mettre en place un dispositif de signalement</w:t>
            </w:r>
          </w:p>
        </w:tc>
        <w:tc>
          <w:tcPr>
            <w:shd w:fill="F2F2F2" w:color="auto" w:val="clear"/>
            <w:tcMar>
              <w:top w:type="dxa" w:w="60"/>
              <w:left w:type="dxa" w:w="90"/>
              <w:bottom w:type="dxa" w:w="60"/>
              <w:right w:type="dxa" w:w="90"/>
            </w:tcMar>
          </w:tcPr>
          <w:p>
            <w:pPr>
              <w:spacing w:after="0"/>
            </w:pPr>
            <w:r>
              <w:rPr>
                <w:b w:val="false"/>
                <w:bCs w:val="false"/>
                <w:color w:val="44546A"/>
                <w:sz w:val="17"/>
                <w:szCs w:val="17"/>
                <w:rFonts w:ascii="Arial" w:cs="Arial" w:eastAsia="Arial" w:hAnsi="Arial"/>
              </w:rPr>
              <w:t xml:space="preserve">Art. L.4121-1 CT ; ANI du 02/07/2008</w:t>
            </w:r>
          </w:p>
        </w:tc>
        <w:tc>
          <w:tcPr>
            <w:shd w:fill="F2F2F2" w:color="auto" w:val="clear"/>
            <w:tcMar>
              <w:top w:type="dxa" w:w="60"/>
              <w:left w:type="dxa" w:w="90"/>
              <w:bottom w:type="dxa" w:w="60"/>
              <w:right w:type="dxa" w:w="90"/>
            </w:tcMar>
          </w:tcPr>
          <w:p>
            <w:pPr>
              <w:spacing w:after="0"/>
            </w:pPr>
            <w:r>
              <w:rPr>
                <w:b/>
                <w:bCs/>
                <w:color w:val="EB7420"/>
                <w:sz w:val="17"/>
                <w:szCs w:val="17"/>
                <w:rFonts w:ascii="Arial" w:cs="Arial" w:eastAsia="Arial" w:hAnsi="Arial"/>
              </w:rPr>
              <w:t xml:space="preserve">🟡 IMPORTANTE</w:t>
            </w:r>
          </w:p>
        </w:tc>
        <w:tc>
          <w:tcPr>
            <w:shd w:fill="F2F2F2" w:color="auto" w:val="clear"/>
            <w:tcMar>
              <w:top w:type="dxa" w:w="60"/>
              <w:left w:type="dxa" w:w="90"/>
              <w:bottom w:type="dxa" w:w="60"/>
              <w:right w:type="dxa" w:w="90"/>
            </w:tcMar>
          </w:tcPr>
          <w:p>
            <w:pPr>
              <w:spacing w:after="0"/>
            </w:pPr>
            <w:r>
              <w:rPr>
                <w:b w:val="false"/>
                <w:bCs w:val="false"/>
                <w:color w:val="000000"/>
                <w:sz w:val="17"/>
                <w:szCs w:val="17"/>
                <w:rFonts w:ascii="Arial" w:cs="Arial" w:eastAsia="Arial" w:hAnsi="Arial"/>
              </w:rPr>
              <w:t xml:space="preserve">6 mois</w:t>
            </w:r>
          </w:p>
        </w:tc>
      </w:tr>
    </w:tbl>
    <w:p>
      <w:pPr>
        <w:pBdr>
          <w:bottom w:val="single" w:sz="6"/>
        </w:pBdr>
        <w:spacing w:before="260" w:after="100"/>
      </w:pPr>
      <w:r>
        <w:rPr>
          <w:b/>
          <w:bCs/>
          <w:sz w:val="26"/>
          <w:szCs w:val="26"/>
          <w:rFonts w:ascii="Arial" w:cs="Arial" w:eastAsia="Arial" w:hAnsi="Arial"/>
        </w:rPr>
        <w:t xml:space="preserve">4 · Remarques et conseils de l’équipe pluridisciplinaire</w:t>
      </w:r>
    </w:p>
    <w:p>
      <w:pPr>
        <w:spacing w:before="0" w:after="100"/>
      </w:pPr>
      <w:r>
        <w:rPr>
          <w:b w:val="false"/>
          <w:bCs w:val="false"/>
          <w:i w:val="false"/>
          <w:iCs w:val="false"/>
          <w:color w:val="000000"/>
          <w:sz w:val="19"/>
          <w:szCs w:val="19"/>
          <w:rFonts w:ascii="Arial" w:cs="Arial" w:eastAsia="Arial" w:hAnsi="Arial"/>
        </w:rPr>
        <w:t xml:space="preserve">Certaines mesures de prévention proposées ci-dessous sont déjà mises en place dans votre établissement, nous vous encourageons à poursuivre votre politique de sécurité. D'autres restent à instaurer, notamment les préconisations de priorité urgente listées dans le tableau ci-dessus.</w:t>
      </w:r>
    </w:p>
    <w:p>
      <w:pPr>
        <w:spacing w:before="0" w:after="100"/>
      </w:pPr>
      <w:r>
        <w:rPr>
          <w:b w:val="false"/>
          <w:bCs w:val="false"/>
          <w:i/>
          <w:iCs/>
          <w:color w:val="44546A"/>
          <w:sz w:val="17"/>
          <w:szCs w:val="17"/>
          <w:rFonts w:ascii="Arial" w:cs="Arial" w:eastAsia="Arial" w:hAnsi="Arial"/>
        </w:rPr>
        <w:t xml:space="preserve">Je vous rappelle que l'employeur est tenu par la loi de prendre toutes les mesures nécessaires pour assurer la sécurité et protéger la santé physique et mentale de ses salariés (article L.4121-1 du Code du travail). Cette obligation est une obligation de résultat (Cour de cassation, chambre sociale, Cass. soc. 28 fév. 2024).</w:t>
      </w:r>
    </w:p>
    <w:p>
      <w:pPr>
        <w:spacing w:before="160" w:after="60"/>
      </w:pPr>
      <w:r>
        <w:rPr>
          <w:b/>
          <w:bCs/>
          <w:color w:val="1A9DD9"/>
          <w:sz w:val="20"/>
          <w:szCs w:val="20"/>
          <w:rFonts w:ascii="Arial" w:cs="Arial" w:eastAsia="Arial" w:hAnsi="Arial"/>
        </w:rPr>
        <w:t xml:space="preserve">Rappels par famille de risque</w:t>
      </w:r>
    </w:p>
    <w:p>
      <w:pPr>
        <w:spacing w:before="100" w:after="40"/>
      </w:pPr>
      <w:r>
        <w:rPr>
          <w:b/>
          <w:bCs/>
          <w:color w:val="17428F"/>
          <w:sz w:val="19"/>
          <w:szCs w:val="19"/>
          <w:rFonts w:ascii="Arial" w:cs="Arial" w:eastAsia="Arial" w:hAnsi="Arial"/>
        </w:rPr>
        <w:t xml:space="preserve">Risques liés au risque biologique</w:t>
      </w:r>
    </w:p>
    <w:p>
      <w:pPr>
        <w:spacing w:before="0" w:after="60"/>
        <w:ind w:left="280"/>
      </w:pPr>
      <w:r>
        <w:rPr>
          <w:b/>
          <w:bCs/>
          <w:color w:val="1A9DD9"/>
          <w:sz w:val="18"/>
          <w:szCs w:val="18"/>
          <w:rFonts w:ascii="Arial" w:cs="Arial" w:eastAsia="Arial" w:hAnsi="Arial"/>
        </w:rPr>
        <w:t xml:space="preserve">• </w:t>
      </w:r>
      <w:r>
        <w:rPr>
          <w:color w:val="000000"/>
          <w:sz w:val="18"/>
          <w:szCs w:val="18"/>
          <w:rFonts w:ascii="Arial" w:cs="Arial" w:eastAsia="Arial" w:hAnsi="Arial"/>
        </w:rPr>
        <w:t xml:space="preserve">Appliquer les précautions standard et respecter les protocoles de soins en vigueur.</w:t>
      </w:r>
    </w:p>
    <w:p>
      <w:pPr>
        <w:spacing w:before="0" w:after="60"/>
        <w:ind w:left="280"/>
      </w:pPr>
      <w:r>
        <w:rPr>
          <w:b/>
          <w:bCs/>
          <w:color w:val="1A9DD9"/>
          <w:sz w:val="18"/>
          <w:szCs w:val="18"/>
          <w:rFonts w:ascii="Arial" w:cs="Arial" w:eastAsia="Arial" w:hAnsi="Arial"/>
        </w:rPr>
        <w:t xml:space="preserve">• </w:t>
      </w:r>
      <w:r>
        <w:rPr>
          <w:color w:val="000000"/>
          <w:sz w:val="18"/>
          <w:szCs w:val="18"/>
          <w:rFonts w:ascii="Arial" w:cs="Arial" w:eastAsia="Arial" w:hAnsi="Arial"/>
        </w:rPr>
        <w:t xml:space="preserve">Fournir les équipements de protection individuelle adaptés selon le risque : gants à usage unique en cas de contact avec des liquides biologiques, lunettes de protection en cas de risque de projection.</w:t>
      </w:r>
    </w:p>
    <w:p>
      <w:pPr>
        <w:spacing w:before="0" w:after="60"/>
        <w:ind w:left="280"/>
      </w:pPr>
      <w:r>
        <w:rPr>
          <w:b/>
          <w:bCs/>
          <w:color w:val="1A9DD9"/>
          <w:sz w:val="18"/>
          <w:szCs w:val="18"/>
          <w:rFonts w:ascii="Arial" w:cs="Arial" w:eastAsia="Arial" w:hAnsi="Arial"/>
        </w:rPr>
        <w:t xml:space="preserve">• </w:t>
      </w:r>
      <w:r>
        <w:rPr>
          <w:color w:val="000000"/>
          <w:sz w:val="18"/>
          <w:szCs w:val="18"/>
          <w:rFonts w:ascii="Arial" w:cs="Arial" w:eastAsia="Arial" w:hAnsi="Arial"/>
        </w:rPr>
        <w:t xml:space="preserve">Afficher le protocole AES et former l'ensemble des salariés à la conduite à tenir. Vérifier la mise à jour des vaccinations (hépatite B pour les postes exposés au sang).</w:t>
      </w:r>
    </w:p>
    <w:p>
      <w:pPr>
        <w:spacing w:after="60"/>
        <w:ind w:left="280"/>
      </w:pPr>
      <w:r>
        <w:rPr>
          <w:i/>
          <w:iCs/>
          <w:color w:val="1A9DD9"/>
          <w:sz w:val="15"/>
          <w:szCs w:val="15"/>
          <w:rFonts w:ascii="Arial" w:cs="Arial" w:eastAsia="Arial" w:hAnsi="Arial"/>
        </w:rPr>
        <w:t xml:space="preserve">Pour en savoir plus : https://www.inrs.fr/risques/biologiques/ce-qu-il-faut-retenir.html</w:t>
      </w:r>
    </w:p>
    <w:p>
      <w:pPr>
        <w:spacing w:before="100" w:after="40"/>
      </w:pPr>
      <w:r>
        <w:rPr>
          <w:b/>
          <w:bCs/>
          <w:color w:val="17428F"/>
          <w:sz w:val="19"/>
          <w:szCs w:val="19"/>
          <w:rFonts w:ascii="Arial" w:cs="Arial" w:eastAsia="Arial" w:hAnsi="Arial"/>
        </w:rPr>
        <w:t xml:space="preserve">Risques liés au bruit</w:t>
      </w:r>
    </w:p>
    <w:p>
      <w:pPr>
        <w:spacing w:before="0" w:after="60"/>
        <w:ind w:left="280"/>
      </w:pPr>
      <w:r>
        <w:rPr>
          <w:b/>
          <w:bCs/>
          <w:color w:val="1A9DD9"/>
          <w:sz w:val="18"/>
          <w:szCs w:val="18"/>
          <w:rFonts w:ascii="Arial" w:cs="Arial" w:eastAsia="Arial" w:hAnsi="Arial"/>
        </w:rPr>
        <w:t xml:space="preserve">• </w:t>
      </w:r>
      <w:r>
        <w:rPr>
          <w:color w:val="000000"/>
          <w:sz w:val="18"/>
          <w:szCs w:val="18"/>
          <w:rFonts w:ascii="Arial" w:cs="Arial" w:eastAsia="Arial" w:hAnsi="Arial"/>
        </w:rPr>
        <w:t xml:space="preserve">L'employeur évalue et, si nécessaire, mesure les niveaux de bruit auxquels les travailleurs sont exposés. En cas de mesurage, celui-ci est renouvelé au moins tous les cinq ans.</w:t>
      </w:r>
    </w:p>
    <w:p>
      <w:pPr>
        <w:spacing w:before="0" w:after="60"/>
        <w:ind w:left="280"/>
      </w:pPr>
      <w:r>
        <w:rPr>
          <w:b/>
          <w:bCs/>
          <w:color w:val="1A9DD9"/>
          <w:sz w:val="18"/>
          <w:szCs w:val="18"/>
          <w:rFonts w:ascii="Arial" w:cs="Arial" w:eastAsia="Arial" w:hAnsi="Arial"/>
        </w:rPr>
        <w:t xml:space="preserve">• </w:t>
      </w:r>
      <w:r>
        <w:rPr>
          <w:color w:val="000000"/>
          <w:sz w:val="18"/>
          <w:szCs w:val="18"/>
          <w:rFonts w:ascii="Arial" w:cs="Arial" w:eastAsia="Arial" w:hAnsi="Arial"/>
        </w:rPr>
        <w:t xml:space="preserve">L'équipe pluridisciplinaire du SPSTI 23/87 se tient à votre disposition pour effectuer ces mesurages sonométriques et vous aider à déterminer les zones de dépassement des valeurs limites d'exposition.</w:t>
      </w:r>
    </w:p>
    <w:p>
      <w:pPr>
        <w:spacing w:after="60"/>
        <w:ind w:left="280"/>
      </w:pPr>
      <w:r>
        <w:rPr>
          <w:i/>
          <w:iCs/>
          <w:color w:val="1A9DD9"/>
          <w:sz w:val="15"/>
          <w:szCs w:val="15"/>
          <w:rFonts w:ascii="Arial" w:cs="Arial" w:eastAsia="Arial" w:hAnsi="Arial"/>
        </w:rPr>
        <w:t xml:space="preserve">Pour en savoir plus : https://www.inrs.fr/risques/bruit/ce-qu-il-faut-retenir.html</w:t>
      </w:r>
    </w:p>
    <w:p>
      <w:pPr>
        <w:spacing w:before="100" w:after="40"/>
      </w:pPr>
      <w:r>
        <w:rPr>
          <w:b/>
          <w:bCs/>
          <w:color w:val="17428F"/>
          <w:sz w:val="19"/>
          <w:szCs w:val="19"/>
          <w:rFonts w:ascii="Arial" w:cs="Arial" w:eastAsia="Arial" w:hAnsi="Arial"/>
        </w:rPr>
        <w:t xml:space="preserve">Risques liés à la circulation routière</w:t>
      </w:r>
    </w:p>
    <w:p>
      <w:pPr>
        <w:spacing w:before="0" w:after="60"/>
        <w:ind w:left="280"/>
      </w:pPr>
      <w:r>
        <w:rPr>
          <w:b/>
          <w:bCs/>
          <w:color w:val="1A9DD9"/>
          <w:sz w:val="18"/>
          <w:szCs w:val="18"/>
          <w:rFonts w:ascii="Arial" w:cs="Arial" w:eastAsia="Arial" w:hAnsi="Arial"/>
        </w:rPr>
        <w:t xml:space="preserve">• </w:t>
      </w:r>
      <w:r>
        <w:rPr>
          <w:color w:val="000000"/>
          <w:sz w:val="18"/>
          <w:szCs w:val="18"/>
          <w:rFonts w:ascii="Arial" w:cs="Arial" w:eastAsia="Arial" w:hAnsi="Arial"/>
        </w:rPr>
        <w:t xml:space="preserve">Réaliser un état des lieux des déplacements et analyser les accidents de mission survenus au cours des dernières années.</w:t>
      </w:r>
    </w:p>
    <w:p>
      <w:pPr>
        <w:spacing w:before="0" w:after="60"/>
        <w:ind w:left="280"/>
      </w:pPr>
      <w:r>
        <w:rPr>
          <w:b/>
          <w:bCs/>
          <w:color w:val="1A9DD9"/>
          <w:sz w:val="18"/>
          <w:szCs w:val="18"/>
          <w:rFonts w:ascii="Arial" w:cs="Arial" w:eastAsia="Arial" w:hAnsi="Arial"/>
        </w:rPr>
        <w:t xml:space="preserve">• </w:t>
      </w:r>
      <w:r>
        <w:rPr>
          <w:color w:val="000000"/>
          <w:sz w:val="18"/>
          <w:szCs w:val="18"/>
          <w:rFonts w:ascii="Arial" w:cs="Arial" w:eastAsia="Arial" w:hAnsi="Arial"/>
        </w:rPr>
        <w:t xml:space="preserve">Éviter les déplacements par des technologies de communication (visioconférence), regrouper les rendez-vous et privilégier les transports collectifs et l'autoroute.</w:t>
      </w:r>
    </w:p>
    <w:p>
      <w:pPr>
        <w:spacing w:before="0" w:after="60"/>
        <w:ind w:left="280"/>
      </w:pPr>
      <w:r>
        <w:rPr>
          <w:b/>
          <w:bCs/>
          <w:color w:val="1A9DD9"/>
          <w:sz w:val="18"/>
          <w:szCs w:val="18"/>
          <w:rFonts w:ascii="Arial" w:cs="Arial" w:eastAsia="Arial" w:hAnsi="Arial"/>
        </w:rPr>
        <w:t xml:space="preserve">• </w:t>
      </w:r>
      <w:r>
        <w:rPr>
          <w:color w:val="000000"/>
          <w:sz w:val="18"/>
          <w:szCs w:val="18"/>
          <w:rFonts w:ascii="Arial" w:cs="Arial" w:eastAsia="Arial" w:hAnsi="Arial"/>
        </w:rPr>
        <w:t xml:space="preserve">Le SPSTI 23-87 propose à ses adhérents une sensibilisation au risque routier — vous pouvez en faire la demande auprès du médecin du travail.</w:t>
      </w:r>
    </w:p>
    <w:p>
      <w:pPr>
        <w:spacing w:before="0" w:after="60"/>
        <w:ind w:left="280"/>
      </w:pPr>
      <w:r>
        <w:rPr>
          <w:b/>
          <w:bCs/>
          <w:color w:val="1A9DD9"/>
          <w:sz w:val="18"/>
          <w:szCs w:val="18"/>
          <w:rFonts w:ascii="Arial" w:cs="Arial" w:eastAsia="Arial" w:hAnsi="Arial"/>
        </w:rPr>
        <w:t xml:space="preserve">• </w:t>
      </w:r>
      <w:r>
        <w:rPr>
          <w:color w:val="000000"/>
          <w:sz w:val="18"/>
          <w:szCs w:val="18"/>
          <w:rFonts w:ascii="Arial" w:cs="Arial" w:eastAsia="Arial" w:hAnsi="Arial"/>
        </w:rPr>
        <w:t xml:space="preserve">S'assurer que le salarié est en possession d'un permis en cours de validité, adapté au type de véhicule conduit, et vérifier périodiquement cette validité.</w:t>
      </w:r>
    </w:p>
    <w:p>
      <w:pPr>
        <w:spacing w:after="60"/>
        <w:ind w:left="280"/>
      </w:pPr>
      <w:r>
        <w:rPr>
          <w:i/>
          <w:iCs/>
          <w:color w:val="1A9DD9"/>
          <w:sz w:val="15"/>
          <w:szCs w:val="15"/>
          <w:rFonts w:ascii="Arial" w:cs="Arial" w:eastAsia="Arial" w:hAnsi="Arial"/>
        </w:rPr>
        <w:t xml:space="preserve">Pour en savoir plus : https://www.inrs.fr/risques/routiers/ce-qu-il-faut-retenir.html</w:t>
      </w:r>
    </w:p>
    <w:p>
      <w:pPr>
        <w:spacing w:before="100" w:after="40"/>
      </w:pPr>
      <w:r>
        <w:rPr>
          <w:b/>
          <w:bCs/>
          <w:color w:val="17428F"/>
          <w:sz w:val="19"/>
          <w:szCs w:val="19"/>
          <w:rFonts w:ascii="Arial" w:cs="Arial" w:eastAsia="Arial" w:hAnsi="Arial"/>
        </w:rPr>
        <w:t xml:space="preserve">Risques psychosociaux et contact avec le public</w:t>
      </w:r>
    </w:p>
    <w:p>
      <w:pPr>
        <w:spacing w:before="0" w:after="60"/>
        <w:ind w:left="280"/>
      </w:pPr>
      <w:r>
        <w:rPr>
          <w:b/>
          <w:bCs/>
          <w:color w:val="1A9DD9"/>
          <w:sz w:val="18"/>
          <w:szCs w:val="18"/>
          <w:rFonts w:ascii="Arial" w:cs="Arial" w:eastAsia="Arial" w:hAnsi="Arial"/>
        </w:rPr>
        <w:t xml:space="preserve">• </w:t>
      </w:r>
      <w:r>
        <w:rPr>
          <w:color w:val="000000"/>
          <w:sz w:val="18"/>
          <w:szCs w:val="18"/>
          <w:rFonts w:ascii="Arial" w:cs="Arial" w:eastAsia="Arial" w:hAnsi="Arial"/>
        </w:rPr>
        <w:t xml:space="preserve">Permettre aux salariés de joindre un responsable à tout moment et assurer la présence systématique de plusieurs personnes dans les locaux.</w:t>
      </w:r>
    </w:p>
    <w:p>
      <w:pPr>
        <w:spacing w:before="0" w:after="60"/>
        <w:ind w:left="280"/>
      </w:pPr>
      <w:r>
        <w:rPr>
          <w:b/>
          <w:bCs/>
          <w:color w:val="1A9DD9"/>
          <w:sz w:val="18"/>
          <w:szCs w:val="18"/>
          <w:rFonts w:ascii="Arial" w:cs="Arial" w:eastAsia="Arial" w:hAnsi="Arial"/>
        </w:rPr>
        <w:t xml:space="preserve">• </w:t>
      </w:r>
      <w:r>
        <w:rPr>
          <w:color w:val="000000"/>
          <w:sz w:val="18"/>
          <w:szCs w:val="18"/>
          <w:rFonts w:ascii="Arial" w:cs="Arial" w:eastAsia="Arial" w:hAnsi="Arial"/>
        </w:rPr>
        <w:t xml:space="preserve">Former les salariés à la conduite à tenir face aux comportements inadaptés (agression physique ou verbale, gestes ou propos déplacés) et prévoir un recyclage régulier.</w:t>
      </w:r>
    </w:p>
    <w:p>
      <w:pPr>
        <w:spacing w:before="0" w:after="60"/>
        <w:ind w:left="280"/>
      </w:pPr>
      <w:r>
        <w:rPr>
          <w:b/>
          <w:bCs/>
          <w:color w:val="1A9DD9"/>
          <w:sz w:val="18"/>
          <w:szCs w:val="18"/>
          <w:rFonts w:ascii="Arial" w:cs="Arial" w:eastAsia="Arial" w:hAnsi="Arial"/>
        </w:rPr>
        <w:t xml:space="preserve">• </w:t>
      </w:r>
      <w:r>
        <w:rPr>
          <w:color w:val="000000"/>
          <w:sz w:val="18"/>
          <w:szCs w:val="18"/>
          <w:rFonts w:ascii="Arial" w:cs="Arial" w:eastAsia="Arial" w:hAnsi="Arial"/>
        </w:rPr>
        <w:t xml:space="preserve">En cas d'incivilité ou d'acte de violence, réaliser la déclaration d'accident du travail à la CPAM. Une psychologue spécialisée en gestion post-traumatique peut intervenir — rapprochez-vous du médecin du travail.</w:t>
      </w:r>
    </w:p>
    <w:p>
      <w:pPr>
        <w:spacing w:after="60"/>
        <w:ind w:left="280"/>
      </w:pPr>
      <w:r>
        <w:rPr>
          <w:i/>
          <w:iCs/>
          <w:color w:val="1A9DD9"/>
          <w:sz w:val="15"/>
          <w:szCs w:val="15"/>
          <w:rFonts w:ascii="Arial" w:cs="Arial" w:eastAsia="Arial" w:hAnsi="Arial"/>
        </w:rPr>
        <w:t xml:space="preserve">Pour en savoir plus : https://www.inrs.fr/risques/psychosociaux/ce-qu-il-faut-retenir.html</w:t>
      </w:r>
    </w:p>
    <w:p>
      <w:pPr>
        <w:spacing w:before="160" w:after="60"/>
      </w:pPr>
      <w:r>
        <w:rPr>
          <w:b/>
          <w:bCs/>
          <w:color w:val="1A9DD9"/>
          <w:sz w:val="20"/>
          <w:szCs w:val="20"/>
          <w:rFonts w:ascii="Arial" w:cs="Arial" w:eastAsia="Arial" w:hAnsi="Arial"/>
        </w:rPr>
        <w:t xml:space="preserve">Mentions transverses</w:t>
      </w:r>
    </w:p>
    <w:p>
      <w:pPr>
        <w:spacing w:before="0" w:after="60"/>
        <w:ind w:left="280"/>
      </w:pPr>
      <w:r>
        <w:rPr>
          <w:b/>
          <w:bCs/>
          <w:color w:val="1A9DD9"/>
          <w:sz w:val="18"/>
          <w:szCs w:val="18"/>
          <w:rFonts w:ascii="Arial" w:cs="Arial" w:eastAsia="Arial" w:hAnsi="Arial"/>
        </w:rPr>
        <w:t xml:space="preserve">• </w:t>
      </w:r>
      <w:r>
        <w:rPr>
          <w:color w:val="000000"/>
          <w:sz w:val="18"/>
          <w:szCs w:val="18"/>
          <w:rFonts w:ascii="Arial" w:cs="Arial" w:eastAsia="Arial" w:hAnsi="Arial"/>
        </w:rPr>
        <w:t xml:space="preserve">DUERP : Le DUERP doit être tenu à disposition des salariés, des membres du CSE, de l'inspection du travail et du médecin du travail. Il doit être conservé pendant 40 ans minimum et transmis au SPSTI. Pensez à sa mise à jour annuelle (art. R.4121-2).</w:t>
      </w:r>
    </w:p>
    <w:p>
      <w:pPr>
        <w:spacing w:before="0" w:after="60"/>
        <w:ind w:left="280"/>
      </w:pPr>
      <w:r>
        <w:rPr>
          <w:b/>
          <w:bCs/>
          <w:color w:val="1A9DD9"/>
          <w:sz w:val="18"/>
          <w:szCs w:val="18"/>
          <w:rFonts w:ascii="Arial" w:cs="Arial" w:eastAsia="Arial" w:hAnsi="Arial"/>
        </w:rPr>
        <w:t xml:space="preserve">• </w:t>
      </w:r>
      <w:r>
        <w:rPr>
          <w:color w:val="000000"/>
          <w:sz w:val="18"/>
          <w:szCs w:val="18"/>
          <w:rFonts w:ascii="Arial" w:cs="Arial" w:eastAsia="Arial" w:hAnsi="Arial"/>
        </w:rPr>
        <w:t xml:space="preserve">Référent santé sécurité : Depuis le 1er juillet 2012, l'employeur doit désigner un référent en santé et sécurité du travail, quelle que soit la taille de l'entreprise (art. L.4644-1 et R.4644-1). Le SPSTI 23/87 organise périodiquement des ateliers prévention en webinaire ou présentiel : https://spsti2387.fr/</w:t>
      </w:r>
    </w:p>
    <w:p>
      <w:pPr>
        <w:spacing w:before="0" w:after="60"/>
        <w:ind w:left="280"/>
      </w:pPr>
      <w:r>
        <w:rPr>
          <w:b/>
          <w:bCs/>
          <w:color w:val="1A9DD9"/>
          <w:sz w:val="18"/>
          <w:szCs w:val="18"/>
          <w:rFonts w:ascii="Arial" w:cs="Arial" w:eastAsia="Arial" w:hAnsi="Arial"/>
        </w:rPr>
        <w:t xml:space="preserve">• </w:t>
      </w:r>
      <w:r>
        <w:rPr>
          <w:color w:val="000000"/>
          <w:sz w:val="18"/>
          <w:szCs w:val="18"/>
          <w:rFonts w:ascii="Arial" w:cs="Arial" w:eastAsia="Arial" w:hAnsi="Arial"/>
        </w:rPr>
        <w:t xml:space="preserve">Affichage réglementaire : L'affichage réglementaire minimal doit inclure les coordonnées de l'inspection du travail et du service de santé au travail, les coordonnées des secours d'urgence et les consignes incendie.</w:t>
      </w:r>
    </w:p>
    <w:p>
      <w:pPr>
        <w:spacing w:before="0" w:after="200"/>
      </w:pPr>
      <w:r>
        <w:rPr>
          <w:b w:val="false"/>
          <w:bCs w:val="false"/>
          <w:i w:val="false"/>
          <w:iCs w:val="false"/>
          <w:color w:val="000000"/>
          <w:sz w:val="20"/>
          <w:szCs w:val="20"/>
          <w:rFonts w:ascii="Arial" w:cs="Arial" w:eastAsia="Arial" w:hAnsi="Arial"/>
        </w:rPr>
      </w:r>
    </w:p>
    <w:p>
      <w:pPr>
        <w:spacing w:before="0" w:after="100"/>
      </w:pPr>
      <w:r>
        <w:rPr>
          <w:b w:val="false"/>
          <w:bCs w:val="false"/>
          <w:i/>
          <w:iCs/>
          <w:color w:val="44546A"/>
          <w:sz w:val="15"/>
          <w:szCs w:val="15"/>
          <w:rFonts w:ascii="Arial" w:cs="Arial" w:eastAsia="Arial" w:hAnsi="Arial"/>
        </w:rPr>
        <w:t xml:space="preserve">Fiche d’entreprise établie au titre de l’article R.4624-46 du Code du travail. L’attribution par l’INSEE d’un code APE, à des fins statistiques, ne saurait suffire à créer des droits ou des obligations (art. 5 du décret n° 2007-1888). Les statuts et priorités sont des indicateurs d’aide à la décision (méthode PréventIA®), sans valeur réglementaire, à confirmer par une visite in situ et à valider par le médecin du travail.</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color w:val="000000"/>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2026-07-16T13:26:54.740Z</dcterms:created>
  <dcterms:modified xsi:type="dcterms:W3CDTF">2026-07-16T13:26:54.740Z</dcterms:modified>
</cp:coreProperties>
</file>

<file path=docProps/custom.xml><?xml version="1.0" encoding="utf-8"?>
<Properties xmlns="http://schemas.openxmlformats.org/officeDocument/2006/custom-properties" xmlns:vt="http://schemas.openxmlformats.org/officeDocument/2006/docPropsVTypes"/>
</file>