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New Server Rollout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0" w:before="180"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Lauren Alexandra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Colorado State University Global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CSC 501: Management for the Computer Science Professional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 Charles Lively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April 23, 2021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Introduction</w:t>
      </w:r>
    </w:p>
    <w:p w:rsidR="00000000" w:rsidDel="00000000" w:rsidP="00000000" w:rsidRDefault="00000000" w:rsidRPr="00000000" w14:paraId="0000001D">
      <w:pPr>
        <w:spacing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Our company will be deploying new servers on our network. The core business, sales, research and development teams will receive the servers. Communication across these teams will be central to navigating the transition. Approximately 70% of our revenue is generated with our current servers and thus, ensuring a smooth update is a key priority for this endeavor.</w:t>
      </w:r>
    </w:p>
    <w:p w:rsidR="00000000" w:rsidDel="00000000" w:rsidP="00000000" w:rsidRDefault="00000000" w:rsidRPr="00000000" w14:paraId="0000001E">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Communication</w:t>
      </w:r>
    </w:p>
    <w:p w:rsidR="00000000" w:rsidDel="00000000" w:rsidP="00000000" w:rsidRDefault="00000000" w:rsidRPr="00000000" w14:paraId="0000001F">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Answer: As a project manager, discuss the possible issues </w:t>
      </w:r>
      <w:r w:rsidDel="00000000" w:rsidR="00000000" w:rsidRPr="00000000">
        <w:rPr>
          <w:rFonts w:ascii="Arial" w:cs="Arial" w:eastAsia="Arial" w:hAnsi="Arial"/>
          <w:sz w:val="24"/>
          <w:szCs w:val="24"/>
          <w:u w:val="single"/>
          <w:rtl w:val="0"/>
        </w:rPr>
        <w:t xml:space="preserve">arising from opposing motivations </w:t>
      </w:r>
      <w:r w:rsidDel="00000000" w:rsidR="00000000" w:rsidRPr="00000000">
        <w:rPr>
          <w:rFonts w:ascii="Arial" w:cs="Arial" w:eastAsia="Arial" w:hAnsi="Arial"/>
          <w:sz w:val="24"/>
          <w:szCs w:val="24"/>
          <w:rtl w:val="0"/>
        </w:rPr>
        <w:t xml:space="preserve">within the organization. - discuss here again the role of project manager in balancing competing project goals and </w:t>
      </w:r>
      <w:r w:rsidDel="00000000" w:rsidR="00000000" w:rsidRPr="00000000">
        <w:rPr>
          <w:rFonts w:ascii="Arial" w:cs="Arial" w:eastAsia="Arial" w:hAnsi="Arial"/>
          <w:b w:val="1"/>
          <w:sz w:val="24"/>
          <w:szCs w:val="24"/>
          <w:rtl w:val="0"/>
        </w:rPr>
        <w:t xml:space="preserve">alignment </w:t>
      </w:r>
      <w:r w:rsidDel="00000000" w:rsidR="00000000" w:rsidRPr="00000000">
        <w:rPr>
          <w:rFonts w:ascii="Arial" w:cs="Arial" w:eastAsia="Arial" w:hAnsi="Arial"/>
          <w:sz w:val="24"/>
          <w:szCs w:val="24"/>
          <w:rtl w:val="0"/>
        </w:rPr>
        <w:t xml:space="preserve">through communication cite the text. (Project Management Institute, 2017). </w:t>
      </w:r>
    </w:p>
    <w:p w:rsidR="00000000" w:rsidDel="00000000" w:rsidP="00000000" w:rsidRDefault="00000000" w:rsidRPr="00000000" w14:paraId="00000020">
      <w:pPr>
        <w:spacing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discuss alignment then alignment through communication. </w:t>
      </w:r>
    </w:p>
    <w:p w:rsidR="00000000" w:rsidDel="00000000" w:rsidP="00000000" w:rsidRDefault="00000000" w:rsidRPr="00000000" w14:paraId="00000021">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Communications management plan 10.1.3.1</w:t>
      </w:r>
    </w:p>
    <w:p w:rsidR="00000000" w:rsidDel="00000000" w:rsidP="00000000" w:rsidRDefault="00000000" w:rsidRPr="00000000" w14:paraId="0000002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Stakeholder engagement plan 13.2.3.1</w:t>
      </w:r>
    </w:p>
    <w:p w:rsidR="00000000" w:rsidDel="00000000" w:rsidP="00000000" w:rsidRDefault="00000000" w:rsidRPr="00000000" w14:paraId="00000023">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Resource management plan 9.1.3.1 </w:t>
      </w:r>
    </w:p>
    <w:p w:rsidR="00000000" w:rsidDel="00000000" w:rsidP="00000000" w:rsidRDefault="00000000" w:rsidRPr="00000000" w14:paraId="00000024">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Balanced Leadership</w:t>
      </w:r>
    </w:p>
    <w:p w:rsidR="00000000" w:rsidDel="00000000" w:rsidP="00000000" w:rsidRDefault="00000000" w:rsidRPr="00000000" w14:paraId="00000025">
      <w:pPr>
        <w:shd w:fill="ffffff" w:val="clear"/>
        <w:spacing w:after="0" w:before="180" w:line="480" w:lineRule="auto"/>
        <w:jc w:val="left"/>
        <w:rPr>
          <w:rFonts w:ascii="Arial" w:cs="Arial" w:eastAsia="Arial" w:hAnsi="Arial"/>
          <w:b w:val="1"/>
          <w:sz w:val="20"/>
          <w:szCs w:val="20"/>
        </w:rPr>
      </w:pPr>
      <w:r w:rsidDel="00000000" w:rsidR="00000000" w:rsidRPr="00000000">
        <w:rPr>
          <w:rFonts w:ascii="Arial" w:cs="Arial" w:eastAsia="Arial" w:hAnsi="Arial"/>
          <w:b w:val="1"/>
          <w:color w:val="343a3f"/>
          <w:sz w:val="24"/>
          <w:szCs w:val="24"/>
          <w:rtl w:val="0"/>
        </w:rPr>
        <w:tab/>
      </w:r>
      <w:r w:rsidDel="00000000" w:rsidR="00000000" w:rsidRPr="00000000">
        <w:rPr>
          <w:rFonts w:ascii="Arial" w:cs="Arial" w:eastAsia="Arial" w:hAnsi="Arial"/>
          <w:sz w:val="24"/>
          <w:szCs w:val="24"/>
          <w:rtl w:val="0"/>
        </w:rPr>
        <w:t xml:space="preserve">The scale of this project will require one or more leads on each team to commit to the project execution in the form of horizontal leadership (Yu et al., 2018). Team ownership of the server migration process as well as providing status updates to the project manager is crucial to successful task completion. A more balanced approach to leadership will enable the project manager to designate a team leader accountable for carrying out the migration within the agreed time and resource project constraints (Drouin et al., 2018).  </w:t>
      </w:r>
      <w:r w:rsidDel="00000000" w:rsidR="00000000" w:rsidRPr="00000000">
        <w:rPr>
          <w:rtl w:val="0"/>
        </w:rPr>
      </w:r>
    </w:p>
    <w:p w:rsidR="00000000" w:rsidDel="00000000" w:rsidP="00000000" w:rsidRDefault="00000000" w:rsidRPr="00000000" w14:paraId="00000026">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Deployment</w:t>
      </w:r>
    </w:p>
    <w:p w:rsidR="00000000" w:rsidDel="00000000" w:rsidP="00000000" w:rsidRDefault="00000000" w:rsidRPr="00000000" w14:paraId="00000027">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Answer: What sort of leadership strategy would you employ to ensure the successful completion of this rollout?  - describe how you would manage see above Discuss methods that would allow this rollout to be successful </w:t>
      </w:r>
      <w:r w:rsidDel="00000000" w:rsidR="00000000" w:rsidRPr="00000000">
        <w:rPr>
          <w:rFonts w:ascii="Arial" w:cs="Arial" w:eastAsia="Arial" w:hAnsi="Arial"/>
          <w:i w:val="1"/>
          <w:sz w:val="24"/>
          <w:szCs w:val="24"/>
          <w:rtl w:val="0"/>
        </w:rPr>
        <w:t xml:space="preserve">without impacting the systems or the individuals</w:t>
      </w:r>
      <w:r w:rsidDel="00000000" w:rsidR="00000000" w:rsidRPr="00000000">
        <w:rPr>
          <w:rFonts w:ascii="Arial" w:cs="Arial" w:eastAsia="Arial" w:hAnsi="Arial"/>
          <w:sz w:val="24"/>
          <w:szCs w:val="24"/>
          <w:rtl w:val="0"/>
        </w:rPr>
        <w:t xml:space="preserve"> working on them. </w:t>
      </w:r>
    </w:p>
    <w:p w:rsidR="00000000" w:rsidDel="00000000" w:rsidP="00000000" w:rsidRDefault="00000000" w:rsidRPr="00000000" w14:paraId="00000028">
      <w:pPr>
        <w:spacing w:line="480" w:lineRule="auto"/>
        <w:ind w:firstLine="0"/>
        <w:rPr>
          <w:rFonts w:ascii="Lora" w:cs="Lora" w:eastAsia="Lora" w:hAnsi="Lora"/>
          <w:color w:val="303633"/>
          <w:sz w:val="24"/>
          <w:szCs w:val="24"/>
          <w:highlight w:val="white"/>
        </w:rPr>
      </w:pPr>
      <w:r w:rsidDel="00000000" w:rsidR="00000000" w:rsidRPr="00000000">
        <w:rPr>
          <w:rFonts w:ascii="Arial" w:cs="Arial" w:eastAsia="Arial" w:hAnsi="Arial"/>
          <w:color w:val="343a3f"/>
          <w:sz w:val="24"/>
          <w:szCs w:val="24"/>
          <w:rtl w:val="0"/>
        </w:rPr>
        <w:t xml:space="preserve">-WITHOUT IMPACTING can do a blue/green deployment with old servers being backup servers. </w:t>
      </w:r>
      <w:r w:rsidDel="00000000" w:rsidR="00000000" w:rsidRPr="00000000">
        <w:rPr>
          <w:rFonts w:ascii="Lora" w:cs="Lora" w:eastAsia="Lora" w:hAnsi="Lora"/>
          <w:color w:val="303633"/>
          <w:sz w:val="24"/>
          <w:szCs w:val="24"/>
          <w:highlight w:val="white"/>
          <w:rtl w:val="0"/>
        </w:rPr>
        <w:t xml:space="preserve">Blue-green deployment also gives you a rapid way to rollback - if anything goes wrong you switch the router back to your blue environment. There's still the issue of dealing with missed transactions while the green environment was live, but depending on your design you may be able to feed transactions to both environments in such a way as to keep the blue environment as a backup when the green is live. Or you may be able to put the application in read-only mode before cut-over, run it for a while in read-only mode, and then switch it to read-write mode. That may be enough to flush out many outstanding issues.</w:t>
      </w:r>
    </w:p>
    <w:p w:rsidR="00000000" w:rsidDel="00000000" w:rsidP="00000000" w:rsidRDefault="00000000" w:rsidRPr="00000000" w14:paraId="00000029">
      <w:pPr>
        <w:spacing w:line="480" w:lineRule="auto"/>
        <w:ind w:firstLine="0"/>
        <w:rPr>
          <w:rFonts w:ascii="Lora" w:cs="Lora" w:eastAsia="Lora" w:hAnsi="Lora"/>
          <w:color w:val="303633"/>
          <w:sz w:val="24"/>
          <w:szCs w:val="24"/>
          <w:highlight w:val="white"/>
        </w:rPr>
      </w:pPr>
      <w:r w:rsidDel="00000000" w:rsidR="00000000" w:rsidRPr="00000000">
        <w:rPr>
          <w:rFonts w:ascii="Lora" w:cs="Lora" w:eastAsia="Lora" w:hAnsi="Lora"/>
          <w:color w:val="303633"/>
          <w:sz w:val="24"/>
          <w:szCs w:val="24"/>
          <w:highlight w:val="white"/>
          <w:rtl w:val="0"/>
        </w:rPr>
        <w:t xml:space="preserve"> </w:t>
      </w:r>
      <w:hyperlink r:id="rId7">
        <w:r w:rsidDel="00000000" w:rsidR="00000000" w:rsidRPr="00000000">
          <w:rPr>
            <w:rFonts w:ascii="Lora" w:cs="Lora" w:eastAsia="Lora" w:hAnsi="Lora"/>
            <w:color w:val="1155cc"/>
            <w:sz w:val="24"/>
            <w:szCs w:val="24"/>
            <w:highlight w:val="white"/>
            <w:u w:val="single"/>
            <w:rtl w:val="0"/>
          </w:rPr>
          <w:t xml:space="preserve">https://martinfowler.com/bliki/BlueGreenDeployment.html</w:t>
        </w:r>
      </w:hyperlink>
      <w:r w:rsidDel="00000000" w:rsidR="00000000" w:rsidRPr="00000000">
        <w:rPr>
          <w:rtl w:val="0"/>
        </w:rPr>
      </w:r>
    </w:p>
    <w:p w:rsidR="00000000" w:rsidDel="00000000" w:rsidP="00000000" w:rsidRDefault="00000000" w:rsidRPr="00000000" w14:paraId="0000002A">
      <w:pPr>
        <w:spacing w:line="480" w:lineRule="auto"/>
        <w:ind w:firstLine="0"/>
        <w:rPr>
          <w:rFonts w:ascii="Lora" w:cs="Lora" w:eastAsia="Lora" w:hAnsi="Lora"/>
          <w:color w:val="303633"/>
          <w:sz w:val="24"/>
          <w:szCs w:val="24"/>
          <w:highlight w:val="white"/>
        </w:rPr>
      </w:pPr>
      <w:hyperlink r:id="rId8">
        <w:r w:rsidDel="00000000" w:rsidR="00000000" w:rsidRPr="00000000">
          <w:rPr>
            <w:rFonts w:ascii="Lora" w:cs="Lora" w:eastAsia="Lora" w:hAnsi="Lora"/>
            <w:color w:val="1155cc"/>
            <w:sz w:val="24"/>
            <w:szCs w:val="24"/>
            <w:highlight w:val="white"/>
            <w:u w:val="single"/>
            <w:rtl w:val="0"/>
          </w:rPr>
          <w:t xml:space="preserve">https://www.redhat.com/en/topics/devops/what-is-blue-green-deployment</w:t>
        </w:r>
      </w:hyperlink>
      <w:r w:rsidDel="00000000" w:rsidR="00000000" w:rsidRPr="00000000">
        <w:rPr>
          <w:rFonts w:ascii="Lora" w:cs="Lora" w:eastAsia="Lora" w:hAnsi="Lora"/>
          <w:color w:val="303633"/>
          <w:sz w:val="24"/>
          <w:szCs w:val="24"/>
          <w:highlight w:val="white"/>
          <w:rtl w:val="0"/>
        </w:rPr>
        <w:t xml:space="preserve"> </w:t>
      </w:r>
    </w:p>
    <w:p w:rsidR="00000000" w:rsidDel="00000000" w:rsidP="00000000" w:rsidRDefault="00000000" w:rsidRPr="00000000" w14:paraId="0000002B">
      <w:pPr>
        <w:shd w:fill="ffffff" w:val="clear"/>
        <w:spacing w:after="0" w:line="480" w:lineRule="auto"/>
        <w:rPr>
          <w:rFonts w:ascii="Arial" w:cs="Arial" w:eastAsia="Arial" w:hAnsi="Arial"/>
          <w:color w:val="151515"/>
          <w:sz w:val="24"/>
          <w:szCs w:val="24"/>
          <w:highlight w:val="white"/>
        </w:rPr>
      </w:pPr>
      <w:r w:rsidDel="00000000" w:rsidR="00000000" w:rsidRPr="00000000">
        <w:rPr>
          <w:rFonts w:ascii="Arial" w:cs="Arial" w:eastAsia="Arial" w:hAnsi="Arial"/>
          <w:color w:val="151515"/>
          <w:sz w:val="24"/>
          <w:szCs w:val="24"/>
          <w:highlight w:val="white"/>
          <w:rtl w:val="0"/>
        </w:rPr>
        <w:t xml:space="preserve">Instead of waiting until midnight to push the update to the production environment (when the least amount of users are active), you’re using a blue green deployment model to update the app during peak use. And you’re going to do it with zero downtime. </w:t>
      </w:r>
    </w:p>
    <w:p w:rsidR="00000000" w:rsidDel="00000000" w:rsidP="00000000" w:rsidRDefault="00000000" w:rsidRPr="00000000" w14:paraId="0000002C">
      <w:pPr>
        <w:spacing w:line="480" w:lineRule="auto"/>
        <w:rPr>
          <w:rFonts w:ascii="Lora" w:cs="Lora" w:eastAsia="Lora" w:hAnsi="Lora"/>
          <w:color w:val="303633"/>
          <w:sz w:val="24"/>
          <w:szCs w:val="24"/>
          <w:highlight w:val="white"/>
        </w:rPr>
      </w:pPr>
      <w:r w:rsidDel="00000000" w:rsidR="00000000" w:rsidRPr="00000000">
        <w:rPr>
          <w:rtl w:val="0"/>
        </w:rPr>
      </w:r>
    </w:p>
    <w:p w:rsidR="00000000" w:rsidDel="00000000" w:rsidP="00000000" w:rsidRDefault="00000000" w:rsidRPr="00000000" w14:paraId="0000002D">
      <w:pPr>
        <w:spacing w:line="480" w:lineRule="auto"/>
        <w:ind w:firstLine="0"/>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 xml:space="preserve">. A blue-green deployment allows IT to migrate production to the new servers during normal business hours while minimizing the risk of service going down completely for customers. how it works: write from here </w:t>
      </w:r>
      <w:hyperlink r:id="rId9">
        <w:r w:rsidDel="00000000" w:rsidR="00000000" w:rsidRPr="00000000">
          <w:rPr>
            <w:rFonts w:ascii="Arial" w:cs="Arial" w:eastAsia="Arial" w:hAnsi="Arial"/>
            <w:color w:val="1155cc"/>
            <w:sz w:val="24"/>
            <w:szCs w:val="24"/>
            <w:u w:val="single"/>
            <w:rtl w:val="0"/>
          </w:rPr>
          <w:t xml:space="preserve">https://blog.christianposta.com/deploy/blue-green-deployments-a-b-testing-and-canary-releases/</w:t>
        </w:r>
      </w:hyperlink>
      <w:r w:rsidDel="00000000" w:rsidR="00000000" w:rsidRPr="00000000">
        <w:rPr>
          <w:rFonts w:ascii="Arial" w:cs="Arial" w:eastAsia="Arial" w:hAnsi="Arial"/>
          <w:color w:val="343a3f"/>
          <w:sz w:val="24"/>
          <w:szCs w:val="24"/>
          <w:rtl w:val="0"/>
        </w:rPr>
        <w:t xml:space="preserve"> </w:t>
      </w:r>
    </w:p>
    <w:p w:rsidR="00000000" w:rsidDel="00000000" w:rsidP="00000000" w:rsidRDefault="00000000" w:rsidRPr="00000000" w14:paraId="0000002E">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Conclusion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Summarize the paper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spacing w:after="0" w:before="180" w:line="480" w:lineRule="auto"/>
        <w:jc w:val="left"/>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0" w:before="180" w:line="480" w:lineRule="auto"/>
        <w:jc w:val="left"/>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after="0" w:before="180" w:line="480" w:lineRule="auto"/>
        <w:jc w:val="left"/>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spacing w:after="0" w:before="180" w:line="480" w:lineRule="auto"/>
        <w:jc w:val="left"/>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0" w:before="180" w:line="480" w:lineRule="auto"/>
        <w:jc w:val="left"/>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0" w:before="180" w:line="480" w:lineRule="auto"/>
        <w:jc w:val="left"/>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before="180" w:line="480" w:lineRule="auto"/>
        <w:jc w:val="left"/>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0" w:before="180" w:line="480" w:lineRule="auto"/>
        <w:jc w:val="left"/>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sz w:val="24"/>
          <w:szCs w:val="24"/>
        </w:rPr>
      </w:pPr>
      <w:r w:rsidDel="00000000" w:rsidR="00000000" w:rsidRPr="00000000">
        <w:rPr>
          <w:rFonts w:ascii="Arial" w:cs="Arial" w:eastAsia="Arial" w:hAnsi="Arial"/>
          <w:b w:val="1"/>
          <w:color w:val="343a3f"/>
          <w:sz w:val="24"/>
          <w:szCs w:val="24"/>
          <w:rtl w:val="0"/>
        </w:rPr>
        <w:t xml:space="preserve">References</w:t>
      </w:r>
      <w:r w:rsidDel="00000000" w:rsidR="00000000" w:rsidRPr="00000000">
        <w:rPr>
          <w:rtl w:val="0"/>
        </w:rPr>
      </w:r>
    </w:p>
    <w:p w:rsidR="00000000" w:rsidDel="00000000" w:rsidP="00000000" w:rsidRDefault="00000000" w:rsidRPr="00000000" w14:paraId="0000003C">
      <w:pPr>
        <w:shd w:fill="ffffff" w:val="clear"/>
        <w:spacing w:after="180"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Drouin, N., </w:t>
      </w:r>
      <w:r w:rsidDel="00000000" w:rsidR="00000000" w:rsidRPr="00000000">
        <w:rPr>
          <w:rFonts w:ascii="Arial" w:cs="Arial" w:eastAsia="Arial" w:hAnsi="Arial"/>
          <w:sz w:val="24"/>
          <w:szCs w:val="24"/>
          <w:rtl w:val="0"/>
        </w:rPr>
        <w:t xml:space="preserve">Müller, R., &amp; </w:t>
      </w:r>
      <w:r w:rsidDel="00000000" w:rsidR="00000000" w:rsidRPr="00000000">
        <w:rPr>
          <w:rFonts w:ascii="Arial" w:cs="Arial" w:eastAsia="Arial" w:hAnsi="Arial"/>
          <w:sz w:val="24"/>
          <w:szCs w:val="24"/>
          <w:rtl w:val="0"/>
        </w:rPr>
        <w:t xml:space="preserve">Sankaran, S. (2018). Balancing Vertical and Horizontal</w:t>
      </w:r>
    </w:p>
    <w:p w:rsidR="00000000" w:rsidDel="00000000" w:rsidP="00000000" w:rsidRDefault="00000000" w:rsidRPr="00000000" w14:paraId="0000003D">
      <w:pPr>
        <w:shd w:fill="ffffff" w:val="clear"/>
        <w:spacing w:after="180" w:line="480" w:lineRule="auto"/>
        <w:ind w:left="0" w:firstLine="720"/>
        <w:rPr>
          <w:rFonts w:ascii="Arial" w:cs="Arial" w:eastAsia="Arial" w:hAnsi="Arial"/>
          <w:i w:val="1"/>
          <w:sz w:val="24"/>
          <w:szCs w:val="24"/>
        </w:rPr>
      </w:pPr>
      <w:r w:rsidDel="00000000" w:rsidR="00000000" w:rsidRPr="00000000">
        <w:rPr>
          <w:rFonts w:ascii="Arial" w:cs="Arial" w:eastAsia="Arial" w:hAnsi="Arial"/>
          <w:sz w:val="24"/>
          <w:szCs w:val="24"/>
          <w:rtl w:val="0"/>
        </w:rPr>
        <w:t xml:space="preserve">Leadership in Projects. </w:t>
      </w:r>
      <w:r w:rsidDel="00000000" w:rsidR="00000000" w:rsidRPr="00000000">
        <w:rPr>
          <w:rFonts w:ascii="Arial" w:cs="Arial" w:eastAsia="Arial" w:hAnsi="Arial"/>
          <w:i w:val="1"/>
          <w:sz w:val="24"/>
          <w:szCs w:val="24"/>
          <w:rtl w:val="0"/>
        </w:rPr>
        <w:t xml:space="preserve">International Journal of Managing Projects in Business,</w:t>
      </w:r>
    </w:p>
    <w:p w:rsidR="00000000" w:rsidDel="00000000" w:rsidP="00000000" w:rsidRDefault="00000000" w:rsidRPr="00000000" w14:paraId="0000003E">
      <w:pPr>
        <w:shd w:fill="ffffff" w:val="clear"/>
        <w:spacing w:after="180" w:line="480" w:lineRule="auto"/>
        <w:ind w:left="0" w:firstLine="720"/>
        <w:rPr>
          <w:rFonts w:ascii="Arial" w:cs="Arial" w:eastAsia="Arial" w:hAnsi="Arial"/>
          <w:sz w:val="24"/>
          <w:szCs w:val="24"/>
        </w:rPr>
      </w:pPr>
      <w:r w:rsidDel="00000000" w:rsidR="00000000" w:rsidRPr="00000000">
        <w:rPr>
          <w:rFonts w:ascii="Arial" w:cs="Arial" w:eastAsia="Arial" w:hAnsi="Arial"/>
          <w:i w:val="1"/>
          <w:sz w:val="24"/>
          <w:szCs w:val="24"/>
          <w:rtl w:val="0"/>
        </w:rPr>
        <w:t xml:space="preserve">11</w:t>
      </w:r>
      <w:r w:rsidDel="00000000" w:rsidR="00000000" w:rsidRPr="00000000">
        <w:rPr>
          <w:rFonts w:ascii="Arial" w:cs="Arial" w:eastAsia="Arial" w:hAnsi="Arial"/>
          <w:sz w:val="24"/>
          <w:szCs w:val="24"/>
          <w:rtl w:val="0"/>
        </w:rPr>
        <w:t xml:space="preserve">(4), 986-1006.</w:t>
      </w:r>
      <w:r w:rsidDel="00000000" w:rsidR="00000000" w:rsidRPr="00000000">
        <w:rPr>
          <w:rtl w:val="0"/>
        </w:rPr>
      </w:r>
    </w:p>
    <w:p w:rsidR="00000000" w:rsidDel="00000000" w:rsidP="00000000" w:rsidRDefault="00000000" w:rsidRPr="00000000" w14:paraId="0000003F">
      <w:pPr>
        <w:shd w:fill="ffffff" w:val="clear"/>
        <w:spacing w:after="180" w:line="480" w:lineRule="auto"/>
        <w:ind w:left="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Project Management Institute. (2017). </w:t>
      </w:r>
      <w:r w:rsidDel="00000000" w:rsidR="00000000" w:rsidRPr="00000000">
        <w:rPr>
          <w:rFonts w:ascii="Arial" w:cs="Arial" w:eastAsia="Arial" w:hAnsi="Arial"/>
          <w:i w:val="1"/>
          <w:sz w:val="24"/>
          <w:szCs w:val="24"/>
          <w:rtl w:val="0"/>
        </w:rPr>
        <w:t xml:space="preserve">A Guide to the Project Management Body of</w:t>
      </w:r>
    </w:p>
    <w:p w:rsidR="00000000" w:rsidDel="00000000" w:rsidP="00000000" w:rsidRDefault="00000000" w:rsidRPr="00000000" w14:paraId="00000040">
      <w:pPr>
        <w:shd w:fill="ffffff" w:val="clear"/>
        <w:spacing w:after="180" w:line="480" w:lineRule="auto"/>
        <w:ind w:left="0" w:firstLine="720"/>
        <w:rPr>
          <w:rFonts w:ascii="Arial" w:cs="Arial" w:eastAsia="Arial" w:hAnsi="Arial"/>
          <w:sz w:val="24"/>
          <w:szCs w:val="24"/>
        </w:rPr>
      </w:pPr>
      <w:r w:rsidDel="00000000" w:rsidR="00000000" w:rsidRPr="00000000">
        <w:rPr>
          <w:rFonts w:ascii="Arial" w:cs="Arial" w:eastAsia="Arial" w:hAnsi="Arial"/>
          <w:i w:val="1"/>
          <w:sz w:val="24"/>
          <w:szCs w:val="24"/>
          <w:rtl w:val="0"/>
        </w:rPr>
        <w:t xml:space="preserve">Knowledge</w:t>
      </w:r>
      <w:r w:rsidDel="00000000" w:rsidR="00000000" w:rsidRPr="00000000">
        <w:rPr>
          <w:rFonts w:ascii="Arial" w:cs="Arial" w:eastAsia="Arial" w:hAnsi="Arial"/>
          <w:sz w:val="24"/>
          <w:szCs w:val="24"/>
          <w:rtl w:val="0"/>
        </w:rPr>
        <w:t xml:space="preserve">. Project Management Institute.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Siegel, N. G. (2019). </w:t>
      </w:r>
      <w:r w:rsidDel="00000000" w:rsidR="00000000" w:rsidRPr="00000000">
        <w:rPr>
          <w:rFonts w:ascii="Arial" w:cs="Arial" w:eastAsia="Arial" w:hAnsi="Arial"/>
          <w:i w:val="1"/>
          <w:sz w:val="24"/>
          <w:szCs w:val="24"/>
          <w:rtl w:val="0"/>
        </w:rPr>
        <w:t xml:space="preserve">Engineering Project Management.</w:t>
      </w:r>
      <w:r w:rsidDel="00000000" w:rsidR="00000000" w:rsidRPr="00000000">
        <w:rPr>
          <w:rFonts w:ascii="Arial" w:cs="Arial" w:eastAsia="Arial" w:hAnsi="Arial"/>
          <w:sz w:val="24"/>
          <w:szCs w:val="24"/>
          <w:rtl w:val="0"/>
        </w:rPr>
        <w:t xml:space="preserve"> John Wiley &amp; Sons Ltd.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Yu, M., </w:t>
      </w:r>
      <w:r w:rsidDel="00000000" w:rsidR="00000000" w:rsidRPr="00000000">
        <w:rPr>
          <w:rFonts w:ascii="Arial" w:cs="Arial" w:eastAsia="Arial" w:hAnsi="Arial"/>
          <w:sz w:val="24"/>
          <w:szCs w:val="24"/>
          <w:rtl w:val="0"/>
        </w:rPr>
        <w:t xml:space="preserve">Vaagaasar, A. L., Müller, R., Wang, L., &amp; Zhu, F. (2018). Empowerment: the Key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after="180" w:line="480" w:lineRule="auto"/>
        <w:ind w:firstLine="720"/>
        <w:rPr>
          <w:rFonts w:ascii="Arial" w:cs="Arial" w:eastAsia="Arial" w:hAnsi="Arial"/>
          <w:i w:val="1"/>
          <w:sz w:val="24"/>
          <w:szCs w:val="24"/>
        </w:rPr>
      </w:pPr>
      <w:r w:rsidDel="00000000" w:rsidR="00000000" w:rsidRPr="00000000">
        <w:rPr>
          <w:rFonts w:ascii="Arial" w:cs="Arial" w:eastAsia="Arial" w:hAnsi="Arial"/>
          <w:sz w:val="24"/>
          <w:szCs w:val="24"/>
          <w:rtl w:val="0"/>
        </w:rPr>
        <w:t xml:space="preserve">to Horizontal Leadership in Projects. </w:t>
      </w:r>
      <w:r w:rsidDel="00000000" w:rsidR="00000000" w:rsidRPr="00000000">
        <w:rPr>
          <w:rFonts w:ascii="Arial" w:cs="Arial" w:eastAsia="Arial" w:hAnsi="Arial"/>
          <w:i w:val="1"/>
          <w:sz w:val="24"/>
          <w:szCs w:val="24"/>
          <w:rtl w:val="0"/>
        </w:rPr>
        <w:t xml:space="preserve">International Journal of Project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ffffff" w:val="clear"/>
        <w:spacing w:after="180" w:line="480" w:lineRule="auto"/>
        <w:ind w:firstLine="720"/>
        <w:rPr>
          <w:rFonts w:ascii="Arial" w:cs="Arial" w:eastAsia="Arial" w:hAnsi="Arial"/>
          <w:sz w:val="28"/>
          <w:szCs w:val="28"/>
        </w:rPr>
      </w:pPr>
      <w:r w:rsidDel="00000000" w:rsidR="00000000" w:rsidRPr="00000000">
        <w:rPr>
          <w:rFonts w:ascii="Arial" w:cs="Arial" w:eastAsia="Arial" w:hAnsi="Arial"/>
          <w:i w:val="1"/>
          <w:sz w:val="24"/>
          <w:szCs w:val="24"/>
          <w:rtl w:val="0"/>
        </w:rPr>
        <w:t xml:space="preserve">Management, 36</w:t>
      </w:r>
      <w:r w:rsidDel="00000000" w:rsidR="00000000" w:rsidRPr="00000000">
        <w:rPr>
          <w:rFonts w:ascii="Arial" w:cs="Arial" w:eastAsia="Arial" w:hAnsi="Arial"/>
          <w:sz w:val="24"/>
          <w:szCs w:val="24"/>
          <w:rtl w:val="0"/>
        </w:rPr>
        <w:t xml:space="preserve">(7), 992-1006. </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ffffff" w:val="clear"/>
        <w:spacing w:after="180" w:line="480" w:lineRule="auto"/>
        <w:rPr>
          <w:rFonts w:ascii="Georgia" w:cs="Georgia" w:eastAsia="Georgia" w:hAnsi="Georgia"/>
          <w:color w:val="333333"/>
          <w:highlight w:val="white"/>
        </w:rPr>
      </w:pPr>
      <w:hyperlink r:id="rId10">
        <w:r w:rsidDel="00000000" w:rsidR="00000000" w:rsidRPr="00000000">
          <w:rPr>
            <w:rFonts w:ascii="Georgia" w:cs="Georgia" w:eastAsia="Georgia" w:hAnsi="Georgia"/>
            <w:color w:val="1155cc"/>
            <w:highlight w:val="white"/>
            <w:u w:val="single"/>
            <w:rtl w:val="0"/>
          </w:rPr>
          <w:t xml:space="preserve">https://martinfowler.com/bliki/BlueGreenDeployment.html</w:t>
        </w:r>
      </w:hyperlink>
      <w:r w:rsidDel="00000000" w:rsidR="00000000" w:rsidRPr="00000000">
        <w:rPr>
          <w:rFonts w:ascii="Georgia" w:cs="Georgia" w:eastAsia="Georgia" w:hAnsi="Georgia"/>
          <w:color w:val="333333"/>
          <w:highlight w:val="white"/>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spacing w:after="180" w:line="480" w:lineRule="auto"/>
        <w:rPr>
          <w:rFonts w:ascii="Georgia" w:cs="Georgia" w:eastAsia="Georgia" w:hAnsi="Georgia"/>
          <w:color w:val="333333"/>
          <w:highlight w:val="white"/>
        </w:rPr>
      </w:pPr>
      <w:hyperlink r:id="rId11">
        <w:r w:rsidDel="00000000" w:rsidR="00000000" w:rsidRPr="00000000">
          <w:rPr>
            <w:rFonts w:ascii="Georgia" w:cs="Georgia" w:eastAsia="Georgia" w:hAnsi="Georgia"/>
            <w:color w:val="1155cc"/>
            <w:highlight w:val="white"/>
            <w:u w:val="single"/>
            <w:rtl w:val="0"/>
          </w:rPr>
          <w:t xml:space="preserve">https://www.sciencedirect.com/science/article/abs/pii/S0263786317314205</w:t>
        </w:r>
      </w:hyperlink>
      <w:r w:rsidDel="00000000" w:rsidR="00000000" w:rsidRPr="00000000">
        <w:rPr>
          <w:rFonts w:ascii="Georgia" w:cs="Georgia" w:eastAsia="Georgia" w:hAnsi="Georgia"/>
          <w:color w:val="333333"/>
          <w:highlight w:val="white"/>
          <w:rtl w:val="0"/>
        </w:rPr>
        <w:t xml:space="preserve"> </w:t>
      </w:r>
    </w:p>
    <w:p w:rsidR="00000000" w:rsidDel="00000000" w:rsidP="00000000" w:rsidRDefault="00000000" w:rsidRPr="00000000" w14:paraId="00000047">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480" w:lineRule="auto"/>
        <w:rPr>
          <w:rFonts w:ascii="Arial" w:cs="Arial" w:eastAsia="Arial" w:hAnsi="Arial"/>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1B07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0755"/>
  </w:style>
  <w:style w:type="paragraph" w:styleId="Footer">
    <w:name w:val="footer"/>
    <w:basedOn w:val="Normal"/>
    <w:link w:val="FooterChar"/>
    <w:uiPriority w:val="99"/>
    <w:unhideWhenUsed w:val="1"/>
    <w:rsid w:val="001B07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0755"/>
  </w:style>
  <w:style w:type="paragraph" w:styleId="NormalWeb">
    <w:name w:val="Normal (Web)"/>
    <w:basedOn w:val="Normal"/>
    <w:uiPriority w:val="99"/>
    <w:unhideWhenUsed w:val="1"/>
    <w:rsid w:val="001B0755"/>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1B0755"/>
    <w:rPr>
      <w:color w:val="0000ff"/>
      <w:u w:val="single"/>
    </w:rPr>
  </w:style>
  <w:style w:type="character" w:styleId="UnresolvedMention">
    <w:name w:val="Unresolved Mention"/>
    <w:basedOn w:val="DefaultParagraphFont"/>
    <w:uiPriority w:val="99"/>
    <w:semiHidden w:val="1"/>
    <w:unhideWhenUsed w:val="1"/>
    <w:rsid w:val="001B0755"/>
    <w:rPr>
      <w:color w:val="605e5c"/>
      <w:shd w:color="auto" w:fill="e1dfdd" w:val="clear"/>
    </w:rPr>
  </w:style>
  <w:style w:type="character" w:styleId="PlaceholderText">
    <w:name w:val="Placeholder Text"/>
    <w:basedOn w:val="DefaultParagraphFont"/>
    <w:uiPriority w:val="99"/>
    <w:semiHidden w:val="1"/>
    <w:rsid w:val="00837C13"/>
    <w:rPr>
      <w:color w:val="808080"/>
    </w:rPr>
  </w:style>
  <w:style w:type="character" w:styleId="u-small-caps" w:customStyle="1">
    <w:name w:val="u-small-caps"/>
    <w:basedOn w:val="DefaultParagraphFont"/>
    <w:rsid w:val="007F12A6"/>
  </w:style>
  <w:style w:type="character" w:styleId="Emphasis">
    <w:name w:val="Emphasis"/>
    <w:basedOn w:val="DefaultParagraphFont"/>
    <w:uiPriority w:val="20"/>
    <w:qFormat w:val="1"/>
    <w:rsid w:val="00B6335F"/>
    <w:rPr>
      <w:i w:val="1"/>
      <w:iCs w:val="1"/>
    </w:rPr>
  </w:style>
  <w:style w:type="character" w:styleId="FollowedHyperlink">
    <w:name w:val="FollowedHyperlink"/>
    <w:basedOn w:val="DefaultParagraphFont"/>
    <w:uiPriority w:val="99"/>
    <w:semiHidden w:val="1"/>
    <w:unhideWhenUsed w:val="1"/>
    <w:rsid w:val="00B6335F"/>
    <w:rPr>
      <w:color w:val="954f72" w:themeColor="followedHyperlink"/>
      <w:u w:val="single"/>
    </w:rPr>
  </w:style>
  <w:style w:type="character" w:styleId="ek-underline" w:customStyle="1">
    <w:name w:val="ek-underline"/>
    <w:basedOn w:val="DefaultParagraphFont"/>
    <w:rsid w:val="00D572B7"/>
  </w:style>
  <w:style w:type="character" w:styleId="HTMLDefinition">
    <w:name w:val="HTML Definition"/>
    <w:basedOn w:val="DefaultParagraphFont"/>
    <w:uiPriority w:val="99"/>
    <w:semiHidden w:val="1"/>
    <w:unhideWhenUsed w:val="1"/>
    <w:rsid w:val="00575387"/>
    <w:rPr>
      <w:i w:val="1"/>
      <w:iCs w:val="1"/>
    </w:rPr>
  </w:style>
  <w:style w:type="character" w:styleId="mjx-char" w:customStyle="1">
    <w:name w:val="mjx-char"/>
    <w:basedOn w:val="DefaultParagraphFont"/>
    <w:rsid w:val="00575387"/>
  </w:style>
  <w:style w:type="character" w:styleId="mjxassistivemathml" w:customStyle="1">
    <w:name w:val="mjx_assistive_mathml"/>
    <w:basedOn w:val="DefaultParagraphFont"/>
    <w:rsid w:val="00575387"/>
  </w:style>
  <w:style w:type="character" w:styleId="mjx-charbox" w:customStyle="1">
    <w:name w:val="mjx-charbox"/>
    <w:basedOn w:val="DefaultParagraphFont"/>
    <w:rsid w:val="00575387"/>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ciencedirect.com/science/article/abs/pii/S0263786317314205" TargetMode="External"/><Relationship Id="rId10" Type="http://schemas.openxmlformats.org/officeDocument/2006/relationships/hyperlink" Target="https://martinfowler.com/bliki/BlueGreenDeployment.html" TargetMode="External"/><Relationship Id="rId12" Type="http://schemas.openxmlformats.org/officeDocument/2006/relationships/header" Target="header1.xml"/><Relationship Id="rId9" Type="http://schemas.openxmlformats.org/officeDocument/2006/relationships/hyperlink" Target="https://blog.christianposta.com/deploy/blue-green-deployments-a-b-testing-and-canary-relea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artinfowler.com/bliki/BlueGreenDeployment.html" TargetMode="External"/><Relationship Id="rId8" Type="http://schemas.openxmlformats.org/officeDocument/2006/relationships/hyperlink" Target="https://www.redhat.com/en/topics/devops/what-is-blue-green-deploy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AOCwF1tfrlFsfAtObQ/RRbqWlg==">AMUW2mXn+70f8KcJWHZ8iZT7UT2scmU/TpoG3ql+OYsrDyKmWV+xJ/rdzhi24KA1ChLEhc5z9tgxvRNyzenTq1H9q7JhkTeDupo09R4pzazhXD+jdBk7ris=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2021-01-03T20:53:00Z</dcterms:created>
  <dc:creator>Lewis Pease</dc:creator>
</cp:coreProperties>
</file>