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New Server Rollout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24,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company will be deploying new servers on our network. The core business, sales, research and development teams will receive the servers. Coordinated communication across these teams will be central to navigating the transition. Approximately 70% of our revenue is generated with our current servers and thus, ensuring a smooth update is a key priority for this endeavor.</w:t>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sz w:val="24"/>
          <w:szCs w:val="24"/>
        </w:rPr>
      </w:pPr>
      <w:r w:rsidDel="00000000" w:rsidR="00000000" w:rsidRPr="00000000">
        <w:rPr>
          <w:rFonts w:ascii="Arial" w:cs="Arial" w:eastAsia="Arial" w:hAnsi="Arial"/>
          <w:b w:val="1"/>
          <w:color w:val="343a3f"/>
          <w:sz w:val="24"/>
          <w:szCs w:val="24"/>
          <w:rtl w:val="0"/>
        </w:rPr>
        <w:t xml:space="preserve">Communication Management</w:t>
      </w:r>
      <w:r w:rsidDel="00000000" w:rsidR="00000000" w:rsidRPr="00000000">
        <w:rPr>
          <w:rtl w:val="0"/>
        </w:rPr>
      </w:r>
    </w:p>
    <w:p w:rsidR="00000000" w:rsidDel="00000000" w:rsidP="00000000" w:rsidRDefault="00000000" w:rsidRPr="00000000" w14:paraId="0000001F">
      <w:pPr>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a project manager, my sphere of influence encompasses the project team and stakeholders (Siegel, 2019). Cultivating relationships within this sphere gives me the ability to employ many people to address problems. When there is not complete agreement on project actions, I must be attuned to stakeholder needs to ameliorate any opposing motivations. Stakeholders must be reminded of a project’s ultimate value throughout its duration to prevent a withdrawal of support in favor of potentially more immediately lucrative projects. An alignment between each project member’s understanding of the project activities and vision is facilitated by a communication strategy. At the outset a communication management plan will establish how New Server Rollout communications will be transmitted and orchestrated. Overall the plan will comprise the content and format of the information to be communicated, the individuals and groups responsible for distributing and receiving the information, the methods of and timeframe for communication, and the collection of required reports and meetings (Project Management Institute, 2017).</w:t>
      </w:r>
    </w:p>
    <w:p w:rsidR="00000000" w:rsidDel="00000000" w:rsidP="00000000" w:rsidRDefault="00000000" w:rsidRPr="00000000" w14:paraId="00000020">
      <w:pPr>
        <w:spacing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expectations and knowledge of project objectives will be managed through this plan. A communication requirement analysis will be performed to determine the departments involved and their respective information needs as well as to designate appropriate communication channels (Project Management Institute, 2017). At critical project stages stakeholders will be contacted to confirm their commitment to the project’s success, identify any concerns, and resolve outstanding issues to ensure that they are engaged in the project delivery and aligned with New Server Rollout’s goal. Moreover, communication surrounding project team resources may be organized under this plan’s guidance. The practice of updating vital documentation such as the assumption log which includes team resource availability, logistics, and physical resource assumptions, the risk-register, and the resource calendar will aid in monitoring and harmonizing resource allocation. </w:t>
      </w:r>
    </w:p>
    <w:p w:rsidR="00000000" w:rsidDel="00000000" w:rsidP="00000000" w:rsidRDefault="00000000" w:rsidRPr="00000000" w14:paraId="00000021">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Balanced Leadership</w:t>
      </w:r>
    </w:p>
    <w:p w:rsidR="00000000" w:rsidDel="00000000" w:rsidP="00000000" w:rsidRDefault="00000000" w:rsidRPr="00000000" w14:paraId="00000022">
      <w:pPr>
        <w:shd w:fill="ffffff" w:val="clear"/>
        <w:spacing w:after="0" w:before="180" w:line="480" w:lineRule="auto"/>
        <w:jc w:val="left"/>
        <w:rPr>
          <w:rFonts w:ascii="Arial" w:cs="Arial" w:eastAsia="Arial" w:hAnsi="Arial"/>
          <w:b w:val="1"/>
          <w:sz w:val="20"/>
          <w:szCs w:val="20"/>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Specialists will oversee this complex transition and lead IT staff. The scale of the project will require one or more leads in each IT sub-team to commit to the project execution in the form of horizontal leadership (Yu et al., 2018). IT ownership of the server migration process in addition to each team providing status updates is crucial to successful task completion. A more balanced approach to leadership will enable myself to designate IT leaders accountable for carrying out the migration within the agreed time and resource project constraints (Drouin et al., 2018). </w:t>
      </w:r>
      <w:r w:rsidDel="00000000" w:rsidR="00000000" w:rsidRPr="00000000">
        <w:rPr>
          <w:rtl w:val="0"/>
        </w:rPr>
      </w:r>
    </w:p>
    <w:p w:rsidR="00000000" w:rsidDel="00000000" w:rsidP="00000000" w:rsidRDefault="00000000" w:rsidRPr="00000000" w14:paraId="00000023">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Migration</w:t>
      </w:r>
    </w:p>
    <w:p w:rsidR="00000000" w:rsidDel="00000000" w:rsidP="00000000" w:rsidRDefault="00000000" w:rsidRPr="00000000" w14:paraId="00000024">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truly successful rollout can only occur if ongoing operations are safeguarded during migration. A few solutions would achieve this rollout. To acquire sufficient privacy for our data we may deploy our operations to a private cloud but the cost may be unattainable. Alternatively a hybrid solution can limit the cost by allocating only sensitive operations to a private cloud (Information Age, 2019). Furthermore, a trial migration would allow us to confirm software compatibility. A trial modeled after blue-green deployment for instance gives us the ability to release our operations on the new servers while maintaining our operations on the current servers (Red Hat, n.d.). The release is monitored for failures and exceptions and if successful, traffic can be redirected while saving the old servers for a limited time for a potential rollback. </w:t>
      </w:r>
    </w:p>
    <w:p w:rsidR="00000000" w:rsidDel="00000000" w:rsidP="00000000" w:rsidRDefault="00000000" w:rsidRPr="00000000" w14:paraId="00000025">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New Server Rollout will restore server performance and mitigate against the energy and maintenance costs incurred as our company continues to expand its services and customer base. The migration is an unavoidable effort; our servers are indispensable to company operations and need to function at an expected capacity. With competent communication, distributed leadership and artful migration, the project has an opportunity to demonstrate our company values and ability to deliver responsibly.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2F">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Drouin, N., </w:t>
      </w:r>
      <w:r w:rsidDel="00000000" w:rsidR="00000000" w:rsidRPr="00000000">
        <w:rPr>
          <w:rFonts w:ascii="Arial" w:cs="Arial" w:eastAsia="Arial" w:hAnsi="Arial"/>
          <w:sz w:val="24"/>
          <w:szCs w:val="24"/>
          <w:rtl w:val="0"/>
        </w:rPr>
        <w:t xml:space="preserve">Müller, R., &amp; </w:t>
      </w:r>
      <w:r w:rsidDel="00000000" w:rsidR="00000000" w:rsidRPr="00000000">
        <w:rPr>
          <w:rFonts w:ascii="Arial" w:cs="Arial" w:eastAsia="Arial" w:hAnsi="Arial"/>
          <w:sz w:val="24"/>
          <w:szCs w:val="24"/>
          <w:rtl w:val="0"/>
        </w:rPr>
        <w:t xml:space="preserve">Sankaran, S. (2018). Balancing Vertical and Horizontal</w:t>
      </w:r>
    </w:p>
    <w:p w:rsidR="00000000" w:rsidDel="00000000" w:rsidP="00000000" w:rsidRDefault="00000000" w:rsidRPr="00000000" w14:paraId="00000030">
      <w:pPr>
        <w:shd w:fill="ffffff" w:val="clear"/>
        <w:spacing w:after="180" w:line="480" w:lineRule="auto"/>
        <w:ind w:left="0"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Leadership in Projects. </w:t>
      </w:r>
      <w:r w:rsidDel="00000000" w:rsidR="00000000" w:rsidRPr="00000000">
        <w:rPr>
          <w:rFonts w:ascii="Arial" w:cs="Arial" w:eastAsia="Arial" w:hAnsi="Arial"/>
          <w:i w:val="1"/>
          <w:sz w:val="24"/>
          <w:szCs w:val="24"/>
          <w:rtl w:val="0"/>
        </w:rPr>
        <w:t xml:space="preserve">International Journal of Managing Projects in Business,</w:t>
      </w:r>
    </w:p>
    <w:p w:rsidR="00000000" w:rsidDel="00000000" w:rsidP="00000000" w:rsidRDefault="00000000" w:rsidRPr="00000000" w14:paraId="00000031">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(4), 986-1006.</w:t>
      </w:r>
    </w:p>
    <w:p w:rsidR="00000000" w:rsidDel="00000000" w:rsidP="00000000" w:rsidRDefault="00000000" w:rsidRPr="00000000" w14:paraId="00000032">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Information Age. (2019, April 16). </w:t>
      </w:r>
      <w:r w:rsidDel="00000000" w:rsidR="00000000" w:rsidRPr="00000000">
        <w:rPr>
          <w:rFonts w:ascii="Arial" w:cs="Arial" w:eastAsia="Arial" w:hAnsi="Arial"/>
          <w:i w:val="1"/>
          <w:sz w:val="24"/>
          <w:szCs w:val="24"/>
          <w:rtl w:val="0"/>
        </w:rPr>
        <w:t xml:space="preserve">Server Migration and Management in the Enterprise.</w:t>
      </w:r>
      <w:r w:rsidDel="00000000" w:rsidR="00000000" w:rsidRPr="00000000">
        <w:rPr>
          <w:rtl w:val="0"/>
        </w:rPr>
      </w:r>
    </w:p>
    <w:p w:rsidR="00000000" w:rsidDel="00000000" w:rsidP="00000000" w:rsidRDefault="00000000" w:rsidRPr="00000000" w14:paraId="00000033">
      <w:pPr>
        <w:shd w:fill="ffffff" w:val="clear"/>
        <w:spacing w:after="180" w:line="480" w:lineRule="auto"/>
        <w:ind w:left="0" w:firstLine="720"/>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https://www.information-age.com/server-migration-and-management-123481440</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4">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35">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p>
    <w:p w:rsidR="00000000" w:rsidDel="00000000" w:rsidP="00000000" w:rsidRDefault="00000000" w:rsidRPr="00000000" w14:paraId="00000036">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Red Hat. (n.d.). </w:t>
      </w:r>
      <w:r w:rsidDel="00000000" w:rsidR="00000000" w:rsidRPr="00000000">
        <w:rPr>
          <w:rFonts w:ascii="Arial" w:cs="Arial" w:eastAsia="Arial" w:hAnsi="Arial"/>
          <w:i w:val="1"/>
          <w:sz w:val="24"/>
          <w:szCs w:val="24"/>
          <w:rtl w:val="0"/>
        </w:rPr>
        <w:t xml:space="preserve">What is blue green deployment?</w:t>
      </w:r>
    </w:p>
    <w:p w:rsidR="00000000" w:rsidDel="00000000" w:rsidP="00000000" w:rsidRDefault="00000000" w:rsidRPr="00000000" w14:paraId="00000037">
      <w:pPr>
        <w:shd w:fill="ffffff" w:val="clear"/>
        <w:spacing w:after="180" w:line="480" w:lineRule="auto"/>
        <w:ind w:left="0" w:firstLine="72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https://www.redhat.com/en/topics/devops/what-is-blue-green-deployment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Yu, M., </w:t>
      </w:r>
      <w:r w:rsidDel="00000000" w:rsidR="00000000" w:rsidRPr="00000000">
        <w:rPr>
          <w:rFonts w:ascii="Arial" w:cs="Arial" w:eastAsia="Arial" w:hAnsi="Arial"/>
          <w:sz w:val="24"/>
          <w:szCs w:val="24"/>
          <w:rtl w:val="0"/>
        </w:rPr>
        <w:t xml:space="preserve">Vaagaasar, A. L., Müller, R., Wang, L., &amp; Zhu, F. (2018). Empowerment: the Key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180" w:line="48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to Horizontal Leadership in Projects. </w:t>
      </w:r>
      <w:r w:rsidDel="00000000" w:rsidR="00000000" w:rsidRPr="00000000">
        <w:rPr>
          <w:rFonts w:ascii="Arial" w:cs="Arial" w:eastAsia="Arial" w:hAnsi="Arial"/>
          <w:i w:val="1"/>
          <w:sz w:val="24"/>
          <w:szCs w:val="24"/>
          <w:rtl w:val="0"/>
        </w:rPr>
        <w:t xml:space="preserve">International Journal of Project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Management, 36</w:t>
      </w:r>
      <w:r w:rsidDel="00000000" w:rsidR="00000000" w:rsidRPr="00000000">
        <w:rPr>
          <w:rFonts w:ascii="Arial" w:cs="Arial" w:eastAsia="Arial" w:hAnsi="Arial"/>
          <w:sz w:val="24"/>
          <w:szCs w:val="24"/>
          <w:rtl w:val="0"/>
        </w:rPr>
        <w:t xml:space="preserve">(7), 992-1006.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8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80" w:line="480" w:lineRule="auto"/>
        <w:ind w:left="0" w:firstLine="0"/>
        <w:rPr>
          <w:rFonts w:ascii="Arial" w:cs="Arial" w:eastAsia="Arial" w:hAnsi="Arial"/>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formation-age.com/server-migration-and-management-123481440" TargetMode="External"/><Relationship Id="rId8" Type="http://schemas.openxmlformats.org/officeDocument/2006/relationships/hyperlink" Target="https://www.redhat.com/en/topics/devops/what-is-blue-green-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OCwF1tfrlFsfAtObQ/RRbqWlg==">AMUW2mWpJINCD67vir5jI4wnvhJSqVCsTOCHrQGjapgsfF9QIfySpMnw9QbPytasdyvK63/DeSPe8NYP9ZkxvBX+6hrAvnGCJsRyinzUidkZtrqVEZ1lTfE=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