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EA42" w14:textId="77777777" w:rsidR="00D32629" w:rsidRDefault="00D32629"/>
    <w:p w14:paraId="31F4C849" w14:textId="77777777" w:rsidR="00D32629" w:rsidRDefault="00D32629"/>
    <w:p w14:paraId="16B457FD" w14:textId="77777777" w:rsidR="00D32629" w:rsidRDefault="00D32629"/>
    <w:p w14:paraId="1FA0329E" w14:textId="77777777" w:rsidR="00D32629" w:rsidRDefault="00D32629"/>
    <w:p w14:paraId="5FC2A998" w14:textId="77777777" w:rsidR="00D32629" w:rsidRDefault="00D32629"/>
    <w:p w14:paraId="49F11006" w14:textId="77777777" w:rsidR="00D32629" w:rsidRDefault="00D32629"/>
    <w:p w14:paraId="40008DEC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Characteristics of the Fibonacci Sequence</w:t>
      </w:r>
    </w:p>
    <w:p w14:paraId="7051651B" w14:textId="77777777" w:rsidR="00D32629" w:rsidRDefault="00D32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0BCDC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Lauren Alexandra</w:t>
      </w:r>
    </w:p>
    <w:p w14:paraId="1A7A2E19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Colorado State University Global</w:t>
      </w:r>
    </w:p>
    <w:p w14:paraId="5C47376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MTH 350: Discrete Mathematics</w:t>
      </w:r>
    </w:p>
    <w:p w14:paraId="3324EE0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Dr. Wael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Abushammala</w:t>
      </w:r>
      <w:proofErr w:type="spellEnd"/>
    </w:p>
    <w:p w14:paraId="2ACBDE81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January 3, 2021</w:t>
      </w:r>
    </w:p>
    <w:p w14:paraId="6A23C68A" w14:textId="77777777" w:rsidR="00D32629" w:rsidRDefault="00D32629"/>
    <w:p w14:paraId="79848780" w14:textId="77777777" w:rsidR="00D32629" w:rsidRDefault="00D32629"/>
    <w:p w14:paraId="6C4F44DD" w14:textId="77777777" w:rsidR="00D32629" w:rsidRDefault="00D32629"/>
    <w:p w14:paraId="3811CCCB" w14:textId="77777777" w:rsidR="00D32629" w:rsidRDefault="00D32629"/>
    <w:p w14:paraId="1DEA60FD" w14:textId="77777777" w:rsidR="00D32629" w:rsidRDefault="00D32629"/>
    <w:p w14:paraId="43978A33" w14:textId="77777777" w:rsidR="00D32629" w:rsidRDefault="00D32629"/>
    <w:p w14:paraId="279D9A86" w14:textId="77777777" w:rsidR="00D32629" w:rsidRDefault="00D32629"/>
    <w:p w14:paraId="643DD1E8" w14:textId="77777777" w:rsidR="00D32629" w:rsidRDefault="00D32629"/>
    <w:p w14:paraId="32AA9935" w14:textId="77777777" w:rsidR="00D32629" w:rsidRDefault="00D32629"/>
    <w:p w14:paraId="55C45D9F" w14:textId="77777777" w:rsidR="00D32629" w:rsidRDefault="00D32629"/>
    <w:p w14:paraId="69486EA8" w14:textId="77777777" w:rsidR="00D32629" w:rsidRDefault="00D32629"/>
    <w:p w14:paraId="1ACA1154" w14:textId="77777777" w:rsidR="00D32629" w:rsidRDefault="00D32629"/>
    <w:p w14:paraId="55078560" w14:textId="77777777" w:rsidR="00D32629" w:rsidRDefault="00D32629"/>
    <w:p w14:paraId="1C94A71E" w14:textId="77777777" w:rsidR="00D32629" w:rsidRDefault="00D32629"/>
    <w:p w14:paraId="0DDBEB50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Introduction</w:t>
      </w:r>
    </w:p>
    <w:p w14:paraId="48DF257E" w14:textId="77777777" w:rsidR="00D32629" w:rsidRDefault="00EA312F">
      <w:pPr>
        <w:spacing w:line="48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343A3F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The Fibonacci sequence, like any sequence, is an ordered list of numbers. The sequence begins with 0,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1, 1, 2, 3, 5, 8, 13, and 21 (Chandra &amp;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Weisstein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n.d.). </w:t>
      </w:r>
      <w:r>
        <w:rPr>
          <w:rFonts w:ascii="Arial" w:eastAsia="Arial" w:hAnsi="Arial" w:cs="Arial"/>
          <w:sz w:val="24"/>
          <w:szCs w:val="24"/>
        </w:rPr>
        <w:t xml:space="preserve">However, not every sequence is renowned for being “nature’s code.” 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Understanding the underlying characteristics of this sequence is fundamental to exploring its applications ranging across mathematics, computer programming, art, and biology (see Figure 1). </w:t>
      </w:r>
    </w:p>
    <w:p w14:paraId="33AE2CEA" w14:textId="77777777" w:rsidR="00D32629" w:rsidRDefault="00EA312F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Figure 1</w:t>
      </w:r>
    </w:p>
    <w:p w14:paraId="3BFDD431" w14:textId="77777777" w:rsidR="00D32629" w:rsidRDefault="00EA312F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Nature’s Code</w:t>
      </w:r>
    </w:p>
    <w:p w14:paraId="13C224B6" w14:textId="77777777" w:rsidR="00D32629" w:rsidRDefault="00D32629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1A07037B" w14:textId="77777777" w:rsidR="00D32629" w:rsidRDefault="00EA31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4F26B0" wp14:editId="7D8BF365">
            <wp:extent cx="3435899" cy="2566279"/>
            <wp:effectExtent l="0" t="0" r="0" b="0"/>
            <wp:docPr id="9" name="image2.jpg" descr="A picture containing flower, plant, sunflow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picture containing flower, plant, sunflow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99" cy="256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D435A" w14:textId="77777777" w:rsidR="00D32629" w:rsidRDefault="00D32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D99FA" w14:textId="77777777" w:rsidR="00D32629" w:rsidRDefault="00EA312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Note. </w:t>
      </w:r>
      <w:r>
        <w:rPr>
          <w:rFonts w:ascii="Arial" w:eastAsia="Arial" w:hAnsi="Arial" w:cs="Arial"/>
          <w:sz w:val="24"/>
          <w:szCs w:val="24"/>
        </w:rPr>
        <w:t xml:space="preserve">Flower seed heads producing a Phi spiral pattern. From </w:t>
      </w:r>
      <w:r>
        <w:rPr>
          <w:rFonts w:ascii="Arial" w:eastAsia="Arial" w:hAnsi="Arial" w:cs="Arial"/>
          <w:i/>
          <w:sz w:val="24"/>
          <w:szCs w:val="24"/>
        </w:rPr>
        <w:t>Cleveland Design</w:t>
      </w:r>
      <w:r>
        <w:rPr>
          <w:rFonts w:ascii="Arial" w:eastAsia="Arial" w:hAnsi="Arial" w:cs="Arial"/>
          <w:sz w:val="24"/>
          <w:szCs w:val="24"/>
        </w:rPr>
        <w:t>. (</w:t>
      </w:r>
      <w:hyperlink r:id="rId8">
        <w:r>
          <w:rPr>
            <w:rFonts w:ascii="Arial" w:eastAsia="Arial" w:hAnsi="Arial" w:cs="Arial"/>
            <w:sz w:val="24"/>
            <w:szCs w:val="24"/>
          </w:rPr>
          <w:t>https://clevelanddesign.com/insights/the-nature-of-design-the-fibonacci-sequence-and-the-golden-ratio</w:t>
        </w:r>
      </w:hyperlink>
      <w:r>
        <w:rPr>
          <w:rFonts w:ascii="Arial" w:eastAsia="Arial" w:hAnsi="Arial" w:cs="Arial"/>
          <w:sz w:val="24"/>
          <w:szCs w:val="24"/>
        </w:rPr>
        <w:t>). Copyright 2020 by Cleveland Design.</w:t>
      </w:r>
    </w:p>
    <w:p w14:paraId="71F8F431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Relation to Pascal’s Triangle</w:t>
      </w:r>
    </w:p>
    <w:p w14:paraId="76BCFD0D" w14:textId="0FE8D5A2" w:rsidR="00D32629" w:rsidRDefault="00EA312F">
      <w:pPr>
        <w:spacing w:line="480" w:lineRule="auto"/>
        <w:ind w:firstLine="720"/>
        <w:rPr>
          <w:rFonts w:ascii="Arial" w:eastAsia="Arial" w:hAnsi="Arial" w:cs="Arial"/>
          <w:sz w:val="24"/>
          <w:szCs w:val="24"/>
          <w:shd w:val="clear" w:color="auto" w:fill="FCFCFC"/>
        </w:rPr>
      </w:pPr>
      <w:r>
        <w:rPr>
          <w:rFonts w:ascii="Arial" w:eastAsia="Arial" w:hAnsi="Arial" w:cs="Arial"/>
          <w:sz w:val="24"/>
          <w:szCs w:val="24"/>
        </w:rPr>
        <w:t>Pasca</w:t>
      </w:r>
      <w:r w:rsidRPr="00E62788">
        <w:rPr>
          <w:rFonts w:ascii="Arial" w:eastAsia="Arial" w:hAnsi="Arial" w:cs="Arial"/>
          <w:sz w:val="24"/>
          <w:szCs w:val="24"/>
        </w:rPr>
        <w:t xml:space="preserve">l’s triangle </w:t>
      </w:r>
      <w:r>
        <w:rPr>
          <w:rFonts w:ascii="Arial" w:eastAsia="Arial" w:hAnsi="Arial" w:cs="Arial"/>
          <w:sz w:val="24"/>
          <w:szCs w:val="24"/>
        </w:rPr>
        <w:t xml:space="preserve">is a number pattern composed of binomial coefficients (Levin, 2020). The pattern contains a variety of </w:t>
      </w:r>
      <w:r w:rsidR="004122C5">
        <w:rPr>
          <w:rFonts w:ascii="Arial" w:eastAsia="Arial" w:hAnsi="Arial" w:cs="Arial"/>
          <w:sz w:val="24"/>
          <w:szCs w:val="24"/>
        </w:rPr>
        <w:t>notable</w:t>
      </w:r>
      <w:r>
        <w:rPr>
          <w:rFonts w:ascii="Arial" w:eastAsia="Arial" w:hAnsi="Arial" w:cs="Arial"/>
          <w:sz w:val="24"/>
          <w:szCs w:val="24"/>
        </w:rPr>
        <w:t xml:space="preserve"> patterns, one such being the Fibonacci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sequence. </w:t>
      </w:r>
      <w:r>
        <w:rPr>
          <w:rFonts w:ascii="Arial" w:eastAsia="Arial" w:hAnsi="Arial" w:cs="Arial"/>
          <w:sz w:val="24"/>
          <w:szCs w:val="24"/>
          <w:shd w:val="clear" w:color="auto" w:fill="FCFCFC"/>
        </w:rPr>
        <w:t xml:space="preserve">We can produce the sequence by summing the binomial coefficients </w:t>
      </w:r>
      <w:r>
        <w:rPr>
          <w:rFonts w:ascii="Arial" w:eastAsia="Arial" w:hAnsi="Arial" w:cs="Arial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Stakhov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1998) </w:t>
      </w:r>
      <w:r>
        <w:rPr>
          <w:rFonts w:ascii="Arial" w:eastAsia="Arial" w:hAnsi="Arial" w:cs="Arial"/>
          <w:sz w:val="24"/>
          <w:szCs w:val="24"/>
          <w:shd w:val="clear" w:color="auto" w:fill="FCFCFC"/>
        </w:rPr>
        <w:t xml:space="preserve">along the diagonals of Pascal’s triangle (see Figure 2). </w:t>
      </w:r>
    </w:p>
    <w:p w14:paraId="4B44C24D" w14:textId="77777777" w:rsidR="00D32629" w:rsidRDefault="00EA312F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Figure 2</w:t>
      </w:r>
    </w:p>
    <w:p w14:paraId="27DED113" w14:textId="77777777" w:rsidR="00D32629" w:rsidRDefault="00EA312F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Pascal’s Triangle: Fibonacci Sequence</w:t>
      </w:r>
    </w:p>
    <w:p w14:paraId="2A079C39" w14:textId="77777777" w:rsidR="00D32629" w:rsidRDefault="00D32629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0100F3C7" w14:textId="77777777" w:rsidR="00D32629" w:rsidRDefault="00D32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4CE32" w14:textId="77777777" w:rsidR="00D32629" w:rsidRDefault="00D32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710C9" w14:textId="77777777" w:rsidR="00D32629" w:rsidRDefault="00EA312F">
      <w:pPr>
        <w:jc w:val="center"/>
      </w:pPr>
      <w:r>
        <w:rPr>
          <w:noProof/>
        </w:rPr>
        <w:drawing>
          <wp:inline distT="0" distB="0" distL="0" distR="0" wp14:anchorId="7D055223" wp14:editId="066D0FE2">
            <wp:extent cx="4143375" cy="2971800"/>
            <wp:effectExtent l="0" t="0" r="0" b="0"/>
            <wp:docPr id="10" name="image1.png" descr="A picture containing honeycomb, outdoor ob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honeycomb, outdoor objec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695" cy="297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BABF9" w14:textId="3B51A8D8" w:rsidR="00D32629" w:rsidRDefault="00D32629">
      <w:pPr>
        <w:jc w:val="center"/>
      </w:pPr>
    </w:p>
    <w:p w14:paraId="46C732F8" w14:textId="77777777" w:rsidR="00935DFF" w:rsidRDefault="00935DFF">
      <w:pPr>
        <w:jc w:val="center"/>
      </w:pPr>
    </w:p>
    <w:p w14:paraId="67D15372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The Golden Ratio</w:t>
      </w:r>
    </w:p>
    <w:p w14:paraId="647B38DE" w14:textId="4ACF10A5" w:rsidR="00D32629" w:rsidRDefault="00EA312F">
      <w:pPr>
        <w:shd w:val="clear" w:color="auto" w:fill="FFFFFF"/>
        <w:spacing w:before="180" w:after="0" w:line="480" w:lineRule="auto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golden ratio or φ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a number that approximates the value of 1.618. This ratio can be found in the closed formula for the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th Fibonacci number. A closed formula for a sequence (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a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) where </w:t>
      </w:r>
      <w:r>
        <w:rPr>
          <w:rFonts w:ascii="Arial" w:eastAsia="Arial" w:hAnsi="Arial" w:cs="Arial"/>
          <w:i/>
          <w:sz w:val="24"/>
          <w:szCs w:val="24"/>
        </w:rPr>
        <w:t>n</w:t>
      </w:r>
      <w:sdt>
        <w:sdtPr>
          <w:tag w:val="goog_rdk_0"/>
          <w:id w:val="-759753895"/>
        </w:sdtPr>
        <w:sdtEndPr/>
        <w:sdtContent>
          <w:r w:rsidR="00E62788"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∈</w:t>
          </w:r>
          <w:r w:rsidR="00E6278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is a formula for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a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using a fixed number of operations on 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(Levin, 2020). We can define the formula as such: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  <m:r>
          <w:rPr>
            <w:rFonts w:ascii="Arial" w:eastAsia="Arial" w:hAnsi="Arial" w:cs="Arial"/>
            <w:sz w:val="24"/>
            <w:szCs w:val="24"/>
          </w:rPr>
          <m:t>=</m:t>
        </m:r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Arial" w:eastAsia="Arial" w:hAnsi="Arial" w:cs="Arial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(1 - φ)</m:t>
                </m:r>
              </m:e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Arial" w:eastAsia="Arial" w:hAnsi="Arial" w:cs="Arial"/>
                <w:sz w:val="24"/>
                <w:szCs w:val="24"/>
              </w:rPr>
              <m:t xml:space="preserve">  </m:t>
            </m:r>
          </m:num>
          <m:den>
            <m:rad>
              <m:radPr>
                <m:degHide m:val="1"/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Arial" w:eastAsia="Arial" w:hAnsi="Arial" w:cs="Arial"/>
            <w:sz w:val="24"/>
            <w:szCs w:val="24"/>
          </w:rPr>
          <m:t xml:space="preserve"> </m:t>
        </m:r>
      </m:oMath>
      <w:r>
        <w:rPr>
          <w:rFonts w:ascii="Arial" w:eastAsia="Arial" w:hAnsi="Arial" w:cs="Arial"/>
          <w:sz w:val="24"/>
          <w:szCs w:val="24"/>
        </w:rPr>
        <w:t xml:space="preserve">. The denominator of </w:t>
      </w:r>
      <m:oMath>
        <m:rad>
          <m:radPr>
            <m:degHide m:val="1"/>
            <m:ctrlPr>
              <w:rPr>
                <w:rFonts w:ascii="Arial" w:eastAsia="Arial" w:hAnsi="Arial" w:cs="Arial"/>
                <w:sz w:val="24"/>
                <w:szCs w:val="24"/>
              </w:rPr>
            </m:ctrlPr>
          </m:radPr>
          <m:deg/>
          <m:e>
            <m:r>
              <w:rPr>
                <w:rFonts w:ascii="Arial" w:eastAsia="Arial" w:hAnsi="Arial" w:cs="Arial"/>
                <w:sz w:val="24"/>
                <w:szCs w:val="24"/>
              </w:rPr>
              <m:t>5</m:t>
            </m:r>
          </m:e>
        </m:rad>
      </m:oMath>
      <w:r>
        <w:rPr>
          <w:rFonts w:ascii="Arial" w:eastAsia="Arial" w:hAnsi="Arial" w:cs="Arial"/>
          <w:sz w:val="24"/>
          <w:szCs w:val="24"/>
        </w:rPr>
        <w:t xml:space="preserve"> is curious until the golden ratio is written in another form. The golden ratio is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equivalent to </w:t>
      </w:r>
      <m:oMath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>a + b</m:t>
            </m:r>
          </m:num>
          <m:den>
            <m:r>
              <w:rPr>
                <w:rFonts w:ascii="Arial" w:eastAsia="Arial" w:hAnsi="Arial" w:cs="Arial"/>
                <w:sz w:val="24"/>
                <w:szCs w:val="24"/>
              </w:rPr>
              <m:t>a</m:t>
            </m:r>
          </m:den>
        </m:f>
        <m:r>
          <w:rPr>
            <w:rFonts w:ascii="Cambria Math" w:eastAsia="Arial" w:hAnsi="Arial" w:cs="Arial"/>
            <w:sz w:val="24"/>
            <w:szCs w:val="24"/>
          </w:rPr>
          <m:t xml:space="preserve"> </m:t>
        </m:r>
      </m:oMath>
      <w:r>
        <w:rPr>
          <w:rFonts w:ascii="Arial" w:eastAsia="Arial" w:hAnsi="Arial" w:cs="Arial"/>
          <w:sz w:val="24"/>
          <w:szCs w:val="24"/>
        </w:rPr>
        <w:t>=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>a</m:t>
            </m:r>
          </m:num>
          <m:den>
            <m:r>
              <w:rPr>
                <w:rFonts w:ascii="Arial" w:eastAsia="Arial" w:hAnsi="Arial" w:cs="Arial"/>
                <w:sz w:val="24"/>
                <w:szCs w:val="24"/>
              </w:rPr>
              <m:t>b</m:t>
            </m:r>
          </m:den>
        </m:f>
      </m:oMath>
      <w:r>
        <w:rPr>
          <w:rFonts w:ascii="Arial" w:eastAsia="Arial" w:hAnsi="Arial" w:cs="Arial"/>
          <w:sz w:val="24"/>
          <w:szCs w:val="24"/>
        </w:rPr>
        <w:t xml:space="preserve">. If we assign the value of 1 to </w:t>
      </w:r>
      <w:r>
        <w:rPr>
          <w:rFonts w:ascii="Arial" w:eastAsia="Arial" w:hAnsi="Arial" w:cs="Arial"/>
          <w:i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, we can solve for 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Ultimately, we find 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 xml:space="preserve">1 ± </m:t>
            </m:r>
            <m:rad>
              <m:radPr>
                <m:degHide m:val="1"/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Arial" w:eastAsia="Arial" w:hAnsi="Arial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="Arial" w:hAnsi="Arial" w:cs="Arial"/>
          <w:sz w:val="24"/>
          <w:szCs w:val="24"/>
        </w:rPr>
        <w:t xml:space="preserve">. This means the closed formula for the Fibonacci sequence can be written as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  <m:r>
          <w:rPr>
            <w:rFonts w:ascii="Arial" w:eastAsia="Arial" w:hAnsi="Arial" w:cs="Arial"/>
            <w:sz w:val="24"/>
            <w:szCs w:val="24"/>
          </w:rPr>
          <m:t>=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e>
            </m:rad>
          </m:den>
        </m:f>
        <m:sSup>
          <m:sSupPr>
            <m:ctrlPr>
              <w:rPr>
                <w:rFonts w:ascii="Arial" w:eastAsia="Arial" w:hAnsi="Arial" w:cs="Arial"/>
                <w:sz w:val="24"/>
                <w:szCs w:val="24"/>
              </w:rPr>
            </m:ctrlPr>
          </m:sSupPr>
          <m:e>
            <m:r>
              <w:rPr>
                <w:rFonts w:ascii="Arial" w:eastAsia="Arial" w:hAnsi="Arial" w:cs="Arial"/>
                <w:sz w:val="24"/>
                <w:szCs w:val="24"/>
              </w:rPr>
              <m:t>( (</m:t>
            </m:r>
            <m:f>
              <m:fPr>
                <m:ctrlPr>
                  <w:rPr>
                    <w:rFonts w:ascii="Cambria Math" w:eastAsia="Arial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 xml:space="preserve"> 1 + √</m:t>
                </m:r>
                <m:r>
                  <w:rPr>
                    <w:rFonts w:ascii="Cambria Math" w:eastAsia="Arial" w:hAnsi="Arial" w:cs="Arial"/>
                    <w:sz w:val="24"/>
                    <w:szCs w:val="24"/>
                  </w:rPr>
                  <m:t>5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="Arial" w:hAnsi="Arial" w:cs="Arial"/>
          <w:sz w:val="24"/>
          <w:szCs w:val="24"/>
        </w:rPr>
        <w:t xml:space="preserve">- </w:t>
      </w:r>
      <m:oMath>
        <m:sSup>
          <m:sSupPr>
            <m:ctrlPr>
              <w:rPr>
                <w:rFonts w:ascii="Arial" w:eastAsia="Arial" w:hAnsi="Arial" w:cs="Arial"/>
                <w:sz w:val="24"/>
                <w:szCs w:val="24"/>
              </w:rPr>
            </m:ctrlPr>
          </m:sSupPr>
          <m:e>
            <m:r>
              <w:rPr>
                <w:rFonts w:ascii="Arial" w:eastAsia="Arial" w:hAnsi="Arial" w:cs="Arial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eastAsia="Arial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 xml:space="preserve"> 1 - √</m:t>
                </m:r>
                <m:r>
                  <w:rPr>
                    <w:rFonts w:ascii="Cambria Math" w:eastAsia="Arial" w:hAnsi="Arial" w:cs="Arial"/>
                    <w:sz w:val="24"/>
                    <w:szCs w:val="24"/>
                  </w:rPr>
                  <m:t>5</m:t>
                </m:r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Arial" w:eastAsia="Arial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="Arial" w:hAnsi="Arial" w:cs="Arial"/>
          <w:sz w:val="24"/>
          <w:szCs w:val="24"/>
        </w:rPr>
        <w:t>) where φ is equal to</w:t>
      </w:r>
      <w:r w:rsidR="00E62788">
        <w:rPr>
          <w:rFonts w:ascii="Arial" w:eastAsia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 xml:space="preserve"> 1</m:t>
            </m:r>
            <m:r>
              <w:rPr>
                <w:rFonts w:ascii="Cambria Math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+</m:t>
            </m:r>
            <m:r>
              <w:rPr>
                <w:rFonts w:ascii="Cambria Math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Cambria Math" w:eastAsia="Arial" w:hAnsi="Cambria Math" w:cs="Arial"/>
                <w:sz w:val="24"/>
                <w:szCs w:val="24"/>
              </w:rPr>
              <m:t>√</m:t>
            </m:r>
            <m:r>
              <w:rPr>
                <w:rFonts w:ascii="Cambria Math" w:eastAsia="Arial" w:hAnsi="Arial" w:cs="Arial"/>
                <w:sz w:val="24"/>
                <w:szCs w:val="24"/>
              </w:rPr>
              <m:t>5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</m:num>
          <m:den>
            <m:r>
              <w:rPr>
                <w:rFonts w:ascii="Arial" w:eastAsia="Arial" w:hAnsi="Arial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" w:hAnsi="Arial" w:cs="Arial"/>
            <w:sz w:val="24"/>
            <w:szCs w:val="24"/>
          </w:rPr>
          <m:t xml:space="preserve"> </m:t>
        </m:r>
      </m:oMath>
      <w:r>
        <w:rPr>
          <w:rFonts w:ascii="Arial" w:eastAsia="Arial" w:hAnsi="Arial" w:cs="Arial"/>
          <w:sz w:val="24"/>
          <w:szCs w:val="24"/>
        </w:rPr>
        <w:t xml:space="preserve">(Stakhov, 1998). </w:t>
      </w:r>
    </w:p>
    <w:p w14:paraId="66419189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Partial sums of the Fibonacci Sequence</w:t>
      </w:r>
    </w:p>
    <w:p w14:paraId="7C791C64" w14:textId="6EB370DE" w:rsidR="00D32629" w:rsidRDefault="00EA312F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3A3F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partial sum represents the sum of part of a sequence. Given a sequence, the partial sum of the first N terms is described as</w:t>
      </w:r>
      <w:r w:rsidR="009B7E3D"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</m:oMath>
      <w:r w:rsidR="009B7E3D">
        <w:rPr>
          <w:rFonts w:ascii="Arial" w:eastAsia="Arial" w:hAnsi="Arial" w:cs="Arial"/>
          <w:sz w:val="24"/>
          <w:szCs w:val="24"/>
        </w:rPr>
        <w:t xml:space="preserve">= </w:t>
      </w:r>
      <m:oMath>
        <m:nary>
          <m:naryPr>
            <m:chr m:val="∑"/>
            <m:ctrlPr>
              <w:rPr>
                <w:rFonts w:ascii="Arial" w:eastAsia="Arial" w:hAnsi="Arial" w:cs="Arial"/>
                <w:sz w:val="24"/>
                <w:szCs w:val="24"/>
              </w:rPr>
            </m:ctrlPr>
          </m:naryPr>
          <m:sub>
            <m:r>
              <w:rPr>
                <w:rFonts w:ascii="Cambria Math" w:eastAsia="Arial" w:hAnsi="Arial" w:cs="Arial"/>
                <w:sz w:val="24"/>
                <w:szCs w:val="24"/>
              </w:rPr>
              <m:t>k=1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Arial" w:hAnsi="Arial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Arial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Arial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Arial" w:hAnsi="Arial" w:cs="Arial"/>
                    <w:sz w:val="24"/>
                    <w:szCs w:val="24"/>
                  </w:rPr>
                  <m:t>k</m:t>
                </m:r>
              </m:sup>
            </m:sSup>
          </m:e>
        </m:nary>
      </m:oMath>
      <w:r>
        <w:rPr>
          <w:rFonts w:ascii="Arial" w:eastAsia="Arial" w:hAnsi="Arial" w:cs="Arial"/>
          <w:sz w:val="24"/>
          <w:szCs w:val="24"/>
        </w:rPr>
        <w:t xml:space="preserve">.  </w:t>
      </w:r>
      <w:r w:rsidR="006A1627">
        <w:rPr>
          <w:rFonts w:ascii="Arial" w:eastAsia="Arial" w:hAnsi="Arial" w:cs="Arial"/>
          <w:sz w:val="24"/>
          <w:szCs w:val="24"/>
        </w:rPr>
        <w:t xml:space="preserve">Each partial sum of the Fibonacci sequence can be calculated with </w:t>
      </w:r>
      <m:oMath>
        <m:sSub>
          <m:sSub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</m:oMath>
      <w:r w:rsidR="006A1627">
        <w:rPr>
          <w:rFonts w:ascii="Arial" w:eastAsia="Arial" w:hAnsi="Arial" w:cs="Arial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 + 2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-1</m:t>
        </m:r>
      </m:oMath>
      <w:r w:rsidR="006A1627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This formula allows us to generate the partial sums sequence for each index in Fibonacci: 1, 2, 4, 7, 12, 20</w:t>
      </w:r>
      <w:r w:rsidR="00AE6C71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</w:rPr>
        <w:t>...</w:t>
      </w:r>
      <w:r w:rsidR="00AE6C71">
        <w:rPr>
          <w:rFonts w:ascii="Arial" w:eastAsia="Arial" w:hAnsi="Arial" w:cs="Arial"/>
          <w:sz w:val="24"/>
          <w:szCs w:val="24"/>
        </w:rPr>
        <w:t xml:space="preserve"> +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S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. Notice the difference between each pair of sums represents a </w:t>
      </w:r>
      <w:r w:rsidR="005F1457">
        <w:rPr>
          <w:rFonts w:ascii="Arial" w:eastAsia="Arial" w:hAnsi="Arial" w:cs="Arial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 in Fibonacci. Moreover, starting at the third index, each partial sum incremented by 1 produces a</w:t>
      </w:r>
      <w:r w:rsidR="003177C7">
        <w:rPr>
          <w:rFonts w:ascii="Arial" w:eastAsia="Arial" w:hAnsi="Arial" w:cs="Arial"/>
          <w:sz w:val="24"/>
          <w:szCs w:val="24"/>
        </w:rPr>
        <w:t xml:space="preserve"> Fibonacci</w:t>
      </w:r>
      <w:r>
        <w:rPr>
          <w:rFonts w:ascii="Arial" w:eastAsia="Arial" w:hAnsi="Arial" w:cs="Arial"/>
          <w:sz w:val="24"/>
          <w:szCs w:val="24"/>
        </w:rPr>
        <w:t xml:space="preserve"> number. </w:t>
      </w:r>
    </w:p>
    <w:p w14:paraId="4D43308C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Negative numbers in the Fibonacci Sequence</w:t>
      </w:r>
    </w:p>
    <w:p w14:paraId="1167C9B3" w14:textId="4DFE8887" w:rsidR="00D32629" w:rsidRDefault="00EA312F">
      <w:pP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 recurrence relation is an equation relating a term of a sequence to the previous terms of the sequence (Levin, 2020). The formula for the recurrence relation of the </w:t>
      </w:r>
      <w:r w:rsidR="00F94152">
        <w:rPr>
          <w:rFonts w:ascii="Arial" w:eastAsia="Arial" w:hAnsi="Arial" w:cs="Arial"/>
          <w:sz w:val="24"/>
          <w:szCs w:val="24"/>
        </w:rPr>
        <w:t>Fibonacci</w:t>
      </w:r>
      <w:r>
        <w:rPr>
          <w:rFonts w:ascii="Arial" w:eastAsia="Arial" w:hAnsi="Arial" w:cs="Arial"/>
          <w:sz w:val="24"/>
          <w:szCs w:val="24"/>
        </w:rPr>
        <w:t xml:space="preserve"> sequence is defined as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Arial" w:cs="Arial"/>
            <w:sz w:val="24"/>
            <w:szCs w:val="24"/>
          </w:rPr>
          <m:t xml:space="preserve"> </m:t>
        </m:r>
      </m:oMath>
      <w:r>
        <w:rPr>
          <w:rFonts w:ascii="Arial" w:eastAsia="Arial" w:hAnsi="Arial" w:cs="Arial"/>
          <w:sz w:val="24"/>
          <w:szCs w:val="24"/>
        </w:rPr>
        <w:t xml:space="preserve">=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 - 1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+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 - 2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. To identify the negative numbers of Fibonacci, we can modify the recurrence relation to reflect its equivalent: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 - 2</m:t>
            </m:r>
          </m:sub>
        </m:sSub>
      </m:oMath>
      <w:r w:rsidR="00A8731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 xml:space="preserve">n 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-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 - 1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. Starting with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-1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and decrementing by 1, we generate 1, -1, 2, -3</w:t>
      </w:r>
      <w:r w:rsidR="00AE6C71">
        <w:rPr>
          <w:rFonts w:ascii="Arial" w:eastAsia="Arial" w:hAnsi="Arial" w:cs="Arial"/>
          <w:sz w:val="24"/>
          <w:szCs w:val="24"/>
        </w:rPr>
        <w:t xml:space="preserve"> + ... +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. As we decrement the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th term, we uncover that every other term is negative. To produce this sequence where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is negative, that is,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&lt; 0, we can employ the closed formula: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-n</m:t>
            </m:r>
          </m:sub>
        </m:sSub>
      </m:oMath>
      <w:r w:rsidRPr="00B463B2">
        <w:rPr>
          <w:rFonts w:ascii="Arial" w:eastAsia="Arial" w:hAnsi="Arial" w:cs="Arial"/>
          <w:sz w:val="24"/>
          <w:szCs w:val="24"/>
        </w:rPr>
        <w:t xml:space="preserve">= </w:t>
      </w:r>
      <m:oMath>
        <m:sSup>
          <m:sSupPr>
            <m:ctrlPr>
              <w:rPr>
                <w:rFonts w:ascii="Arial" w:eastAsia="Arial" w:hAnsi="Arial" w:cs="Arial"/>
                <w:sz w:val="24"/>
                <w:szCs w:val="24"/>
              </w:rPr>
            </m:ctrlPr>
          </m:sSupPr>
          <m:e>
            <m:r>
              <w:rPr>
                <w:rFonts w:ascii="Arial" w:eastAsia="Arial" w:hAnsi="Arial" w:cs="Arial"/>
                <w:sz w:val="24"/>
                <w:szCs w:val="24"/>
              </w:rPr>
              <m:t>(-1)</m:t>
            </m:r>
          </m:e>
          <m:sup>
            <m:r>
              <w:rPr>
                <w:rFonts w:ascii="Arial" w:eastAsia="Arial" w:hAnsi="Arial" w:cs="Arial"/>
                <w:sz w:val="24"/>
                <w:szCs w:val="24"/>
              </w:rPr>
              <m:t>n + 1</m:t>
            </m:r>
          </m:sup>
        </m:sSup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r>
              <w:rPr>
                <w:rFonts w:ascii="Arial" w:eastAsia="Arial" w:hAnsi="Arial" w:cs="Arial"/>
                <w:sz w:val="24"/>
                <w:szCs w:val="24"/>
              </w:rPr>
              <m:t xml:space="preserve"> F</m:t>
            </m:r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 w:rsidRPr="00B463B2">
        <w:rPr>
          <w:rFonts w:ascii="Arial" w:eastAsia="Arial" w:hAnsi="Arial" w:cs="Arial"/>
          <w:sz w:val="24"/>
          <w:szCs w:val="24"/>
        </w:rPr>
        <w:t xml:space="preserve"> .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BBBBD5D" w14:textId="77777777" w:rsidR="00935DFF" w:rsidRDefault="00935DFF">
      <w:pP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1211F42B" w14:textId="12760009" w:rsidR="00B463B2" w:rsidRDefault="00EA312F" w:rsidP="00935DF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Conclusion</w:t>
      </w:r>
    </w:p>
    <w:p w14:paraId="5BF1F168" w14:textId="2145793E" w:rsidR="004122C5" w:rsidRPr="00B1331F" w:rsidRDefault="00935DFF" w:rsidP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</w:pPr>
      <w:r w:rsidRPr="00B1331F">
        <w:rPr>
          <w:rFonts w:ascii="Arial" w:eastAsia="Arial" w:hAnsi="Arial" w:cs="Arial"/>
          <w:sz w:val="24"/>
          <w:szCs w:val="24"/>
        </w:rPr>
        <w:t>T</w:t>
      </w:r>
      <w:r w:rsidR="00B463B2" w:rsidRPr="00B1331F">
        <w:rPr>
          <w:rFonts w:ascii="Arial" w:eastAsia="Arial" w:hAnsi="Arial" w:cs="Arial"/>
          <w:sz w:val="24"/>
          <w:szCs w:val="24"/>
        </w:rPr>
        <w:t xml:space="preserve">he Fibonacci numbers boast </w:t>
      </w:r>
      <w:r w:rsidR="004122C5" w:rsidRPr="00B1331F">
        <w:rPr>
          <w:rFonts w:ascii="Arial" w:eastAsia="Arial" w:hAnsi="Arial" w:cs="Arial"/>
          <w:sz w:val="24"/>
          <w:szCs w:val="24"/>
        </w:rPr>
        <w:t>properties and relations that</w:t>
      </w:r>
      <w:r w:rsidR="00F64317">
        <w:rPr>
          <w:rFonts w:ascii="Arial" w:eastAsia="Arial" w:hAnsi="Arial" w:cs="Arial"/>
          <w:sz w:val="24"/>
          <w:szCs w:val="24"/>
        </w:rPr>
        <w:t xml:space="preserve"> have</w:t>
      </w:r>
      <w:r w:rsidR="004122C5" w:rsidRPr="00B1331F">
        <w:rPr>
          <w:rFonts w:ascii="Arial" w:eastAsia="Arial" w:hAnsi="Arial" w:cs="Arial"/>
          <w:sz w:val="24"/>
          <w:szCs w:val="24"/>
        </w:rPr>
        <w:t xml:space="preserve"> </w:t>
      </w:r>
      <w:r w:rsidR="004F0C43" w:rsidRPr="00B1331F">
        <w:rPr>
          <w:rFonts w:ascii="Arial" w:eastAsia="Arial" w:hAnsi="Arial" w:cs="Arial"/>
          <w:sz w:val="24"/>
          <w:szCs w:val="24"/>
        </w:rPr>
        <w:t xml:space="preserve">captivated </w:t>
      </w:r>
      <w:r w:rsidR="004122C5" w:rsidRPr="00B1331F">
        <w:rPr>
          <w:rFonts w:ascii="Arial" w:eastAsia="Arial" w:hAnsi="Arial" w:cs="Arial"/>
          <w:sz w:val="24"/>
          <w:szCs w:val="24"/>
        </w:rPr>
        <w:t xml:space="preserve">mathematicians for </w:t>
      </w:r>
      <w:r w:rsidR="004122C5" w:rsidRPr="00B1331F">
        <w:rPr>
          <w:rFonts w:ascii="Arial" w:hAnsi="Arial" w:cs="Arial"/>
          <w:sz w:val="24"/>
          <w:szCs w:val="24"/>
          <w:shd w:val="clear" w:color="auto" w:fill="FFFFFF"/>
        </w:rPr>
        <w:t xml:space="preserve">millennia: </w:t>
      </w:r>
      <w:r w:rsidR="004122C5" w:rsidRPr="00B1331F">
        <w:rPr>
          <w:rFonts w:ascii="Arial" w:eastAsia="Arial" w:hAnsi="Arial" w:cs="Arial"/>
          <w:bCs/>
          <w:sz w:val="24"/>
          <w:szCs w:val="24"/>
        </w:rPr>
        <w:t xml:space="preserve">the incremented partial sums of the sequence generate the Fibonacci terms, the negative terms of Fibonacci are mirrored in the inverse of every other </w:t>
      </w:r>
      <w:r w:rsidR="004122C5" w:rsidRPr="00B1331F">
        <w:rPr>
          <w:rFonts w:ascii="Arial" w:eastAsia="Arial" w:hAnsi="Arial" w:cs="Arial"/>
          <w:bCs/>
          <w:i/>
          <w:iCs/>
          <w:sz w:val="24"/>
          <w:szCs w:val="24"/>
        </w:rPr>
        <w:t>n</w:t>
      </w:r>
      <w:r w:rsidR="004122C5" w:rsidRPr="00B1331F">
        <w:rPr>
          <w:rFonts w:ascii="Arial" w:eastAsia="Arial" w:hAnsi="Arial" w:cs="Arial"/>
          <w:bCs/>
          <w:sz w:val="24"/>
          <w:szCs w:val="24"/>
        </w:rPr>
        <w:t xml:space="preserve">th term, 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the </w:t>
      </w:r>
      <w:r w:rsidR="004122C5" w:rsidRPr="00B1331F">
        <w:rPr>
          <w:rFonts w:ascii="Arial" w:eastAsia="Arial" w:hAnsi="Arial" w:cs="Arial"/>
          <w:bCs/>
          <w:sz w:val="24"/>
          <w:szCs w:val="24"/>
        </w:rPr>
        <w:t xml:space="preserve">terms are hidden 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>in</w:t>
      </w:r>
      <w:r w:rsidR="004122C5" w:rsidRPr="00B1331F">
        <w:rPr>
          <w:rFonts w:ascii="Arial" w:eastAsia="Arial" w:hAnsi="Arial" w:cs="Arial"/>
          <w:bCs/>
          <w:sz w:val="24"/>
          <w:szCs w:val="24"/>
        </w:rPr>
        <w:t xml:space="preserve"> the sums of Pascal’s triangle’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>s binomial coefficients,</w:t>
      </w:r>
      <w:r w:rsidR="004122C5" w:rsidRPr="00B1331F">
        <w:rPr>
          <w:rFonts w:ascii="Arial" w:eastAsia="Arial" w:hAnsi="Arial" w:cs="Arial"/>
          <w:bCs/>
          <w:sz w:val="24"/>
          <w:szCs w:val="24"/>
        </w:rPr>
        <w:t xml:space="preserve"> and “nature’s code” is nested within the closed formula for the sequence. 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>Organizations like the Fibonacci Association</w:t>
      </w:r>
      <w:r w:rsidR="0021325E">
        <w:rPr>
          <w:rFonts w:ascii="Arial" w:eastAsia="Arial" w:hAnsi="Arial" w:cs="Arial"/>
          <w:bCs/>
          <w:sz w:val="24"/>
          <w:szCs w:val="24"/>
        </w:rPr>
        <w:t>,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 which</w:t>
      </w:r>
      <w:r w:rsidR="0021325E">
        <w:rPr>
          <w:rFonts w:ascii="Arial" w:eastAsia="Arial" w:hAnsi="Arial" w:cs="Arial"/>
          <w:bCs/>
          <w:sz w:val="24"/>
          <w:szCs w:val="24"/>
        </w:rPr>
        <w:t xml:space="preserve"> has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 since 1963</w:t>
      </w:r>
      <w:r w:rsidRPr="00B1331F">
        <w:rPr>
          <w:rFonts w:ascii="Arial" w:eastAsia="Arial" w:hAnsi="Arial" w:cs="Arial"/>
          <w:bCs/>
          <w:sz w:val="24"/>
          <w:szCs w:val="24"/>
        </w:rPr>
        <w:t xml:space="preserve"> (</w:t>
      </w:r>
      <w:r w:rsidRPr="00B1331F">
        <w:rPr>
          <w:rFonts w:ascii="Arial" w:eastAsia="Arial" w:hAnsi="Arial" w:cs="Arial"/>
          <w:sz w:val="24"/>
          <w:szCs w:val="24"/>
        </w:rPr>
        <w:t>The Fibonacci Association</w:t>
      </w:r>
      <w:r w:rsidRPr="00B1331F">
        <w:rPr>
          <w:rFonts w:ascii="Arial" w:eastAsia="Arial" w:hAnsi="Arial" w:cs="Arial"/>
          <w:sz w:val="24"/>
          <w:szCs w:val="24"/>
          <w:highlight w:val="white"/>
        </w:rPr>
        <w:t>, n.d.</w:t>
      </w:r>
      <w:r w:rsidRPr="00B1331F">
        <w:rPr>
          <w:rFonts w:ascii="Arial" w:eastAsia="Arial" w:hAnsi="Arial" w:cs="Arial"/>
          <w:bCs/>
          <w:sz w:val="24"/>
          <w:szCs w:val="24"/>
        </w:rPr>
        <w:t>)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 focused on the sequence and</w:t>
      </w:r>
      <w:r w:rsidR="0021325E">
        <w:rPr>
          <w:rFonts w:ascii="Arial" w:eastAsia="Arial" w:hAnsi="Arial" w:cs="Arial"/>
          <w:bCs/>
          <w:sz w:val="24"/>
          <w:szCs w:val="24"/>
        </w:rPr>
        <w:t xml:space="preserve"> its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 related applications, along with novice and veteran mathematicians</w:t>
      </w:r>
      <w:r w:rsidR="0021325E">
        <w:rPr>
          <w:rFonts w:ascii="Arial" w:eastAsia="Arial" w:hAnsi="Arial" w:cs="Arial"/>
          <w:bCs/>
          <w:sz w:val="24"/>
          <w:szCs w:val="24"/>
        </w:rPr>
        <w:t>,</w:t>
      </w:r>
      <w:r w:rsidR="004F0C43" w:rsidRPr="00B1331F">
        <w:rPr>
          <w:rFonts w:ascii="Arial" w:eastAsia="Arial" w:hAnsi="Arial" w:cs="Arial"/>
          <w:bCs/>
          <w:sz w:val="24"/>
          <w:szCs w:val="24"/>
        </w:rPr>
        <w:t xml:space="preserve"> will continue to probe th</w:t>
      </w:r>
      <w:r w:rsidRPr="00B1331F">
        <w:rPr>
          <w:rFonts w:ascii="Arial" w:eastAsia="Arial" w:hAnsi="Arial" w:cs="Arial"/>
          <w:bCs/>
          <w:sz w:val="24"/>
          <w:szCs w:val="24"/>
        </w:rPr>
        <w:t xml:space="preserve">is eminent pattern. </w:t>
      </w:r>
    </w:p>
    <w:p w14:paraId="6DA0D567" w14:textId="2298B59A" w:rsidR="00D32629" w:rsidRDefault="00D32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577B8CEA" w14:textId="39D9E126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769F371C" w14:textId="551211E0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31449D03" w14:textId="30483F60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5EB4240F" w14:textId="3FD839A7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65288C37" w14:textId="77777777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4E27C3A8" w14:textId="241626D6" w:rsidR="00D32629" w:rsidRDefault="00D32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00DCA847" w14:textId="210701A8" w:rsidR="00B463B2" w:rsidRDefault="00B46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24D7587C" w14:textId="746A4757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2C3FBA96" w14:textId="23E5C836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413E908A" w14:textId="77777777" w:rsidR="00935DFF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6689EBF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References</w:t>
      </w:r>
    </w:p>
    <w:p w14:paraId="542DED5F" w14:textId="77777777" w:rsidR="00D32629" w:rsidRPr="00DB480B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 xml:space="preserve">Chandra, P. &amp; </w:t>
      </w:r>
      <w:proofErr w:type="spellStart"/>
      <w:r w:rsidRPr="00DB480B">
        <w:rPr>
          <w:rFonts w:ascii="Arial" w:eastAsia="Arial" w:hAnsi="Arial" w:cs="Arial"/>
          <w:sz w:val="24"/>
          <w:szCs w:val="24"/>
        </w:rPr>
        <w:t>Weisstein</w:t>
      </w:r>
      <w:proofErr w:type="spellEnd"/>
      <w:r w:rsidRPr="00DB480B">
        <w:rPr>
          <w:rFonts w:ascii="Arial" w:eastAsia="Arial" w:hAnsi="Arial" w:cs="Arial"/>
          <w:sz w:val="24"/>
          <w:szCs w:val="24"/>
        </w:rPr>
        <w:t xml:space="preserve">, E. W. (n.d.). </w:t>
      </w:r>
      <w:r w:rsidRPr="00DB480B">
        <w:rPr>
          <w:rFonts w:ascii="Arial" w:eastAsia="Arial" w:hAnsi="Arial" w:cs="Arial"/>
          <w:i/>
          <w:sz w:val="24"/>
          <w:szCs w:val="24"/>
        </w:rPr>
        <w:t>Fibonacci Number</w:t>
      </w:r>
      <w:r w:rsidRPr="00DB480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DB480B">
        <w:rPr>
          <w:rFonts w:ascii="Arial" w:eastAsia="Arial" w:hAnsi="Arial" w:cs="Arial"/>
          <w:sz w:val="24"/>
          <w:szCs w:val="24"/>
        </w:rPr>
        <w:t>MathWorld</w:t>
      </w:r>
      <w:proofErr w:type="spellEnd"/>
      <w:r w:rsidRPr="00DB480B">
        <w:rPr>
          <w:rFonts w:ascii="Arial" w:eastAsia="Arial" w:hAnsi="Arial" w:cs="Arial"/>
          <w:sz w:val="24"/>
          <w:szCs w:val="24"/>
        </w:rPr>
        <w:t>. Retrieved</w:t>
      </w:r>
    </w:p>
    <w:p w14:paraId="00F8276A" w14:textId="16019481" w:rsidR="00D32629" w:rsidRPr="00DB480B" w:rsidRDefault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>January</w:t>
      </w:r>
      <w:r w:rsidR="00EA312F" w:rsidRPr="00DB480B">
        <w:rPr>
          <w:rFonts w:ascii="Arial" w:eastAsia="Arial" w:hAnsi="Arial" w:cs="Arial"/>
          <w:sz w:val="24"/>
          <w:szCs w:val="24"/>
        </w:rPr>
        <w:t xml:space="preserve"> </w:t>
      </w:r>
      <w:r w:rsidRPr="00DB480B">
        <w:rPr>
          <w:rFonts w:ascii="Arial" w:eastAsia="Arial" w:hAnsi="Arial" w:cs="Arial"/>
          <w:sz w:val="24"/>
          <w:szCs w:val="24"/>
        </w:rPr>
        <w:t>3</w:t>
      </w:r>
      <w:r w:rsidR="00EA312F" w:rsidRPr="00DB480B">
        <w:rPr>
          <w:rFonts w:ascii="Arial" w:eastAsia="Arial" w:hAnsi="Arial" w:cs="Arial"/>
          <w:sz w:val="24"/>
          <w:szCs w:val="24"/>
        </w:rPr>
        <w:t>, 202</w:t>
      </w:r>
      <w:r w:rsidRPr="00DB480B">
        <w:rPr>
          <w:rFonts w:ascii="Arial" w:eastAsia="Arial" w:hAnsi="Arial" w:cs="Arial"/>
          <w:sz w:val="24"/>
          <w:szCs w:val="24"/>
        </w:rPr>
        <w:t>1</w:t>
      </w:r>
      <w:r w:rsidR="00EA312F" w:rsidRPr="00DB480B">
        <w:rPr>
          <w:rFonts w:ascii="Arial" w:eastAsia="Arial" w:hAnsi="Arial" w:cs="Arial"/>
          <w:sz w:val="24"/>
          <w:szCs w:val="24"/>
        </w:rPr>
        <w:t xml:space="preserve"> from </w:t>
      </w:r>
      <w:hyperlink r:id="rId10">
        <w:r w:rsidR="00EA312F" w:rsidRPr="00DB480B">
          <w:rPr>
            <w:rFonts w:ascii="Arial" w:eastAsia="Arial" w:hAnsi="Arial" w:cs="Arial"/>
            <w:sz w:val="24"/>
            <w:szCs w:val="24"/>
          </w:rPr>
          <w:t>https://</w:t>
        </w:r>
        <w:proofErr w:type="spellStart"/>
        <w:r w:rsidR="00EA312F" w:rsidRPr="00DB480B">
          <w:rPr>
            <w:rFonts w:ascii="Arial" w:eastAsia="Arial" w:hAnsi="Arial" w:cs="Arial"/>
            <w:sz w:val="24"/>
            <w:szCs w:val="24"/>
          </w:rPr>
          <w:t>mathworld.wolfram.com</w:t>
        </w:r>
        <w:proofErr w:type="spellEnd"/>
        <w:r w:rsidR="00EA312F" w:rsidRPr="00DB480B">
          <w:rPr>
            <w:rFonts w:ascii="Arial" w:eastAsia="Arial" w:hAnsi="Arial" w:cs="Arial"/>
            <w:sz w:val="24"/>
            <w:szCs w:val="24"/>
          </w:rPr>
          <w:t>/</w:t>
        </w:r>
        <w:proofErr w:type="spellStart"/>
        <w:r w:rsidR="00EA312F" w:rsidRPr="00DB480B">
          <w:rPr>
            <w:rFonts w:ascii="Arial" w:eastAsia="Arial" w:hAnsi="Arial" w:cs="Arial"/>
            <w:sz w:val="24"/>
            <w:szCs w:val="24"/>
          </w:rPr>
          <w:t>FibonacciNumber.html</w:t>
        </w:r>
        <w:proofErr w:type="spellEnd"/>
      </w:hyperlink>
    </w:p>
    <w:p w14:paraId="4B0CAF13" w14:textId="77777777" w:rsidR="00D32629" w:rsidRPr="00DB480B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 xml:space="preserve">Levin, O. (2020). </w:t>
      </w:r>
      <w:r w:rsidRPr="00DB480B">
        <w:rPr>
          <w:rFonts w:ascii="Arial" w:eastAsia="Arial" w:hAnsi="Arial" w:cs="Arial"/>
          <w:i/>
          <w:sz w:val="24"/>
          <w:szCs w:val="24"/>
        </w:rPr>
        <w:t>Discrete Mathematics: An Open Introduction</w:t>
      </w:r>
      <w:r w:rsidRPr="00DB480B">
        <w:rPr>
          <w:rFonts w:ascii="Arial" w:eastAsia="Arial" w:hAnsi="Arial" w:cs="Arial"/>
          <w:sz w:val="24"/>
          <w:szCs w:val="24"/>
        </w:rPr>
        <w:t>.</w:t>
      </w:r>
    </w:p>
    <w:p w14:paraId="40A55421" w14:textId="77777777" w:rsidR="00D32629" w:rsidRPr="00DB480B" w:rsidRDefault="000E3D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hyperlink r:id="rId11">
        <w:r w:rsidR="00EA312F" w:rsidRPr="00DB480B">
          <w:rPr>
            <w:rFonts w:ascii="Arial" w:eastAsia="Arial" w:hAnsi="Arial" w:cs="Arial"/>
            <w:sz w:val="24"/>
            <w:szCs w:val="24"/>
          </w:rPr>
          <w:t>http://</w:t>
        </w:r>
        <w:proofErr w:type="spellStart"/>
        <w:r w:rsidR="00EA312F" w:rsidRPr="00DB480B">
          <w:rPr>
            <w:rFonts w:ascii="Arial" w:eastAsia="Arial" w:hAnsi="Arial" w:cs="Arial"/>
            <w:sz w:val="24"/>
            <w:szCs w:val="24"/>
          </w:rPr>
          <w:t>discrete.openmathbooks.org</w:t>
        </w:r>
        <w:proofErr w:type="spellEnd"/>
        <w:r w:rsidR="00EA312F" w:rsidRPr="00DB480B">
          <w:rPr>
            <w:rFonts w:ascii="Arial" w:eastAsia="Arial" w:hAnsi="Arial" w:cs="Arial"/>
            <w:sz w:val="24"/>
            <w:szCs w:val="24"/>
          </w:rPr>
          <w:t>/</w:t>
        </w:r>
        <w:proofErr w:type="spellStart"/>
        <w:r w:rsidR="00EA312F" w:rsidRPr="00DB480B">
          <w:rPr>
            <w:rFonts w:ascii="Arial" w:eastAsia="Arial" w:hAnsi="Arial" w:cs="Arial"/>
            <w:sz w:val="24"/>
            <w:szCs w:val="24"/>
          </w:rPr>
          <w:t>dmoi3</w:t>
        </w:r>
        <w:proofErr w:type="spellEnd"/>
        <w:r w:rsidR="00EA312F" w:rsidRPr="00DB480B">
          <w:rPr>
            <w:rFonts w:ascii="Arial" w:eastAsia="Arial" w:hAnsi="Arial" w:cs="Arial"/>
            <w:sz w:val="24"/>
            <w:szCs w:val="24"/>
          </w:rPr>
          <w:t>/</w:t>
        </w:r>
        <w:proofErr w:type="spellStart"/>
        <w:r w:rsidR="00EA312F" w:rsidRPr="00DB480B">
          <w:rPr>
            <w:rFonts w:ascii="Arial" w:eastAsia="Arial" w:hAnsi="Arial" w:cs="Arial"/>
            <w:sz w:val="24"/>
            <w:szCs w:val="24"/>
          </w:rPr>
          <w:t>frontmatter.html</w:t>
        </w:r>
        <w:proofErr w:type="spellEnd"/>
      </w:hyperlink>
    </w:p>
    <w:p w14:paraId="21994E55" w14:textId="77777777" w:rsidR="00D32629" w:rsidRPr="00DB480B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DB480B">
        <w:rPr>
          <w:rFonts w:ascii="Arial" w:eastAsia="Arial" w:hAnsi="Arial" w:cs="Arial"/>
          <w:sz w:val="24"/>
          <w:szCs w:val="24"/>
        </w:rPr>
        <w:t>Stakhov</w:t>
      </w:r>
      <w:proofErr w:type="spellEnd"/>
      <w:r w:rsidRPr="00DB480B">
        <w:rPr>
          <w:rFonts w:ascii="Arial" w:eastAsia="Arial" w:hAnsi="Arial" w:cs="Arial"/>
          <w:sz w:val="24"/>
          <w:szCs w:val="24"/>
        </w:rPr>
        <w:t xml:space="preserve">, A. (1998). The Golden Section and Modern Harmony Mathematics. In </w:t>
      </w:r>
      <w:proofErr w:type="spellStart"/>
      <w:r w:rsidRPr="00DB480B">
        <w:rPr>
          <w:rFonts w:ascii="Arial" w:eastAsia="Arial" w:hAnsi="Arial" w:cs="Arial"/>
          <w:sz w:val="24"/>
          <w:szCs w:val="24"/>
        </w:rPr>
        <w:t>Bergum</w:t>
      </w:r>
      <w:proofErr w:type="spellEnd"/>
    </w:p>
    <w:p w14:paraId="115ECC47" w14:textId="77777777" w:rsidR="00D32629" w:rsidRPr="00DB480B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i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 xml:space="preserve">G. E., </w:t>
      </w:r>
      <w:proofErr w:type="spellStart"/>
      <w:r w:rsidRPr="00DB480B">
        <w:rPr>
          <w:rFonts w:ascii="Arial" w:eastAsia="Arial" w:hAnsi="Arial" w:cs="Arial"/>
          <w:sz w:val="24"/>
          <w:szCs w:val="24"/>
        </w:rPr>
        <w:t>Philippou</w:t>
      </w:r>
      <w:proofErr w:type="spellEnd"/>
      <w:r w:rsidRPr="00DB480B">
        <w:rPr>
          <w:rFonts w:ascii="Arial" w:eastAsia="Arial" w:hAnsi="Arial" w:cs="Arial"/>
          <w:sz w:val="24"/>
          <w:szCs w:val="24"/>
        </w:rPr>
        <w:t xml:space="preserve">, A. N., &amp; </w:t>
      </w:r>
      <w:proofErr w:type="spellStart"/>
      <w:r w:rsidRPr="00DB480B">
        <w:rPr>
          <w:rFonts w:ascii="Arial" w:eastAsia="Arial" w:hAnsi="Arial" w:cs="Arial"/>
          <w:sz w:val="24"/>
          <w:szCs w:val="24"/>
        </w:rPr>
        <w:t>Horadam</w:t>
      </w:r>
      <w:proofErr w:type="spellEnd"/>
      <w:r w:rsidRPr="00DB480B">
        <w:rPr>
          <w:rFonts w:ascii="Arial" w:eastAsia="Arial" w:hAnsi="Arial" w:cs="Arial"/>
          <w:sz w:val="24"/>
          <w:szCs w:val="24"/>
        </w:rPr>
        <w:t xml:space="preserve">, A. F. (Eds.), </w:t>
      </w:r>
      <w:r w:rsidRPr="00DB480B">
        <w:rPr>
          <w:rFonts w:ascii="Arial" w:eastAsia="Arial" w:hAnsi="Arial" w:cs="Arial"/>
          <w:i/>
          <w:sz w:val="24"/>
          <w:szCs w:val="24"/>
        </w:rPr>
        <w:t>Applications of Fibonacci</w:t>
      </w:r>
    </w:p>
    <w:p w14:paraId="7CCF7883" w14:textId="60898D4E" w:rsidR="00D32629" w:rsidRPr="00DB480B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i/>
          <w:sz w:val="24"/>
          <w:szCs w:val="24"/>
        </w:rPr>
        <w:t>Numbers</w:t>
      </w:r>
      <w:r w:rsidRPr="00DB480B">
        <w:rPr>
          <w:rFonts w:ascii="Arial" w:eastAsia="Arial" w:hAnsi="Arial" w:cs="Arial"/>
          <w:sz w:val="24"/>
          <w:szCs w:val="24"/>
        </w:rPr>
        <w:t xml:space="preserve">. Springer, Dordrecht. </w:t>
      </w:r>
      <w:hyperlink r:id="rId12">
        <w:r w:rsidRPr="00DB480B">
          <w:rPr>
            <w:rFonts w:ascii="Arial" w:eastAsia="Arial" w:hAnsi="Arial" w:cs="Arial"/>
            <w:sz w:val="24"/>
            <w:szCs w:val="24"/>
          </w:rPr>
          <w:t>https://</w:t>
        </w:r>
        <w:proofErr w:type="spellStart"/>
        <w:r w:rsidRPr="00DB480B">
          <w:rPr>
            <w:rFonts w:ascii="Arial" w:eastAsia="Arial" w:hAnsi="Arial" w:cs="Arial"/>
            <w:sz w:val="24"/>
            <w:szCs w:val="24"/>
          </w:rPr>
          <w:t>doi.org</w:t>
        </w:r>
        <w:proofErr w:type="spellEnd"/>
        <w:r w:rsidRPr="00DB480B">
          <w:rPr>
            <w:rFonts w:ascii="Arial" w:eastAsia="Arial" w:hAnsi="Arial" w:cs="Arial"/>
            <w:sz w:val="24"/>
            <w:szCs w:val="24"/>
          </w:rPr>
          <w:t>/10.1007/978-94-011-5020-0_43</w:t>
        </w:r>
      </w:hyperlink>
    </w:p>
    <w:p w14:paraId="79622D10" w14:textId="7520CCBD" w:rsidR="00935DFF" w:rsidRPr="00DB480B" w:rsidRDefault="00935DFF" w:rsidP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 xml:space="preserve">The Fibonacci Association (n.d.). </w:t>
      </w:r>
      <w:r w:rsidRPr="00DB480B">
        <w:rPr>
          <w:rFonts w:ascii="Arial" w:eastAsia="Arial" w:hAnsi="Arial" w:cs="Arial"/>
          <w:i/>
          <w:sz w:val="24"/>
          <w:szCs w:val="24"/>
        </w:rPr>
        <w:t>Official Website</w:t>
      </w:r>
      <w:r w:rsidRPr="00DB480B">
        <w:rPr>
          <w:rFonts w:ascii="Arial" w:eastAsia="Arial" w:hAnsi="Arial" w:cs="Arial"/>
          <w:sz w:val="24"/>
          <w:szCs w:val="24"/>
        </w:rPr>
        <w:t>. The Fibonacci Association. Retrieved</w:t>
      </w:r>
    </w:p>
    <w:p w14:paraId="4667AE3B" w14:textId="4A8AC9B0" w:rsidR="00935DFF" w:rsidRPr="00DB480B" w:rsidRDefault="00935DFF" w:rsidP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DB480B">
        <w:rPr>
          <w:rFonts w:ascii="Arial" w:eastAsia="Arial" w:hAnsi="Arial" w:cs="Arial"/>
          <w:sz w:val="24"/>
          <w:szCs w:val="24"/>
        </w:rPr>
        <w:t xml:space="preserve">January 3, 2021 from </w:t>
      </w:r>
      <w:hyperlink r:id="rId13" w:history="1">
        <w:r w:rsidRPr="00DB48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</w:t>
        </w:r>
        <w:proofErr w:type="spellStart"/>
        <w:r w:rsidRPr="00DB48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www.mathstat.dal.ca</w:t>
        </w:r>
        <w:proofErr w:type="spellEnd"/>
        <w:r w:rsidRPr="00DB48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/</w:t>
        </w:r>
        <w:proofErr w:type="spellStart"/>
        <w:r w:rsidRPr="00DB48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fibonacci</w:t>
        </w:r>
        <w:proofErr w:type="spellEnd"/>
      </w:hyperlink>
      <w:r w:rsidRPr="00DB480B">
        <w:rPr>
          <w:rFonts w:ascii="Arial" w:hAnsi="Arial" w:cs="Arial"/>
          <w:sz w:val="24"/>
          <w:szCs w:val="24"/>
        </w:rPr>
        <w:t xml:space="preserve"> </w:t>
      </w:r>
    </w:p>
    <w:p w14:paraId="17FED875" w14:textId="2195F95A" w:rsidR="00935DFF" w:rsidRDefault="00935DFF" w:rsidP="00935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</w:pPr>
    </w:p>
    <w:sectPr w:rsidR="00935DF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BC892" w14:textId="77777777" w:rsidR="000E3DED" w:rsidRDefault="000E3DED">
      <w:pPr>
        <w:spacing w:after="0" w:line="240" w:lineRule="auto"/>
      </w:pPr>
      <w:r>
        <w:separator/>
      </w:r>
    </w:p>
  </w:endnote>
  <w:endnote w:type="continuationSeparator" w:id="0">
    <w:p w14:paraId="60299045" w14:textId="77777777" w:rsidR="000E3DED" w:rsidRDefault="000E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287AB" w14:textId="77777777" w:rsidR="000E3DED" w:rsidRDefault="000E3DED">
      <w:pPr>
        <w:spacing w:after="0" w:line="240" w:lineRule="auto"/>
      </w:pPr>
      <w:r>
        <w:separator/>
      </w:r>
    </w:p>
  </w:footnote>
  <w:footnote w:type="continuationSeparator" w:id="0">
    <w:p w14:paraId="3F74A327" w14:textId="77777777" w:rsidR="000E3DED" w:rsidRDefault="000E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E0E0" w14:textId="77777777" w:rsidR="00D32629" w:rsidRDefault="00EA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3B2">
      <w:rPr>
        <w:noProof/>
        <w:color w:val="000000"/>
      </w:rPr>
      <w:t>1</w:t>
    </w:r>
    <w:r>
      <w:rPr>
        <w:color w:val="000000"/>
      </w:rPr>
      <w:fldChar w:fldCharType="end"/>
    </w:r>
  </w:p>
  <w:p w14:paraId="0ABFB736" w14:textId="77777777" w:rsidR="00D32629" w:rsidRDefault="00D32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29"/>
    <w:rsid w:val="000E3DED"/>
    <w:rsid w:val="0021325E"/>
    <w:rsid w:val="00264860"/>
    <w:rsid w:val="003177C7"/>
    <w:rsid w:val="004122C5"/>
    <w:rsid w:val="004F0C43"/>
    <w:rsid w:val="005F1457"/>
    <w:rsid w:val="006A1627"/>
    <w:rsid w:val="00833748"/>
    <w:rsid w:val="00935DFF"/>
    <w:rsid w:val="009B7E3D"/>
    <w:rsid w:val="00A87311"/>
    <w:rsid w:val="00AE6C71"/>
    <w:rsid w:val="00B1331F"/>
    <w:rsid w:val="00B463B2"/>
    <w:rsid w:val="00B64E21"/>
    <w:rsid w:val="00BC0068"/>
    <w:rsid w:val="00D32629"/>
    <w:rsid w:val="00D33E76"/>
    <w:rsid w:val="00DB480B"/>
    <w:rsid w:val="00E62788"/>
    <w:rsid w:val="00E64384"/>
    <w:rsid w:val="00EA312F"/>
    <w:rsid w:val="00F64317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7D2"/>
  <w15:docId w15:val="{B8916E1F-15BF-441D-AFD1-3FCD65E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55"/>
  </w:style>
  <w:style w:type="paragraph" w:styleId="Footer">
    <w:name w:val="footer"/>
    <w:basedOn w:val="Normal"/>
    <w:link w:val="Foot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55"/>
  </w:style>
  <w:style w:type="paragraph" w:styleId="NormalWeb">
    <w:name w:val="Normal (Web)"/>
    <w:basedOn w:val="Normal"/>
    <w:uiPriority w:val="99"/>
    <w:unhideWhenUsed/>
    <w:rsid w:val="001B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7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7C13"/>
    <w:rPr>
      <w:color w:val="808080"/>
    </w:rPr>
  </w:style>
  <w:style w:type="character" w:customStyle="1" w:styleId="u-small-caps">
    <w:name w:val="u-small-caps"/>
    <w:basedOn w:val="DefaultParagraphFont"/>
    <w:rsid w:val="007F12A6"/>
  </w:style>
  <w:style w:type="character" w:styleId="Emphasis">
    <w:name w:val="Emphasis"/>
    <w:basedOn w:val="DefaultParagraphFont"/>
    <w:uiPriority w:val="20"/>
    <w:qFormat/>
    <w:rsid w:val="00B633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335F"/>
    <w:rPr>
      <w:color w:val="954F72" w:themeColor="followedHyperlink"/>
      <w:u w:val="single"/>
    </w:rPr>
  </w:style>
  <w:style w:type="character" w:customStyle="1" w:styleId="ek-underline">
    <w:name w:val="ek-underline"/>
    <w:basedOn w:val="DefaultParagraphFont"/>
    <w:rsid w:val="00D572B7"/>
  </w:style>
  <w:style w:type="character" w:styleId="HTMLDefinition">
    <w:name w:val="HTML Definition"/>
    <w:basedOn w:val="DefaultParagraphFont"/>
    <w:uiPriority w:val="99"/>
    <w:semiHidden/>
    <w:unhideWhenUsed/>
    <w:rsid w:val="00575387"/>
    <w:rPr>
      <w:i/>
      <w:iCs/>
    </w:rPr>
  </w:style>
  <w:style w:type="character" w:customStyle="1" w:styleId="mjx-char">
    <w:name w:val="mjx-char"/>
    <w:basedOn w:val="DefaultParagraphFont"/>
    <w:rsid w:val="00575387"/>
  </w:style>
  <w:style w:type="character" w:customStyle="1" w:styleId="mjxassistivemathml">
    <w:name w:val="mjx_assistive_mathml"/>
    <w:basedOn w:val="DefaultParagraphFont"/>
    <w:rsid w:val="00575387"/>
  </w:style>
  <w:style w:type="character" w:customStyle="1" w:styleId="mjx-charbox">
    <w:name w:val="mjx-charbox"/>
    <w:basedOn w:val="DefaultParagraphFont"/>
    <w:rsid w:val="0057538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landdesign.com/insights/the-nature-of-design-the-fibonacci-sequence-and-the-golden-ratio" TargetMode="External"/><Relationship Id="rId13" Type="http://schemas.openxmlformats.org/officeDocument/2006/relationships/hyperlink" Target="https://www.mathstat.dal.ca/fibonac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i.org/10.1007/978-94-011-5020-0_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iscrete.openmathbooks.org/dmoi3/frontmatt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athworld.wolfram.com/FibonacciNumb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7eFSCfjTxVUM2NyVFVqTWi8lQ==">AMUW2mWTbYNVnaJOzl5qYSfDEVpopwcr0fEh8UW9z2hvMw074BmLzQ4cpv5dwcsJuNobTxrBjiyZY4eY8i41lNRbKbkZLtRVtrSlv548FEpiYFwnl5Ac0ca/NLkSkkjie00+dpWnymoWG9KJv3vb34mW+ZgGzGbyrDw97ga8cqpsC9WuLbi2USo=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Pease</dc:creator>
  <cp:lastModifiedBy>Lewis Pease</cp:lastModifiedBy>
  <cp:revision>20</cp:revision>
  <dcterms:created xsi:type="dcterms:W3CDTF">2021-01-03T20:53:00Z</dcterms:created>
  <dcterms:modified xsi:type="dcterms:W3CDTF">2021-01-03T21:42:00Z</dcterms:modified>
</cp:coreProperties>
</file>