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CDF0" w14:textId="66C555FB" w:rsidR="00530F13" w:rsidRDefault="00842249"/>
    <w:p w14:paraId="3B80758C" w14:textId="4A2A3CE6" w:rsidR="003E3264" w:rsidRDefault="003E3264"/>
    <w:p w14:paraId="516F1081" w14:textId="43421801" w:rsidR="003E3264" w:rsidRDefault="003E3264"/>
    <w:p w14:paraId="599FAFBC" w14:textId="77777777" w:rsidR="003E3264" w:rsidRDefault="003E3264"/>
    <w:p w14:paraId="64F1D40E" w14:textId="77777777" w:rsidR="003E3264" w:rsidRDefault="003E3264" w:rsidP="003E3264">
      <w:pPr>
        <w:pStyle w:val="NormalWeb"/>
        <w:shd w:val="clear" w:color="auto" w:fill="FFFFFF"/>
        <w:spacing w:before="180" w:beforeAutospacing="0" w:after="0" w:afterAutospacing="0" w:line="480" w:lineRule="auto"/>
        <w:jc w:val="center"/>
        <w:rPr>
          <w:rFonts w:ascii="Arial" w:hAnsi="Arial" w:cs="Arial"/>
          <w:b/>
          <w:bCs/>
          <w:color w:val="343A3F"/>
        </w:rPr>
      </w:pPr>
    </w:p>
    <w:p w14:paraId="7B48D3B2" w14:textId="450FA0A8" w:rsidR="003E3264" w:rsidRDefault="003E3264" w:rsidP="003E3264">
      <w:pPr>
        <w:pStyle w:val="NormalWeb"/>
        <w:shd w:val="clear" w:color="auto" w:fill="FFFFFF"/>
        <w:spacing w:before="180" w:beforeAutospacing="0" w:after="0" w:afterAutospacing="0" w:line="480" w:lineRule="auto"/>
        <w:jc w:val="center"/>
        <w:rPr>
          <w:rFonts w:ascii="Arial" w:hAnsi="Arial" w:cs="Arial"/>
          <w:b/>
          <w:bCs/>
          <w:color w:val="343A3F"/>
        </w:rPr>
      </w:pPr>
      <w:r>
        <w:rPr>
          <w:rFonts w:ascii="Arial" w:hAnsi="Arial" w:cs="Arial"/>
          <w:b/>
          <w:bCs/>
          <w:color w:val="343A3F"/>
        </w:rPr>
        <w:t>Tractor Sales</w:t>
      </w:r>
    </w:p>
    <w:p w14:paraId="33EE3DB0" w14:textId="77777777" w:rsidR="003E3264" w:rsidRDefault="003E3264" w:rsidP="003E3264">
      <w:pPr>
        <w:pStyle w:val="NormalWeb"/>
        <w:shd w:val="clear" w:color="auto" w:fill="FFFFFF"/>
        <w:spacing w:before="180" w:beforeAutospacing="0" w:after="0" w:afterAutospacing="0" w:line="480" w:lineRule="auto"/>
        <w:jc w:val="center"/>
      </w:pPr>
    </w:p>
    <w:p w14:paraId="55C163AD" w14:textId="77777777" w:rsidR="003E3264" w:rsidRDefault="003E3264" w:rsidP="003E3264">
      <w:pPr>
        <w:pStyle w:val="NormalWeb"/>
        <w:shd w:val="clear" w:color="auto" w:fill="FFFFFF"/>
        <w:spacing w:before="0" w:beforeAutospacing="0" w:after="0" w:afterAutospacing="0" w:line="480" w:lineRule="auto"/>
        <w:jc w:val="center"/>
      </w:pPr>
      <w:r>
        <w:rPr>
          <w:rFonts w:ascii="Arial" w:hAnsi="Arial" w:cs="Arial"/>
          <w:color w:val="343A3F"/>
        </w:rPr>
        <w:t>Lauren Alexandra</w:t>
      </w:r>
    </w:p>
    <w:p w14:paraId="7719BC69" w14:textId="77777777" w:rsidR="003E3264" w:rsidRDefault="003E3264" w:rsidP="003E3264">
      <w:pPr>
        <w:pStyle w:val="NormalWeb"/>
        <w:shd w:val="clear" w:color="auto" w:fill="FFFFFF"/>
        <w:spacing w:before="0" w:beforeAutospacing="0" w:after="0" w:afterAutospacing="0" w:line="480" w:lineRule="auto"/>
        <w:jc w:val="center"/>
      </w:pPr>
      <w:r>
        <w:rPr>
          <w:rFonts w:ascii="Arial" w:hAnsi="Arial" w:cs="Arial"/>
          <w:color w:val="343A3F"/>
        </w:rPr>
        <w:t>Colorado State University Global</w:t>
      </w:r>
    </w:p>
    <w:p w14:paraId="315DFCCF" w14:textId="77777777" w:rsidR="003E3264" w:rsidRDefault="003E3264" w:rsidP="003E3264">
      <w:pPr>
        <w:pStyle w:val="NormalWeb"/>
        <w:shd w:val="clear" w:color="auto" w:fill="FFFFFF"/>
        <w:spacing w:before="0" w:beforeAutospacing="0" w:after="0" w:afterAutospacing="0" w:line="480" w:lineRule="auto"/>
        <w:jc w:val="center"/>
      </w:pPr>
      <w:r>
        <w:rPr>
          <w:rFonts w:ascii="Arial" w:hAnsi="Arial" w:cs="Arial"/>
          <w:color w:val="343A3F"/>
        </w:rPr>
        <w:t>MTH 410: Quantitative Business Analysis</w:t>
      </w:r>
    </w:p>
    <w:p w14:paraId="7DB863FE" w14:textId="77777777" w:rsidR="003E3264" w:rsidRDefault="003E3264" w:rsidP="003E3264">
      <w:pPr>
        <w:pStyle w:val="NormalWeb"/>
        <w:shd w:val="clear" w:color="auto" w:fill="FFFFFF"/>
        <w:spacing w:before="0" w:beforeAutospacing="0" w:after="0" w:afterAutospacing="0" w:line="480" w:lineRule="auto"/>
        <w:jc w:val="center"/>
      </w:pPr>
      <w:r>
        <w:rPr>
          <w:rFonts w:ascii="Arial" w:hAnsi="Arial" w:cs="Arial"/>
          <w:color w:val="343A3F"/>
        </w:rPr>
        <w:t xml:space="preserve">Dr. </w:t>
      </w:r>
      <w:proofErr w:type="spellStart"/>
      <w:r>
        <w:rPr>
          <w:rFonts w:ascii="Arial" w:hAnsi="Arial" w:cs="Arial"/>
          <w:color w:val="343A3F"/>
        </w:rPr>
        <w:t>Leslieann</w:t>
      </w:r>
      <w:proofErr w:type="spellEnd"/>
      <w:r>
        <w:rPr>
          <w:rFonts w:ascii="Arial" w:hAnsi="Arial" w:cs="Arial"/>
          <w:color w:val="343A3F"/>
        </w:rPr>
        <w:t xml:space="preserve"> Humphreys</w:t>
      </w:r>
    </w:p>
    <w:p w14:paraId="25E0FC77" w14:textId="3B5866A2" w:rsidR="003E3264" w:rsidRDefault="003E3264" w:rsidP="003E3264">
      <w:pPr>
        <w:pStyle w:val="NormalWeb"/>
        <w:shd w:val="clear" w:color="auto" w:fill="FFFFFF"/>
        <w:spacing w:before="0" w:beforeAutospacing="0" w:after="180" w:afterAutospacing="0" w:line="480" w:lineRule="auto"/>
        <w:jc w:val="center"/>
      </w:pPr>
      <w:r>
        <w:rPr>
          <w:rFonts w:ascii="Arial" w:hAnsi="Arial" w:cs="Arial"/>
          <w:color w:val="343A3F"/>
        </w:rPr>
        <w:t>November 7, 2020</w:t>
      </w:r>
    </w:p>
    <w:p w14:paraId="1ED20CFC" w14:textId="77777777" w:rsidR="003E3264" w:rsidRDefault="003E3264"/>
    <w:p w14:paraId="2C1A3539" w14:textId="0478A04E" w:rsidR="003E3264" w:rsidRDefault="003E3264"/>
    <w:p w14:paraId="22AA8696" w14:textId="02F9EF74" w:rsidR="003E3264" w:rsidRDefault="003E3264"/>
    <w:p w14:paraId="4963E924" w14:textId="18F3E62C" w:rsidR="003E3264" w:rsidRDefault="003E3264"/>
    <w:p w14:paraId="5FD1D32A" w14:textId="0F9EE068" w:rsidR="003E3264" w:rsidRDefault="003E3264"/>
    <w:p w14:paraId="5D13A9B5" w14:textId="566259DF" w:rsidR="003E3264" w:rsidRDefault="003E3264"/>
    <w:p w14:paraId="161EA70A" w14:textId="30FAFB1B" w:rsidR="003E3264" w:rsidRDefault="003E3264"/>
    <w:p w14:paraId="278017CC" w14:textId="781DB08B" w:rsidR="003E3264" w:rsidRDefault="003E3264"/>
    <w:p w14:paraId="260AB09F" w14:textId="03267B70" w:rsidR="003E3264" w:rsidRDefault="003E3264"/>
    <w:p w14:paraId="765A2996" w14:textId="7BFA5EA5" w:rsidR="003E3264" w:rsidRDefault="003E3264"/>
    <w:p w14:paraId="4F0DDA26" w14:textId="6176C788" w:rsidR="003E3264" w:rsidRDefault="003E3264"/>
    <w:p w14:paraId="24D1A38B" w14:textId="197BDDFF" w:rsidR="003E3264" w:rsidRDefault="003E3264"/>
    <w:p w14:paraId="40003297" w14:textId="62A1921C" w:rsidR="003E3264" w:rsidRDefault="003E3264"/>
    <w:p w14:paraId="6B6F3268" w14:textId="23EDB1C0" w:rsidR="003E3264" w:rsidRDefault="003E3264"/>
    <w:p w14:paraId="70C8D0DD" w14:textId="63019E60" w:rsidR="003E3264" w:rsidRDefault="003E3264"/>
    <w:p w14:paraId="07993FBA" w14:textId="7BE88403" w:rsidR="003E3264" w:rsidRPr="003E3264" w:rsidRDefault="003E3264" w:rsidP="003E3264">
      <w:pPr>
        <w:shd w:val="clear" w:color="auto" w:fill="FFFFFF"/>
        <w:spacing w:before="180" w:after="0" w:line="480" w:lineRule="auto"/>
        <w:jc w:val="center"/>
        <w:rPr>
          <w:rFonts w:ascii="Arial" w:eastAsia="Times New Roman" w:hAnsi="Arial" w:cs="Arial"/>
          <w:b/>
          <w:bCs/>
          <w:color w:val="343A3F"/>
          <w:sz w:val="24"/>
          <w:szCs w:val="24"/>
        </w:rPr>
      </w:pPr>
      <w:r w:rsidRPr="003E3264">
        <w:rPr>
          <w:rFonts w:ascii="Arial" w:eastAsia="Times New Roman" w:hAnsi="Arial" w:cs="Arial"/>
          <w:b/>
          <w:bCs/>
          <w:color w:val="343A3F"/>
          <w:sz w:val="24"/>
          <w:szCs w:val="24"/>
        </w:rPr>
        <w:t>Introduction</w:t>
      </w:r>
    </w:p>
    <w:p w14:paraId="1E08755B" w14:textId="2D0D82D4" w:rsidR="003E3264" w:rsidRDefault="003E3264" w:rsidP="003E3264">
      <w:pPr>
        <w:shd w:val="clear" w:color="auto" w:fill="FFFFFF"/>
        <w:spacing w:after="0" w:line="480" w:lineRule="auto"/>
        <w:ind w:firstLine="720"/>
        <w:rPr>
          <w:rFonts w:ascii="Arial" w:eastAsia="Times New Roman" w:hAnsi="Arial" w:cs="Arial"/>
          <w:color w:val="343A3F"/>
          <w:sz w:val="24"/>
          <w:szCs w:val="24"/>
        </w:rPr>
      </w:pPr>
      <w:r w:rsidRPr="003E3264">
        <w:rPr>
          <w:rFonts w:ascii="Arial" w:eastAsia="Times New Roman" w:hAnsi="Arial" w:cs="Arial"/>
          <w:color w:val="343A3F"/>
          <w:sz w:val="24"/>
          <w:szCs w:val="24"/>
        </w:rPr>
        <w:t xml:space="preserve">International Tractor Motors </w:t>
      </w:r>
      <w:r w:rsidR="00630A89">
        <w:rPr>
          <w:rFonts w:ascii="Arial" w:eastAsia="Times New Roman" w:hAnsi="Arial" w:cs="Arial"/>
          <w:color w:val="343A3F"/>
          <w:sz w:val="24"/>
          <w:szCs w:val="24"/>
        </w:rPr>
        <w:t>(</w:t>
      </w:r>
      <w:proofErr w:type="spellStart"/>
      <w:r w:rsidRPr="003E3264">
        <w:rPr>
          <w:rFonts w:ascii="Arial" w:eastAsia="Times New Roman" w:hAnsi="Arial" w:cs="Arial"/>
          <w:color w:val="343A3F"/>
          <w:sz w:val="24"/>
          <w:szCs w:val="24"/>
        </w:rPr>
        <w:t>ITM</w:t>
      </w:r>
      <w:proofErr w:type="spellEnd"/>
      <w:r w:rsidR="00630A89">
        <w:rPr>
          <w:rFonts w:ascii="Arial" w:eastAsia="Times New Roman" w:hAnsi="Arial" w:cs="Arial"/>
          <w:color w:val="343A3F"/>
          <w:sz w:val="24"/>
          <w:szCs w:val="24"/>
        </w:rPr>
        <w:t>)</w:t>
      </w:r>
      <w:r w:rsidRPr="003E3264">
        <w:rPr>
          <w:rFonts w:ascii="Arial" w:eastAsia="Times New Roman" w:hAnsi="Arial" w:cs="Arial"/>
          <w:color w:val="343A3F"/>
          <w:sz w:val="24"/>
          <w:szCs w:val="24"/>
        </w:rPr>
        <w:t xml:space="preserve"> launched a campaign to sell an IT-8 large specialty tractor in a country in Asia. </w:t>
      </w:r>
      <w:proofErr w:type="spellStart"/>
      <w:r w:rsidRPr="003E3264">
        <w:rPr>
          <w:rFonts w:ascii="Arial" w:eastAsia="Times New Roman" w:hAnsi="Arial" w:cs="Arial"/>
          <w:color w:val="343A3F"/>
          <w:sz w:val="24"/>
          <w:szCs w:val="24"/>
        </w:rPr>
        <w:t>ITM</w:t>
      </w:r>
      <w:proofErr w:type="spellEnd"/>
      <w:r w:rsidRPr="003E3264">
        <w:rPr>
          <w:rFonts w:ascii="Arial" w:eastAsia="Times New Roman" w:hAnsi="Arial" w:cs="Arial"/>
          <w:color w:val="343A3F"/>
          <w:sz w:val="24"/>
          <w:szCs w:val="24"/>
        </w:rPr>
        <w:t xml:space="preserve"> instructed 4 sales associates to sell the tractor across the country, with one associate assigned to each segment (East, West, North, and South). Regulations permitted an associate to only sell one tractor per day. The success or failure of an associate was indicated by a daily sale. For </w:t>
      </w:r>
      <w:proofErr w:type="spellStart"/>
      <w:r w:rsidRPr="003E3264">
        <w:rPr>
          <w:rFonts w:ascii="Arial" w:eastAsia="Times New Roman" w:hAnsi="Arial" w:cs="Arial"/>
          <w:color w:val="343A3F"/>
          <w:sz w:val="24"/>
          <w:szCs w:val="24"/>
        </w:rPr>
        <w:t>ITM</w:t>
      </w:r>
      <w:proofErr w:type="spellEnd"/>
      <w:r w:rsidRPr="003E3264">
        <w:rPr>
          <w:rFonts w:ascii="Arial" w:eastAsia="Times New Roman" w:hAnsi="Arial" w:cs="Arial"/>
          <w:color w:val="343A3F"/>
          <w:sz w:val="24"/>
          <w:szCs w:val="24"/>
        </w:rPr>
        <w:t xml:space="preserve"> this meant the company achieved success with its associates if they sold 4 tractors total each day. </w:t>
      </w:r>
    </w:p>
    <w:p w14:paraId="7A60C273" w14:textId="77777777" w:rsidR="005321F5" w:rsidRPr="003E3264" w:rsidRDefault="005321F5" w:rsidP="003E3264">
      <w:pPr>
        <w:shd w:val="clear" w:color="auto" w:fill="FFFFFF"/>
        <w:spacing w:after="0" w:line="480" w:lineRule="auto"/>
        <w:ind w:firstLine="720"/>
        <w:rPr>
          <w:rFonts w:ascii="Arial" w:eastAsia="Times New Roman" w:hAnsi="Arial" w:cs="Arial"/>
          <w:color w:val="343A3F"/>
          <w:sz w:val="24"/>
          <w:szCs w:val="24"/>
        </w:rPr>
      </w:pPr>
    </w:p>
    <w:p w14:paraId="1959C8B5" w14:textId="221D748E" w:rsidR="003E3264" w:rsidRPr="003E3264" w:rsidRDefault="003E3264" w:rsidP="003E3264">
      <w:pPr>
        <w:shd w:val="clear" w:color="auto" w:fill="FFFFFF"/>
        <w:spacing w:after="0" w:line="480" w:lineRule="auto"/>
        <w:jc w:val="center"/>
        <w:rPr>
          <w:rFonts w:ascii="Arial" w:eastAsia="Times New Roman" w:hAnsi="Arial" w:cs="Arial"/>
          <w:b/>
          <w:bCs/>
          <w:color w:val="343A3F"/>
          <w:sz w:val="24"/>
          <w:szCs w:val="24"/>
        </w:rPr>
      </w:pPr>
      <w:r w:rsidRPr="003E3264">
        <w:rPr>
          <w:rFonts w:ascii="Arial" w:eastAsia="Times New Roman" w:hAnsi="Arial" w:cs="Arial"/>
          <w:b/>
          <w:bCs/>
          <w:color w:val="343A3F"/>
          <w:sz w:val="24"/>
          <w:szCs w:val="24"/>
        </w:rPr>
        <w:t>Number of Successes</w:t>
      </w:r>
    </w:p>
    <w:p w14:paraId="3E2ADFA9" w14:textId="6D10A1E5" w:rsidR="003E3264" w:rsidRDefault="003E3264" w:rsidP="003E3264">
      <w:pPr>
        <w:shd w:val="clear" w:color="auto" w:fill="FFFFFF"/>
        <w:spacing w:after="0" w:line="480" w:lineRule="auto"/>
        <w:ind w:firstLine="720"/>
        <w:rPr>
          <w:rFonts w:ascii="Arial" w:eastAsia="Times New Roman" w:hAnsi="Arial" w:cs="Arial"/>
          <w:color w:val="343A3F"/>
          <w:sz w:val="24"/>
          <w:szCs w:val="24"/>
        </w:rPr>
      </w:pPr>
      <w:r w:rsidRPr="003E3264">
        <w:rPr>
          <w:rFonts w:ascii="Arial" w:eastAsia="Times New Roman" w:hAnsi="Arial" w:cs="Arial"/>
          <w:color w:val="343A3F"/>
          <w:sz w:val="24"/>
          <w:szCs w:val="24"/>
        </w:rPr>
        <w:t xml:space="preserve">A probability distribution shows the probability of acquiring the values that a random variable, discrete or continuous, can have. </w:t>
      </w:r>
      <w:r w:rsidR="00DE4D12">
        <w:rPr>
          <w:rFonts w:ascii="Arial" w:eastAsia="Times New Roman" w:hAnsi="Arial" w:cs="Arial"/>
          <w:color w:val="343A3F"/>
          <w:sz w:val="24"/>
          <w:szCs w:val="24"/>
        </w:rPr>
        <w:t>A</w:t>
      </w:r>
      <w:r w:rsidRPr="003E3264">
        <w:rPr>
          <w:rFonts w:ascii="Arial" w:eastAsia="Times New Roman" w:hAnsi="Arial" w:cs="Arial"/>
          <w:color w:val="343A3F"/>
          <w:sz w:val="24"/>
          <w:szCs w:val="24"/>
        </w:rPr>
        <w:t xml:space="preserve"> relative frequency distribution highlights the frequency proportion for each outcome</w:t>
      </w:r>
      <w:r w:rsidR="00064D35">
        <w:rPr>
          <w:rFonts w:ascii="Arial" w:eastAsia="Times New Roman" w:hAnsi="Arial" w:cs="Arial"/>
          <w:color w:val="343A3F"/>
          <w:sz w:val="24"/>
          <w:szCs w:val="24"/>
        </w:rPr>
        <w:t xml:space="preserve"> (</w:t>
      </w:r>
      <w:r w:rsidR="00064D35" w:rsidRPr="00064D35">
        <w:rPr>
          <w:rFonts w:ascii="Arial" w:hAnsi="Arial" w:cs="Arial"/>
          <w:color w:val="303030"/>
          <w:sz w:val="24"/>
          <w:szCs w:val="24"/>
          <w:shd w:val="clear" w:color="auto" w:fill="FFFFFF"/>
        </w:rPr>
        <w:t>Manikandan</w:t>
      </w:r>
      <w:r w:rsidR="00064D35">
        <w:rPr>
          <w:rFonts w:ascii="Arial" w:hAnsi="Arial" w:cs="Arial"/>
          <w:color w:val="303030"/>
          <w:sz w:val="24"/>
          <w:szCs w:val="24"/>
          <w:shd w:val="clear" w:color="auto" w:fill="FFFFFF"/>
        </w:rPr>
        <w:t>, 2011</w:t>
      </w:r>
      <w:r w:rsidR="00064D35">
        <w:rPr>
          <w:rFonts w:ascii="Arial" w:eastAsia="Times New Roman" w:hAnsi="Arial" w:cs="Arial"/>
          <w:color w:val="343A3F"/>
          <w:sz w:val="24"/>
          <w:szCs w:val="24"/>
        </w:rPr>
        <w:t>)</w:t>
      </w:r>
      <w:r w:rsidRPr="003E3264">
        <w:rPr>
          <w:rFonts w:ascii="Arial" w:eastAsia="Times New Roman" w:hAnsi="Arial" w:cs="Arial"/>
          <w:color w:val="343A3F"/>
          <w:sz w:val="24"/>
          <w:szCs w:val="24"/>
        </w:rPr>
        <w:t xml:space="preserve">. This distribution is a probability distribution because the probability is represented as the proportion and the random variable as the discrete outcome. The mean number of successes is </w:t>
      </w:r>
      <w:r w:rsidR="00495240">
        <w:rPr>
          <w:rFonts w:ascii="Arial" w:eastAsia="Times New Roman" w:hAnsi="Arial" w:cs="Arial"/>
          <w:color w:val="343A3F"/>
          <w:sz w:val="24"/>
          <w:szCs w:val="24"/>
        </w:rPr>
        <w:t xml:space="preserve">1.69. This indicates approximately 2 daily sales on average, occurring about 36% of the time. </w:t>
      </w:r>
    </w:p>
    <w:p w14:paraId="321FD297" w14:textId="77777777" w:rsidR="005321F5" w:rsidRPr="003E3264" w:rsidRDefault="005321F5" w:rsidP="003E3264">
      <w:pPr>
        <w:shd w:val="clear" w:color="auto" w:fill="FFFFFF"/>
        <w:spacing w:after="0" w:line="480" w:lineRule="auto"/>
        <w:ind w:firstLine="720"/>
        <w:rPr>
          <w:rFonts w:ascii="Times New Roman" w:eastAsia="Times New Roman" w:hAnsi="Times New Roman" w:cs="Times New Roman"/>
          <w:sz w:val="24"/>
          <w:szCs w:val="24"/>
        </w:rPr>
      </w:pPr>
    </w:p>
    <w:p w14:paraId="11127149" w14:textId="6C75F937" w:rsidR="003E3264" w:rsidRPr="003E3264" w:rsidRDefault="003E3264" w:rsidP="003E3264">
      <w:pPr>
        <w:shd w:val="clear" w:color="auto" w:fill="FFFFFF"/>
        <w:spacing w:after="0" w:line="480" w:lineRule="auto"/>
        <w:jc w:val="center"/>
        <w:rPr>
          <w:rFonts w:ascii="Arial" w:eastAsia="Times New Roman" w:hAnsi="Arial" w:cs="Arial"/>
          <w:b/>
          <w:bCs/>
          <w:color w:val="343A3F"/>
          <w:sz w:val="24"/>
          <w:szCs w:val="24"/>
        </w:rPr>
      </w:pPr>
      <w:r w:rsidRPr="003E3264">
        <w:rPr>
          <w:rFonts w:ascii="Arial" w:eastAsia="Times New Roman" w:hAnsi="Arial" w:cs="Arial"/>
          <w:b/>
          <w:bCs/>
          <w:color w:val="343A3F"/>
          <w:sz w:val="24"/>
          <w:szCs w:val="24"/>
        </w:rPr>
        <w:t xml:space="preserve">Binomial </w:t>
      </w:r>
      <w:r w:rsidR="00B81FF9">
        <w:rPr>
          <w:rFonts w:ascii="Arial" w:eastAsia="Times New Roman" w:hAnsi="Arial" w:cs="Arial"/>
          <w:b/>
          <w:bCs/>
          <w:color w:val="343A3F"/>
          <w:sz w:val="24"/>
          <w:szCs w:val="24"/>
        </w:rPr>
        <w:t>Experiment</w:t>
      </w:r>
    </w:p>
    <w:p w14:paraId="397B8C04" w14:textId="09DEC333" w:rsidR="00F32D3A" w:rsidRDefault="003E3264" w:rsidP="00F32D3A">
      <w:pPr>
        <w:shd w:val="clear" w:color="auto" w:fill="FFFFFF"/>
        <w:spacing w:after="0" w:line="480" w:lineRule="auto"/>
        <w:ind w:firstLine="720"/>
        <w:rPr>
          <w:rFonts w:ascii="Arial" w:hAnsi="Arial" w:cs="Arial"/>
          <w:color w:val="343A3F"/>
          <w:sz w:val="24"/>
          <w:szCs w:val="24"/>
        </w:rPr>
      </w:pPr>
      <w:r w:rsidRPr="003E3264">
        <w:rPr>
          <w:rFonts w:ascii="Arial" w:eastAsia="Times New Roman" w:hAnsi="Arial" w:cs="Arial"/>
          <w:color w:val="343A3F"/>
          <w:sz w:val="24"/>
          <w:szCs w:val="24"/>
        </w:rPr>
        <w:t xml:space="preserve">A </w:t>
      </w:r>
      <w:r w:rsidR="00BD220E" w:rsidRPr="003E3264">
        <w:rPr>
          <w:rFonts w:ascii="Arial" w:eastAsia="Times New Roman" w:hAnsi="Arial" w:cs="Arial"/>
          <w:color w:val="343A3F"/>
          <w:sz w:val="24"/>
          <w:szCs w:val="24"/>
        </w:rPr>
        <w:t>binomial distribution computes probability</w:t>
      </w:r>
      <w:r w:rsidRPr="003E3264">
        <w:rPr>
          <w:rFonts w:ascii="Arial" w:eastAsia="Times New Roman" w:hAnsi="Arial" w:cs="Arial"/>
          <w:color w:val="343A3F"/>
          <w:sz w:val="24"/>
          <w:szCs w:val="24"/>
        </w:rPr>
        <w:t xml:space="preserve"> for a binomial</w:t>
      </w:r>
      <w:r w:rsidR="00721667">
        <w:rPr>
          <w:rFonts w:ascii="Arial" w:eastAsia="Times New Roman" w:hAnsi="Arial" w:cs="Arial"/>
          <w:color w:val="343A3F"/>
          <w:sz w:val="24"/>
          <w:szCs w:val="24"/>
        </w:rPr>
        <w:t xml:space="preserve"> process</w:t>
      </w:r>
      <w:r w:rsidRPr="003E3264">
        <w:rPr>
          <w:rFonts w:ascii="Arial" w:eastAsia="Times New Roman" w:hAnsi="Arial" w:cs="Arial"/>
          <w:color w:val="343A3F"/>
          <w:sz w:val="24"/>
          <w:szCs w:val="24"/>
        </w:rPr>
        <w:t xml:space="preserve"> or</w:t>
      </w:r>
      <w:r w:rsidR="00721667">
        <w:rPr>
          <w:rFonts w:ascii="Arial" w:eastAsia="Times New Roman" w:hAnsi="Arial" w:cs="Arial"/>
          <w:color w:val="343A3F"/>
          <w:sz w:val="24"/>
          <w:szCs w:val="24"/>
        </w:rPr>
        <w:t xml:space="preserve"> a</w:t>
      </w:r>
      <w:r w:rsidRPr="003E3264">
        <w:rPr>
          <w:rFonts w:ascii="Arial" w:eastAsia="Times New Roman" w:hAnsi="Arial" w:cs="Arial"/>
          <w:color w:val="343A3F"/>
          <w:sz w:val="24"/>
          <w:szCs w:val="24"/>
        </w:rPr>
        <w:t xml:space="preserve"> Bernoulli process</w:t>
      </w:r>
      <w:r w:rsidR="00721667">
        <w:rPr>
          <w:rFonts w:ascii="Arial" w:eastAsia="Times New Roman" w:hAnsi="Arial" w:cs="Arial"/>
          <w:color w:val="343A3F"/>
          <w:sz w:val="24"/>
          <w:szCs w:val="24"/>
        </w:rPr>
        <w:t xml:space="preserve">, if there is only one trial. </w:t>
      </w:r>
      <w:r w:rsidRPr="003E3264">
        <w:rPr>
          <w:rFonts w:ascii="Arial" w:eastAsia="Times New Roman" w:hAnsi="Arial" w:cs="Arial"/>
          <w:color w:val="343A3F"/>
          <w:sz w:val="24"/>
          <w:szCs w:val="24"/>
        </w:rPr>
        <w:t>In this process there are only two potential outcomes for a trial: success or failure, and the probability of success is constant for each trial. To have constant probability, the trials are independent</w:t>
      </w:r>
      <w:r w:rsidR="00064D35">
        <w:rPr>
          <w:rFonts w:ascii="Arial" w:eastAsia="Times New Roman" w:hAnsi="Arial" w:cs="Arial"/>
          <w:color w:val="343A3F"/>
          <w:sz w:val="24"/>
          <w:szCs w:val="24"/>
        </w:rPr>
        <w:t xml:space="preserve"> </w:t>
      </w:r>
      <w:r w:rsidR="00064D35" w:rsidRPr="00842CFE">
        <w:rPr>
          <w:rFonts w:ascii="Arial" w:hAnsi="Arial" w:cs="Arial"/>
          <w:color w:val="343A3F"/>
          <w:sz w:val="24"/>
          <w:szCs w:val="24"/>
          <w:shd w:val="clear" w:color="auto" w:fill="FFFFFF"/>
        </w:rPr>
        <w:t>(Holmes et al., 2018)</w:t>
      </w:r>
      <w:r w:rsidRPr="00842CFE">
        <w:rPr>
          <w:rFonts w:ascii="Arial" w:eastAsia="Times New Roman" w:hAnsi="Arial" w:cs="Arial"/>
          <w:color w:val="343A3F"/>
          <w:sz w:val="24"/>
          <w:szCs w:val="24"/>
        </w:rPr>
        <w:t xml:space="preserve">. </w:t>
      </w:r>
      <w:r w:rsidRPr="003E3264">
        <w:rPr>
          <w:rFonts w:ascii="Arial" w:eastAsia="Times New Roman" w:hAnsi="Arial" w:cs="Arial"/>
          <w:color w:val="343A3F"/>
          <w:sz w:val="24"/>
          <w:szCs w:val="24"/>
        </w:rPr>
        <w:t xml:space="preserve">A binomial experiment is an experiment which adheres to the tenets of a binomial process and </w:t>
      </w:r>
      <w:r w:rsidRPr="003E3264">
        <w:rPr>
          <w:rFonts w:ascii="Arial" w:eastAsia="Times New Roman" w:hAnsi="Arial" w:cs="Arial"/>
          <w:color w:val="343A3F"/>
          <w:sz w:val="24"/>
          <w:szCs w:val="24"/>
        </w:rPr>
        <w:lastRenderedPageBreak/>
        <w:t>must occur over a fixed number of trials</w:t>
      </w:r>
      <w:r w:rsidR="00064D35">
        <w:rPr>
          <w:rFonts w:ascii="Arial" w:eastAsia="Times New Roman" w:hAnsi="Arial" w:cs="Arial"/>
          <w:color w:val="343A3F"/>
          <w:sz w:val="24"/>
          <w:szCs w:val="24"/>
        </w:rPr>
        <w:t xml:space="preserve"> </w:t>
      </w:r>
      <w:r w:rsidR="00064D35" w:rsidRPr="00842CFE">
        <w:rPr>
          <w:rFonts w:ascii="Arial" w:hAnsi="Arial" w:cs="Arial"/>
          <w:color w:val="343A3F"/>
          <w:sz w:val="24"/>
          <w:szCs w:val="24"/>
          <w:shd w:val="clear" w:color="auto" w:fill="FFFFFF"/>
        </w:rPr>
        <w:t>(Holmes et al., 2018)</w:t>
      </w:r>
      <w:r w:rsidRPr="00842CFE">
        <w:rPr>
          <w:rFonts w:ascii="Arial" w:eastAsia="Times New Roman" w:hAnsi="Arial" w:cs="Arial"/>
          <w:color w:val="343A3F"/>
          <w:sz w:val="24"/>
          <w:szCs w:val="24"/>
        </w:rPr>
        <w:t>.</w:t>
      </w:r>
      <w:r w:rsidRPr="003E3264">
        <w:rPr>
          <w:rFonts w:ascii="Arial" w:eastAsia="Times New Roman" w:hAnsi="Arial" w:cs="Arial"/>
          <w:color w:val="343A3F"/>
          <w:sz w:val="24"/>
          <w:szCs w:val="24"/>
        </w:rPr>
        <w:t xml:space="preserve"> </w:t>
      </w:r>
      <w:r w:rsidR="00BD220E" w:rsidRPr="00BD220E">
        <w:rPr>
          <w:rFonts w:ascii="Arial" w:hAnsi="Arial" w:cs="Arial"/>
          <w:color w:val="343A3F"/>
          <w:sz w:val="24"/>
          <w:szCs w:val="24"/>
        </w:rPr>
        <w:t>The tractor sales can be understood as a binomial experiment because of the two possible outcomes, unchanging probability of success and established number of trial</w:t>
      </w:r>
      <w:r w:rsidR="00BD220E">
        <w:rPr>
          <w:rFonts w:ascii="Arial" w:hAnsi="Arial" w:cs="Arial"/>
          <w:color w:val="343A3F"/>
          <w:sz w:val="24"/>
          <w:szCs w:val="24"/>
        </w:rPr>
        <w:t xml:space="preserve">s. For the binomial distribution, </w:t>
      </w:r>
      <w:r w:rsidR="00CF6EBF">
        <w:rPr>
          <w:rFonts w:ascii="Arial" w:hAnsi="Arial" w:cs="Arial"/>
          <w:color w:val="343A3F"/>
          <w:sz w:val="24"/>
          <w:szCs w:val="24"/>
        </w:rPr>
        <w:t xml:space="preserve">the average number of successes is 2. This is only slightly higher than the mean of the probability distribution. </w:t>
      </w:r>
      <w:r w:rsidR="00630A89">
        <w:rPr>
          <w:rFonts w:ascii="Arial" w:hAnsi="Arial" w:cs="Arial"/>
          <w:color w:val="343A3F"/>
          <w:sz w:val="24"/>
          <w:szCs w:val="24"/>
        </w:rPr>
        <w:t>Likewise,</w:t>
      </w:r>
      <w:r w:rsidR="00CF6EBF">
        <w:rPr>
          <w:rFonts w:ascii="Arial" w:hAnsi="Arial" w:cs="Arial"/>
          <w:color w:val="343A3F"/>
          <w:sz w:val="24"/>
          <w:szCs w:val="24"/>
        </w:rPr>
        <w:t xml:space="preserve"> the mean of the binomial probability is 0.014% greater than the mean of the probability distribution. </w:t>
      </w:r>
    </w:p>
    <w:p w14:paraId="41F334EC" w14:textId="77777777" w:rsidR="005321F5" w:rsidRDefault="005321F5" w:rsidP="00F32D3A">
      <w:pPr>
        <w:shd w:val="clear" w:color="auto" w:fill="FFFFFF"/>
        <w:spacing w:after="0" w:line="480" w:lineRule="auto"/>
        <w:ind w:firstLine="720"/>
        <w:rPr>
          <w:rFonts w:ascii="Arial" w:hAnsi="Arial" w:cs="Arial"/>
          <w:color w:val="343A3F"/>
          <w:sz w:val="24"/>
          <w:szCs w:val="24"/>
        </w:rPr>
      </w:pPr>
    </w:p>
    <w:p w14:paraId="2237E6D5" w14:textId="6311DD4D" w:rsidR="00F32D3A" w:rsidRPr="003E3264" w:rsidRDefault="00F32D3A" w:rsidP="00F32D3A">
      <w:pPr>
        <w:shd w:val="clear" w:color="auto" w:fill="FFFFFF"/>
        <w:spacing w:after="0" w:line="480" w:lineRule="auto"/>
        <w:jc w:val="center"/>
        <w:rPr>
          <w:rFonts w:ascii="Times New Roman" w:eastAsia="Times New Roman" w:hAnsi="Times New Roman" w:cs="Times New Roman"/>
          <w:sz w:val="24"/>
          <w:szCs w:val="24"/>
        </w:rPr>
      </w:pPr>
      <w:r>
        <w:rPr>
          <w:rFonts w:ascii="Arial" w:eastAsia="Times New Roman" w:hAnsi="Arial" w:cs="Arial"/>
          <w:b/>
          <w:bCs/>
          <w:color w:val="343A3F"/>
          <w:sz w:val="24"/>
          <w:szCs w:val="24"/>
        </w:rPr>
        <w:t>Further Experimentation</w:t>
      </w:r>
    </w:p>
    <w:p w14:paraId="55259CCD" w14:textId="2A4220D2" w:rsidR="00802743" w:rsidRDefault="00802743" w:rsidP="00630A89">
      <w:pPr>
        <w:shd w:val="clear" w:color="auto" w:fill="FFFFFF"/>
        <w:spacing w:after="0" w:line="480" w:lineRule="auto"/>
        <w:ind w:firstLine="720"/>
        <w:rPr>
          <w:rFonts w:ascii="Arial" w:eastAsia="Times New Roman" w:hAnsi="Arial" w:cs="Arial"/>
          <w:color w:val="343A3F"/>
          <w:sz w:val="24"/>
          <w:szCs w:val="24"/>
        </w:rPr>
      </w:pPr>
      <w:r>
        <w:rPr>
          <w:rFonts w:ascii="Arial" w:eastAsia="Times New Roman" w:hAnsi="Arial" w:cs="Arial"/>
          <w:color w:val="343A3F"/>
          <w:sz w:val="24"/>
          <w:szCs w:val="24"/>
        </w:rPr>
        <w:t>International Tractor Motors can employ the binomial distribution to investigate the unexamined variables of the campaign such as country regions and farm size. The success or failure in a particular region, for instance, West, or for a specific farm size such as medium, can be isolated</w:t>
      </w:r>
      <w:r w:rsidR="00630A89">
        <w:rPr>
          <w:rFonts w:ascii="Arial" w:eastAsia="Times New Roman" w:hAnsi="Arial" w:cs="Arial"/>
          <w:color w:val="343A3F"/>
          <w:sz w:val="24"/>
          <w:szCs w:val="24"/>
        </w:rPr>
        <w:t xml:space="preserve"> and measured</w:t>
      </w:r>
      <w:r>
        <w:rPr>
          <w:rFonts w:ascii="Arial" w:eastAsia="Times New Roman" w:hAnsi="Arial" w:cs="Arial"/>
          <w:color w:val="343A3F"/>
          <w:sz w:val="24"/>
          <w:szCs w:val="24"/>
        </w:rPr>
        <w:t xml:space="preserve"> within a binomial experiment</w:t>
      </w:r>
      <w:r w:rsidR="00630A89">
        <w:rPr>
          <w:rFonts w:ascii="Arial" w:eastAsia="Times New Roman" w:hAnsi="Arial" w:cs="Arial"/>
          <w:color w:val="343A3F"/>
          <w:sz w:val="24"/>
          <w:szCs w:val="24"/>
        </w:rPr>
        <w:t xml:space="preserve">. If </w:t>
      </w:r>
      <w:proofErr w:type="spellStart"/>
      <w:r w:rsidR="00630A89">
        <w:rPr>
          <w:rFonts w:ascii="Arial" w:eastAsia="Times New Roman" w:hAnsi="Arial" w:cs="Arial"/>
          <w:color w:val="343A3F"/>
          <w:sz w:val="24"/>
          <w:szCs w:val="24"/>
        </w:rPr>
        <w:t>ITM</w:t>
      </w:r>
      <w:proofErr w:type="spellEnd"/>
      <w:r w:rsidR="00630A89">
        <w:rPr>
          <w:rFonts w:ascii="Arial" w:eastAsia="Times New Roman" w:hAnsi="Arial" w:cs="Arial"/>
          <w:color w:val="343A3F"/>
          <w:sz w:val="24"/>
          <w:szCs w:val="24"/>
        </w:rPr>
        <w:t xml:space="preserve"> aims to approximate the tractor sales in other Asian countries, region similarity as well as farm diversity may need to be taken into consideration. </w:t>
      </w:r>
    </w:p>
    <w:p w14:paraId="45F1DF05" w14:textId="77777777" w:rsidR="005321F5" w:rsidRPr="003E3264" w:rsidRDefault="005321F5" w:rsidP="00630A89">
      <w:pPr>
        <w:shd w:val="clear" w:color="auto" w:fill="FFFFFF"/>
        <w:spacing w:after="0" w:line="480" w:lineRule="auto"/>
        <w:ind w:firstLine="720"/>
        <w:rPr>
          <w:rFonts w:ascii="Arial" w:hAnsi="Arial" w:cs="Arial"/>
          <w:color w:val="343A3F"/>
          <w:sz w:val="24"/>
          <w:szCs w:val="24"/>
        </w:rPr>
      </w:pPr>
    </w:p>
    <w:p w14:paraId="100D8B3A" w14:textId="1FBEA69E" w:rsidR="003E3264" w:rsidRDefault="003E3264" w:rsidP="00630A89">
      <w:pPr>
        <w:shd w:val="clear" w:color="auto" w:fill="FFFFFF"/>
        <w:spacing w:after="0" w:line="480" w:lineRule="auto"/>
        <w:jc w:val="center"/>
        <w:rPr>
          <w:rFonts w:ascii="Arial" w:eastAsia="Times New Roman" w:hAnsi="Arial" w:cs="Arial"/>
          <w:b/>
          <w:bCs/>
          <w:color w:val="343A3F"/>
          <w:sz w:val="24"/>
          <w:szCs w:val="24"/>
        </w:rPr>
      </w:pPr>
      <w:r w:rsidRPr="003E3264">
        <w:rPr>
          <w:rFonts w:ascii="Arial" w:eastAsia="Times New Roman" w:hAnsi="Arial" w:cs="Arial"/>
          <w:b/>
          <w:bCs/>
          <w:color w:val="343A3F"/>
          <w:sz w:val="24"/>
          <w:szCs w:val="24"/>
        </w:rPr>
        <w:t>Conclusion</w:t>
      </w:r>
    </w:p>
    <w:p w14:paraId="65E08DAA" w14:textId="40C051C3" w:rsidR="00F32D3A" w:rsidRDefault="00BC3291" w:rsidP="00630A89">
      <w:pPr>
        <w:shd w:val="clear" w:color="auto" w:fill="FFFFFF"/>
        <w:spacing w:after="0" w:line="480" w:lineRule="auto"/>
        <w:ind w:firstLine="720"/>
        <w:rPr>
          <w:rFonts w:ascii="Arial" w:eastAsia="Times New Roman" w:hAnsi="Arial" w:cs="Arial"/>
          <w:color w:val="343A3F"/>
          <w:sz w:val="24"/>
          <w:szCs w:val="24"/>
        </w:rPr>
      </w:pPr>
      <w:r>
        <w:rPr>
          <w:rFonts w:ascii="Arial" w:eastAsia="Times New Roman" w:hAnsi="Arial" w:cs="Arial"/>
          <w:color w:val="343A3F"/>
          <w:sz w:val="24"/>
          <w:szCs w:val="24"/>
        </w:rPr>
        <w:t xml:space="preserve">The results of the binomial experiment for the IT-8 tractor campaign provided insight into the frequency of daily sales for the tractor throughout the country. </w:t>
      </w:r>
      <w:proofErr w:type="spellStart"/>
      <w:r>
        <w:rPr>
          <w:rFonts w:ascii="Arial" w:eastAsia="Times New Roman" w:hAnsi="Arial" w:cs="Arial"/>
          <w:color w:val="343A3F"/>
          <w:sz w:val="24"/>
          <w:szCs w:val="24"/>
        </w:rPr>
        <w:t>ITM</w:t>
      </w:r>
      <w:proofErr w:type="spellEnd"/>
      <w:r>
        <w:rPr>
          <w:rFonts w:ascii="Arial" w:eastAsia="Times New Roman" w:hAnsi="Arial" w:cs="Arial"/>
          <w:color w:val="343A3F"/>
          <w:sz w:val="24"/>
          <w:szCs w:val="24"/>
        </w:rPr>
        <w:t xml:space="preserve"> should not limit the measurement of success to sales by associate. </w:t>
      </w:r>
      <w:r w:rsidR="005321F5">
        <w:rPr>
          <w:rFonts w:ascii="Arial" w:eastAsia="Times New Roman" w:hAnsi="Arial" w:cs="Arial"/>
          <w:color w:val="343A3F"/>
          <w:sz w:val="24"/>
          <w:szCs w:val="24"/>
        </w:rPr>
        <w:t xml:space="preserve">Understanding the relationships between regions, farms, seasons, and sales may elucidate when </w:t>
      </w:r>
      <w:proofErr w:type="spellStart"/>
      <w:r w:rsidR="005321F5">
        <w:rPr>
          <w:rFonts w:ascii="Arial" w:eastAsia="Times New Roman" w:hAnsi="Arial" w:cs="Arial"/>
          <w:color w:val="343A3F"/>
          <w:sz w:val="24"/>
          <w:szCs w:val="24"/>
        </w:rPr>
        <w:t>ITM</w:t>
      </w:r>
      <w:proofErr w:type="spellEnd"/>
      <w:r w:rsidR="005321F5">
        <w:rPr>
          <w:rFonts w:ascii="Arial" w:eastAsia="Times New Roman" w:hAnsi="Arial" w:cs="Arial"/>
          <w:color w:val="343A3F"/>
          <w:sz w:val="24"/>
          <w:szCs w:val="24"/>
        </w:rPr>
        <w:t xml:space="preserve"> can expect tractor sales and why. Lastly, when conducting the experiment in similar countries, noting any differences can magnify any confounding variables.</w:t>
      </w:r>
      <w:r>
        <w:rPr>
          <w:rFonts w:ascii="Arial" w:eastAsia="Times New Roman" w:hAnsi="Arial" w:cs="Arial"/>
          <w:color w:val="343A3F"/>
          <w:sz w:val="24"/>
          <w:szCs w:val="24"/>
        </w:rPr>
        <w:t xml:space="preserve"> </w:t>
      </w:r>
    </w:p>
    <w:p w14:paraId="700AB577" w14:textId="77777777" w:rsidR="00F32D3A" w:rsidRPr="003E3264" w:rsidRDefault="00F32D3A" w:rsidP="003E3264">
      <w:pPr>
        <w:shd w:val="clear" w:color="auto" w:fill="FFFFFF"/>
        <w:spacing w:after="0" w:line="240" w:lineRule="auto"/>
        <w:jc w:val="center"/>
        <w:rPr>
          <w:rFonts w:ascii="Times New Roman" w:eastAsia="Times New Roman" w:hAnsi="Times New Roman" w:cs="Times New Roman"/>
          <w:sz w:val="24"/>
          <w:szCs w:val="24"/>
        </w:rPr>
      </w:pPr>
    </w:p>
    <w:p w14:paraId="72A2F899" w14:textId="77777777" w:rsidR="003E3264" w:rsidRPr="003E3264" w:rsidRDefault="003E3264" w:rsidP="003E3264">
      <w:pPr>
        <w:shd w:val="clear" w:color="auto" w:fill="FFFFFF"/>
        <w:spacing w:after="0" w:line="240" w:lineRule="auto"/>
        <w:jc w:val="center"/>
        <w:rPr>
          <w:rFonts w:ascii="Times New Roman" w:eastAsia="Times New Roman" w:hAnsi="Times New Roman" w:cs="Times New Roman"/>
          <w:sz w:val="24"/>
          <w:szCs w:val="24"/>
        </w:rPr>
      </w:pPr>
      <w:r w:rsidRPr="003E3264">
        <w:rPr>
          <w:rFonts w:ascii="Times New Roman" w:eastAsia="Times New Roman" w:hAnsi="Times New Roman" w:cs="Times New Roman"/>
          <w:sz w:val="24"/>
          <w:szCs w:val="24"/>
        </w:rPr>
        <w:t> </w:t>
      </w:r>
    </w:p>
    <w:p w14:paraId="104BF643" w14:textId="1468F9DF" w:rsidR="003E3264" w:rsidRPr="00F32D3A" w:rsidRDefault="003E3264" w:rsidP="005321F5">
      <w:pPr>
        <w:shd w:val="clear" w:color="auto" w:fill="FFFFFF"/>
        <w:spacing w:after="0" w:line="240" w:lineRule="auto"/>
        <w:jc w:val="center"/>
        <w:rPr>
          <w:rFonts w:ascii="Times New Roman" w:eastAsia="Times New Roman" w:hAnsi="Times New Roman" w:cs="Times New Roman"/>
          <w:sz w:val="24"/>
          <w:szCs w:val="24"/>
        </w:rPr>
      </w:pPr>
      <w:r w:rsidRPr="003E3264">
        <w:rPr>
          <w:rFonts w:ascii="Times New Roman" w:eastAsia="Times New Roman" w:hAnsi="Times New Roman" w:cs="Times New Roman"/>
          <w:sz w:val="24"/>
          <w:szCs w:val="24"/>
        </w:rPr>
        <w:lastRenderedPageBreak/>
        <w:t> </w:t>
      </w:r>
      <w:r w:rsidRPr="003E3264">
        <w:rPr>
          <w:rFonts w:ascii="Arial" w:eastAsia="Times New Roman" w:hAnsi="Arial" w:cs="Arial"/>
          <w:b/>
          <w:bCs/>
          <w:color w:val="343A3F"/>
          <w:sz w:val="24"/>
          <w:szCs w:val="24"/>
        </w:rPr>
        <w:t>Refe</w:t>
      </w:r>
      <w:r>
        <w:rPr>
          <w:rFonts w:ascii="Arial" w:eastAsia="Times New Roman" w:hAnsi="Arial" w:cs="Arial"/>
          <w:b/>
          <w:bCs/>
          <w:color w:val="343A3F"/>
          <w:sz w:val="24"/>
          <w:szCs w:val="24"/>
        </w:rPr>
        <w:t>r</w:t>
      </w:r>
      <w:r w:rsidRPr="003E3264">
        <w:rPr>
          <w:rFonts w:ascii="Arial" w:eastAsia="Times New Roman" w:hAnsi="Arial" w:cs="Arial"/>
          <w:b/>
          <w:bCs/>
          <w:color w:val="343A3F"/>
          <w:sz w:val="24"/>
          <w:szCs w:val="24"/>
        </w:rPr>
        <w:t>ences</w:t>
      </w:r>
    </w:p>
    <w:p w14:paraId="338F0945" w14:textId="77777777" w:rsidR="003E3264" w:rsidRPr="003E3264" w:rsidRDefault="003E3264" w:rsidP="003E3264">
      <w:pPr>
        <w:shd w:val="clear" w:color="auto" w:fill="FFFFFF"/>
        <w:spacing w:after="0" w:line="240" w:lineRule="auto"/>
        <w:jc w:val="center"/>
        <w:rPr>
          <w:rFonts w:ascii="Times New Roman" w:eastAsia="Times New Roman" w:hAnsi="Times New Roman" w:cs="Times New Roman"/>
          <w:sz w:val="24"/>
          <w:szCs w:val="24"/>
        </w:rPr>
      </w:pPr>
    </w:p>
    <w:p w14:paraId="5025BEE3" w14:textId="13300332" w:rsidR="003E3264" w:rsidRPr="00064D35" w:rsidRDefault="003E3264" w:rsidP="00064D35">
      <w:pPr>
        <w:shd w:val="clear" w:color="auto" w:fill="FFFFFF"/>
        <w:spacing w:after="180" w:line="480" w:lineRule="auto"/>
        <w:rPr>
          <w:rFonts w:ascii="Times New Roman" w:eastAsia="Times New Roman" w:hAnsi="Times New Roman" w:cs="Times New Roman"/>
          <w:sz w:val="24"/>
          <w:szCs w:val="24"/>
        </w:rPr>
      </w:pPr>
      <w:r w:rsidRPr="003E3264">
        <w:rPr>
          <w:rFonts w:ascii="Arial" w:eastAsia="Times New Roman" w:hAnsi="Arial" w:cs="Arial"/>
          <w:color w:val="343A3F"/>
          <w:sz w:val="24"/>
          <w:szCs w:val="24"/>
          <w:shd w:val="clear" w:color="auto" w:fill="FFFFFF"/>
        </w:rPr>
        <w:t xml:space="preserve">Holmes, A., </w:t>
      </w:r>
      <w:proofErr w:type="spellStart"/>
      <w:r w:rsidRPr="003E3264">
        <w:rPr>
          <w:rFonts w:ascii="Arial" w:eastAsia="Times New Roman" w:hAnsi="Arial" w:cs="Arial"/>
          <w:color w:val="343A3F"/>
          <w:sz w:val="24"/>
          <w:szCs w:val="24"/>
          <w:shd w:val="clear" w:color="auto" w:fill="FFFFFF"/>
        </w:rPr>
        <w:t>Illowsky</w:t>
      </w:r>
      <w:proofErr w:type="spellEnd"/>
      <w:r w:rsidRPr="003E3264">
        <w:rPr>
          <w:rFonts w:ascii="Arial" w:eastAsia="Times New Roman" w:hAnsi="Arial" w:cs="Arial"/>
          <w:color w:val="343A3F"/>
          <w:sz w:val="24"/>
          <w:szCs w:val="24"/>
          <w:shd w:val="clear" w:color="auto" w:fill="FFFFFF"/>
        </w:rPr>
        <w:t>, B., &amp; Dean, S. (2018). Introductory business statistics. OpenStax.</w:t>
      </w:r>
    </w:p>
    <w:p w14:paraId="0B8BAF54" w14:textId="77777777" w:rsidR="00064D35" w:rsidRDefault="00064D35" w:rsidP="00064D35">
      <w:pPr>
        <w:spacing w:line="480" w:lineRule="auto"/>
        <w:rPr>
          <w:rFonts w:ascii="Arial" w:hAnsi="Arial" w:cs="Arial"/>
          <w:i/>
          <w:iCs/>
          <w:color w:val="303030"/>
          <w:sz w:val="24"/>
          <w:szCs w:val="24"/>
          <w:shd w:val="clear" w:color="auto" w:fill="FFFFFF"/>
        </w:rPr>
      </w:pPr>
      <w:r w:rsidRPr="00064D35">
        <w:rPr>
          <w:rFonts w:ascii="Arial" w:hAnsi="Arial" w:cs="Arial"/>
          <w:color w:val="303030"/>
          <w:sz w:val="24"/>
          <w:szCs w:val="24"/>
          <w:shd w:val="clear" w:color="auto" w:fill="FFFFFF"/>
        </w:rPr>
        <w:t>Manikandan S. (2011). Frequency distribution. </w:t>
      </w:r>
      <w:r w:rsidRPr="00064D35">
        <w:rPr>
          <w:rFonts w:ascii="Arial" w:hAnsi="Arial" w:cs="Arial"/>
          <w:i/>
          <w:iCs/>
          <w:color w:val="303030"/>
          <w:sz w:val="24"/>
          <w:szCs w:val="24"/>
          <w:shd w:val="clear" w:color="auto" w:fill="FFFFFF"/>
        </w:rPr>
        <w:t>Journal of pharmacology &amp;</w:t>
      </w:r>
    </w:p>
    <w:p w14:paraId="7D76F071" w14:textId="77C995FB" w:rsidR="003E3264" w:rsidRPr="00064D35" w:rsidRDefault="00064D35" w:rsidP="00064D35">
      <w:pPr>
        <w:spacing w:line="480" w:lineRule="auto"/>
        <w:ind w:firstLine="720"/>
        <w:rPr>
          <w:sz w:val="24"/>
          <w:szCs w:val="24"/>
        </w:rPr>
      </w:pPr>
      <w:r w:rsidRPr="00064D35">
        <w:rPr>
          <w:rFonts w:ascii="Arial" w:hAnsi="Arial" w:cs="Arial"/>
          <w:i/>
          <w:iCs/>
          <w:color w:val="303030"/>
          <w:sz w:val="24"/>
          <w:szCs w:val="24"/>
          <w:shd w:val="clear" w:color="auto" w:fill="FFFFFF"/>
        </w:rPr>
        <w:t>pharmacotherapeutics</w:t>
      </w:r>
      <w:r w:rsidRPr="00064D35">
        <w:rPr>
          <w:rFonts w:ascii="Arial" w:hAnsi="Arial" w:cs="Arial"/>
          <w:color w:val="303030"/>
          <w:sz w:val="24"/>
          <w:szCs w:val="24"/>
          <w:shd w:val="clear" w:color="auto" w:fill="FFFFFF"/>
        </w:rPr>
        <w:t>, </w:t>
      </w:r>
      <w:r w:rsidRPr="00064D35">
        <w:rPr>
          <w:rFonts w:ascii="Arial" w:hAnsi="Arial" w:cs="Arial"/>
          <w:i/>
          <w:iCs/>
          <w:color w:val="303030"/>
          <w:sz w:val="24"/>
          <w:szCs w:val="24"/>
          <w:shd w:val="clear" w:color="auto" w:fill="FFFFFF"/>
        </w:rPr>
        <w:t>2</w:t>
      </w:r>
      <w:r w:rsidRPr="00064D35">
        <w:rPr>
          <w:rFonts w:ascii="Arial" w:hAnsi="Arial" w:cs="Arial"/>
          <w:color w:val="303030"/>
          <w:sz w:val="24"/>
          <w:szCs w:val="24"/>
          <w:shd w:val="clear" w:color="auto" w:fill="FFFFFF"/>
        </w:rPr>
        <w:t>(1), 54–56. https://</w:t>
      </w:r>
      <w:proofErr w:type="spellStart"/>
      <w:r w:rsidRPr="00064D35">
        <w:rPr>
          <w:rFonts w:ascii="Arial" w:hAnsi="Arial" w:cs="Arial"/>
          <w:color w:val="303030"/>
          <w:sz w:val="24"/>
          <w:szCs w:val="24"/>
          <w:shd w:val="clear" w:color="auto" w:fill="FFFFFF"/>
        </w:rPr>
        <w:t>doi.org</w:t>
      </w:r>
      <w:proofErr w:type="spellEnd"/>
      <w:r w:rsidRPr="00064D35">
        <w:rPr>
          <w:rFonts w:ascii="Arial" w:hAnsi="Arial" w:cs="Arial"/>
          <w:color w:val="303030"/>
          <w:sz w:val="24"/>
          <w:szCs w:val="24"/>
          <w:shd w:val="clear" w:color="auto" w:fill="FFFFFF"/>
        </w:rPr>
        <w:t>/10.4103/0976-</w:t>
      </w:r>
      <w:proofErr w:type="spellStart"/>
      <w:r w:rsidRPr="00064D35">
        <w:rPr>
          <w:rFonts w:ascii="Arial" w:hAnsi="Arial" w:cs="Arial"/>
          <w:color w:val="303030"/>
          <w:sz w:val="24"/>
          <w:szCs w:val="24"/>
          <w:shd w:val="clear" w:color="auto" w:fill="FFFFFF"/>
        </w:rPr>
        <w:t>500X.77120</w:t>
      </w:r>
      <w:proofErr w:type="spellEnd"/>
    </w:p>
    <w:p w14:paraId="4A2219D8" w14:textId="1946413F" w:rsidR="003E3264" w:rsidRDefault="003E3264"/>
    <w:p w14:paraId="3741D632" w14:textId="73C2FA80" w:rsidR="003E3264" w:rsidRDefault="003E3264"/>
    <w:p w14:paraId="769C5712" w14:textId="0DEE0B88" w:rsidR="003E3264" w:rsidRDefault="003E3264"/>
    <w:sectPr w:rsidR="003E32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1E887" w14:textId="77777777" w:rsidR="00842249" w:rsidRDefault="00842249" w:rsidP="003E3264">
      <w:pPr>
        <w:spacing w:after="0" w:line="240" w:lineRule="auto"/>
      </w:pPr>
      <w:r>
        <w:separator/>
      </w:r>
    </w:p>
  </w:endnote>
  <w:endnote w:type="continuationSeparator" w:id="0">
    <w:p w14:paraId="55E41997" w14:textId="77777777" w:rsidR="00842249" w:rsidRDefault="00842249" w:rsidP="003E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E1F9E" w14:textId="77777777" w:rsidR="00842249" w:rsidRDefault="00842249" w:rsidP="003E3264">
      <w:pPr>
        <w:spacing w:after="0" w:line="240" w:lineRule="auto"/>
      </w:pPr>
      <w:r>
        <w:separator/>
      </w:r>
    </w:p>
  </w:footnote>
  <w:footnote w:type="continuationSeparator" w:id="0">
    <w:p w14:paraId="5398C9C0" w14:textId="77777777" w:rsidR="00842249" w:rsidRDefault="00842249" w:rsidP="003E3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9429796"/>
      <w:docPartObj>
        <w:docPartGallery w:val="Page Numbers (Top of Page)"/>
        <w:docPartUnique/>
      </w:docPartObj>
    </w:sdtPr>
    <w:sdtEndPr>
      <w:rPr>
        <w:noProof/>
      </w:rPr>
    </w:sdtEndPr>
    <w:sdtContent>
      <w:p w14:paraId="2BDA5EAF" w14:textId="0BAA1850" w:rsidR="003E3264" w:rsidRDefault="003E32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D72FC7" w14:textId="77777777" w:rsidR="003E3264" w:rsidRDefault="003E32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C0"/>
    <w:rsid w:val="0006247C"/>
    <w:rsid w:val="00064D35"/>
    <w:rsid w:val="001C7DFC"/>
    <w:rsid w:val="00312F6B"/>
    <w:rsid w:val="003E3264"/>
    <w:rsid w:val="00495240"/>
    <w:rsid w:val="005321F5"/>
    <w:rsid w:val="005B0DC0"/>
    <w:rsid w:val="00630A89"/>
    <w:rsid w:val="00721667"/>
    <w:rsid w:val="00742784"/>
    <w:rsid w:val="00802743"/>
    <w:rsid w:val="00842249"/>
    <w:rsid w:val="00842CFE"/>
    <w:rsid w:val="00A5498D"/>
    <w:rsid w:val="00B63766"/>
    <w:rsid w:val="00B81FF9"/>
    <w:rsid w:val="00BC3291"/>
    <w:rsid w:val="00BD220E"/>
    <w:rsid w:val="00BE3D27"/>
    <w:rsid w:val="00C801BE"/>
    <w:rsid w:val="00CF6EBF"/>
    <w:rsid w:val="00DE4D12"/>
    <w:rsid w:val="00E3037B"/>
    <w:rsid w:val="00F3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FC3A"/>
  <w15:chartTrackingRefBased/>
  <w15:docId w15:val="{2BD65921-C463-4295-AE70-3BE7F621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64"/>
  </w:style>
  <w:style w:type="paragraph" w:styleId="Footer">
    <w:name w:val="footer"/>
    <w:basedOn w:val="Normal"/>
    <w:link w:val="FooterChar"/>
    <w:uiPriority w:val="99"/>
    <w:unhideWhenUsed/>
    <w:rsid w:val="003E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64"/>
  </w:style>
  <w:style w:type="paragraph" w:styleId="NormalWeb">
    <w:name w:val="Normal (Web)"/>
    <w:basedOn w:val="Normal"/>
    <w:uiPriority w:val="99"/>
    <w:unhideWhenUsed/>
    <w:rsid w:val="003E3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439663">
      <w:bodyDiv w:val="1"/>
      <w:marLeft w:val="0"/>
      <w:marRight w:val="0"/>
      <w:marTop w:val="0"/>
      <w:marBottom w:val="0"/>
      <w:divBdr>
        <w:top w:val="none" w:sz="0" w:space="0" w:color="auto"/>
        <w:left w:val="none" w:sz="0" w:space="0" w:color="auto"/>
        <w:bottom w:val="none" w:sz="0" w:space="0" w:color="auto"/>
        <w:right w:val="none" w:sz="0" w:space="0" w:color="auto"/>
      </w:divBdr>
    </w:div>
    <w:div w:id="18739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Pease</dc:creator>
  <cp:keywords/>
  <dc:description/>
  <cp:lastModifiedBy>Lewis Pease</cp:lastModifiedBy>
  <cp:revision>16</cp:revision>
  <dcterms:created xsi:type="dcterms:W3CDTF">2020-11-08T02:40:00Z</dcterms:created>
  <dcterms:modified xsi:type="dcterms:W3CDTF">2020-11-08T06:49:00Z</dcterms:modified>
</cp:coreProperties>
</file>