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color w:val="343a3f"/>
          <w:sz w:val="24"/>
          <w:szCs w:val="24"/>
          <w:rtl w:val="0"/>
        </w:rPr>
        <w:t xml:space="preserve">Use the internet to find a website that shows an example or application of </w:t>
      </w:r>
      <w:r w:rsidDel="00000000" w:rsidR="00000000" w:rsidRPr="00000000">
        <w:rPr>
          <w:color w:val="343a3f"/>
          <w:sz w:val="24"/>
          <w:szCs w:val="24"/>
          <w:u w:val="single"/>
          <w:rtl w:val="0"/>
        </w:rPr>
        <w:t xml:space="preserve">correlation </w:t>
      </w:r>
      <w:r w:rsidDel="00000000" w:rsidR="00000000" w:rsidRPr="00000000">
        <w:rPr>
          <w:color w:val="343a3f"/>
          <w:sz w:val="24"/>
          <w:szCs w:val="24"/>
          <w:rtl w:val="0"/>
        </w:rPr>
        <w:t xml:space="preserve">or regression in an area of interest in your personal or professional life. X</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b w:val="1"/>
          <w:color w:val="343a3f"/>
          <w:sz w:val="24"/>
          <w:szCs w:val="24"/>
          <w:u w:val="single"/>
          <w:rtl w:val="0"/>
        </w:rPr>
        <w:t xml:space="preserve">Discuss how</w:t>
      </w:r>
      <w:r w:rsidDel="00000000" w:rsidR="00000000" w:rsidRPr="00000000">
        <w:rPr>
          <w:b w:val="1"/>
          <w:color w:val="343a3f"/>
          <w:sz w:val="24"/>
          <w:szCs w:val="24"/>
          <w:rtl w:val="0"/>
        </w:rPr>
        <w:t xml:space="preserve"> </w:t>
      </w:r>
      <w:r w:rsidDel="00000000" w:rsidR="00000000" w:rsidRPr="00000000">
        <w:rPr>
          <w:b w:val="1"/>
          <w:color w:val="343a3f"/>
          <w:sz w:val="24"/>
          <w:szCs w:val="24"/>
          <w:u w:val="single"/>
          <w:rtl w:val="0"/>
        </w:rPr>
        <w:t xml:space="preserve">correlation </w:t>
      </w:r>
      <w:r w:rsidDel="00000000" w:rsidR="00000000" w:rsidRPr="00000000">
        <w:rPr>
          <w:b w:val="1"/>
          <w:color w:val="343a3f"/>
          <w:sz w:val="24"/>
          <w:szCs w:val="24"/>
          <w:rtl w:val="0"/>
        </w:rPr>
        <w:t xml:space="preserve">or regression </w:t>
      </w:r>
      <w:r w:rsidDel="00000000" w:rsidR="00000000" w:rsidRPr="00000000">
        <w:rPr>
          <w:b w:val="1"/>
          <w:color w:val="343a3f"/>
          <w:sz w:val="24"/>
          <w:szCs w:val="24"/>
          <w:u w:val="single"/>
          <w:rtl w:val="0"/>
        </w:rPr>
        <w:t xml:space="preserve">was used</w:t>
      </w:r>
      <w:r w:rsidDel="00000000" w:rsidR="00000000" w:rsidRPr="00000000">
        <w:rPr>
          <w:color w:val="343a3f"/>
          <w:sz w:val="24"/>
          <w:szCs w:val="24"/>
          <w:u w:val="single"/>
          <w:rtl w:val="0"/>
        </w:rPr>
        <w:t xml:space="preserve">, summarize your findings, and share them. X </w:t>
      </w:r>
    </w:p>
    <w:p w:rsidR="00000000" w:rsidDel="00000000" w:rsidP="00000000" w:rsidRDefault="00000000" w:rsidRPr="00000000" w14:paraId="00000003">
      <w:pPr>
        <w:numPr>
          <w:ilvl w:val="0"/>
          <w:numId w:val="1"/>
        </w:numPr>
        <w:shd w:fill="ffffff" w:val="clear"/>
        <w:spacing w:after="200" w:lineRule="auto"/>
        <w:ind w:left="1100" w:hanging="360"/>
      </w:pPr>
      <w:r w:rsidDel="00000000" w:rsidR="00000000" w:rsidRPr="00000000">
        <w:rPr>
          <w:color w:val="343a3f"/>
          <w:sz w:val="24"/>
          <w:szCs w:val="24"/>
          <w:rtl w:val="0"/>
        </w:rPr>
        <w:t xml:space="preserve">Be sure to </w:t>
      </w:r>
      <w:r w:rsidDel="00000000" w:rsidR="00000000" w:rsidRPr="00000000">
        <w:rPr>
          <w:color w:val="343a3f"/>
          <w:sz w:val="24"/>
          <w:szCs w:val="24"/>
          <w:u w:val="single"/>
          <w:rtl w:val="0"/>
        </w:rPr>
        <w:t xml:space="preserve">include the independent and dependent variable - discuss the impact/relevance of the independent variable. 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343a3f"/>
          <w:sz w:val="24"/>
          <w:szCs w:val="24"/>
        </w:rPr>
      </w:pPr>
      <w:r w:rsidDel="00000000" w:rsidR="00000000" w:rsidRPr="00000000">
        <w:rPr>
          <w:rFonts w:ascii="Arial Unicode MS" w:cs="Arial Unicode MS" w:eastAsia="Arial Unicode MS" w:hAnsi="Arial Unicode MS"/>
          <w:color w:val="343a3f"/>
          <w:sz w:val="24"/>
          <w:szCs w:val="24"/>
          <w:rtl w:val="0"/>
        </w:rPr>
        <w:t xml:space="preserve">The Harvard T.H. Chan School of Public Health conducted a study that found air pollution (over years) may make the effects of COVID-19 worse (The President and Fellows of Harvard College, 2020). Ecological regression analysis was used to study the association between PM2.5 exposure, the independent variable, and COVID-19 mortality, the dependent variable. The U.S. Environmental Protection Agency (EPA) has linked PM2.5 (particles with diameter, ≤ 2.5 μm) exposure to negative health effects particularly on respiratory and cardiovascular systems. The study concluded that there is an association between PM2.5 exposure and COVID-19 mortality with an 11% increase in mortality for every 1 microgram/cubic meter in polluted air (Wu et al., 2020). To mitigate against COVID-19 mortality in areas with high concentrations of air pollution, it is critical that social distancing is practiced.</w:t>
      </w:r>
    </w:p>
    <w:p w:rsidR="00000000" w:rsidDel="00000000" w:rsidP="00000000" w:rsidRDefault="00000000" w:rsidRPr="00000000" w14:paraId="00000007">
      <w:pPr>
        <w:shd w:fill="ffffff" w:val="clear"/>
        <w:spacing w:after="180" w:before="180" w:lineRule="auto"/>
        <w:rPr>
          <w:color w:val="343a3f"/>
          <w:sz w:val="24"/>
          <w:szCs w:val="24"/>
        </w:rPr>
      </w:pPr>
      <w:r w:rsidDel="00000000" w:rsidR="00000000" w:rsidRPr="00000000">
        <w:rPr>
          <w:color w:val="343a3f"/>
          <w:sz w:val="24"/>
          <w:szCs w:val="24"/>
          <w:rtl w:val="0"/>
        </w:rPr>
        <w:t xml:space="preserve">Figure 1 </w:t>
      </w:r>
    </w:p>
    <w:p w:rsidR="00000000" w:rsidDel="00000000" w:rsidP="00000000" w:rsidRDefault="00000000" w:rsidRPr="00000000" w14:paraId="00000008">
      <w:pPr>
        <w:shd w:fill="ffffff" w:val="clear"/>
        <w:spacing w:after="180" w:before="180" w:lineRule="auto"/>
        <w:rPr>
          <w:i w:val="1"/>
          <w:color w:val="343a3f"/>
          <w:sz w:val="24"/>
          <w:szCs w:val="24"/>
        </w:rPr>
      </w:pPr>
      <w:r w:rsidDel="00000000" w:rsidR="00000000" w:rsidRPr="00000000">
        <w:rPr>
          <w:i w:val="1"/>
          <w:color w:val="343a3f"/>
          <w:sz w:val="24"/>
          <w:szCs w:val="24"/>
          <w:rtl w:val="0"/>
        </w:rPr>
        <w:t xml:space="preserve">National Maps of Historical PM</w:t>
      </w:r>
      <w:r w:rsidDel="00000000" w:rsidR="00000000" w:rsidRPr="00000000">
        <w:rPr>
          <w:i w:val="1"/>
          <w:color w:val="343a3f"/>
          <w:sz w:val="18"/>
          <w:szCs w:val="18"/>
          <w:rtl w:val="0"/>
        </w:rPr>
        <w:t xml:space="preserve">2.5</w:t>
      </w:r>
      <w:r w:rsidDel="00000000" w:rsidR="00000000" w:rsidRPr="00000000">
        <w:rPr>
          <w:i w:val="1"/>
          <w:color w:val="343a3f"/>
          <w:sz w:val="24"/>
          <w:szCs w:val="24"/>
          <w:rtl w:val="0"/>
        </w:rPr>
        <w:t xml:space="preserve"> Concentrations and COVID-19 Deaths</w:t>
      </w:r>
    </w:p>
    <w:p w:rsidR="00000000" w:rsidDel="00000000" w:rsidP="00000000" w:rsidRDefault="00000000" w:rsidRPr="00000000" w14:paraId="00000009">
      <w:pPr>
        <w:rPr/>
      </w:pPr>
      <w:r w:rsidDel="00000000" w:rsidR="00000000" w:rsidRPr="00000000">
        <w:rPr/>
        <w:drawing>
          <wp:inline distB="114300" distT="114300" distL="114300" distR="114300">
            <wp:extent cx="5943600" cy="7023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343a3f"/>
          <w:sz w:val="24"/>
          <w:szCs w:val="24"/>
        </w:rPr>
      </w:pPr>
      <w:r w:rsidDel="00000000" w:rsidR="00000000" w:rsidRPr="00000000">
        <w:rPr>
          <w:i w:val="1"/>
          <w:color w:val="343a3f"/>
          <w:sz w:val="24"/>
          <w:szCs w:val="24"/>
          <w:rtl w:val="0"/>
        </w:rPr>
        <w:t xml:space="preserve">Note</w:t>
      </w:r>
      <w:r w:rsidDel="00000000" w:rsidR="00000000" w:rsidRPr="00000000">
        <w:rPr>
          <w:color w:val="343a3f"/>
          <w:sz w:val="24"/>
          <w:szCs w:val="24"/>
          <w:rtl w:val="0"/>
        </w:rPr>
        <w:t xml:space="preserve">. Maps show (A) county-level 17-year long-term average of PM</w:t>
      </w:r>
      <w:r w:rsidDel="00000000" w:rsidR="00000000" w:rsidRPr="00000000">
        <w:rPr>
          <w:color w:val="343a3f"/>
          <w:sz w:val="18"/>
          <w:szCs w:val="18"/>
          <w:rtl w:val="0"/>
        </w:rPr>
        <w:t xml:space="preserve">2.5</w:t>
      </w:r>
      <w:r w:rsidDel="00000000" w:rsidR="00000000" w:rsidRPr="00000000">
        <w:rPr>
          <w:color w:val="343a3f"/>
          <w:sz w:val="24"/>
          <w:szCs w:val="24"/>
          <w:rtl w:val="0"/>
        </w:rPr>
        <w:t xml:space="preserve"> concentrations (2000–2016) in the United States in μg/m</w:t>
      </w:r>
      <w:r w:rsidDel="00000000" w:rsidR="00000000" w:rsidRPr="00000000">
        <w:rPr>
          <w:color w:val="343a3f"/>
          <w:sz w:val="18"/>
          <w:szCs w:val="18"/>
          <w:rtl w:val="0"/>
        </w:rPr>
        <w:t xml:space="preserve">3</w:t>
      </w:r>
      <w:r w:rsidDel="00000000" w:rsidR="00000000" w:rsidRPr="00000000">
        <w:rPr>
          <w:color w:val="343a3f"/>
          <w:sz w:val="24"/>
          <w:szCs w:val="24"/>
          <w:rtl w:val="0"/>
        </w:rPr>
        <w:t xml:space="preserve"> and (B) county-level number of COVID-19 deaths per 1 million population in the United States up to and including 18 June 2020. Reprinted from </w:t>
      </w:r>
      <w:r w:rsidDel="00000000" w:rsidR="00000000" w:rsidRPr="00000000">
        <w:rPr>
          <w:i w:val="1"/>
          <w:color w:val="343a3f"/>
          <w:sz w:val="24"/>
          <w:szCs w:val="24"/>
          <w:rtl w:val="0"/>
        </w:rPr>
        <w:t xml:space="preserve">Science Advances, 6</w:t>
      </w:r>
      <w:r w:rsidDel="00000000" w:rsidR="00000000" w:rsidRPr="00000000">
        <w:rPr>
          <w:color w:val="343a3f"/>
          <w:sz w:val="24"/>
          <w:szCs w:val="24"/>
          <w:rtl w:val="0"/>
        </w:rPr>
        <w:t xml:space="preserve">(45), by Wu, X., Nethery, R. C., Sabath, M. B., Braun, D., &amp; Dominici, F. 2020. American Association for the Advancement of Science. Copyright 2020 by the American Association for the Advancement of Science.</w:t>
      </w:r>
    </w:p>
    <w:p w:rsidR="00000000" w:rsidDel="00000000" w:rsidP="00000000" w:rsidRDefault="00000000" w:rsidRPr="00000000" w14:paraId="0000000C">
      <w:pPr>
        <w:shd w:fill="ffffff" w:val="clear"/>
        <w:spacing w:after="180" w:before="180" w:lineRule="auto"/>
        <w:rPr>
          <w:color w:val="343a3f"/>
          <w:sz w:val="24"/>
          <w:szCs w:val="24"/>
        </w:rPr>
      </w:pPr>
      <w:r w:rsidDel="00000000" w:rsidR="00000000" w:rsidRPr="00000000">
        <w:rPr>
          <w:color w:val="343a3f"/>
          <w:sz w:val="24"/>
          <w:szCs w:val="24"/>
          <w:rtl w:val="0"/>
        </w:rPr>
        <w:t xml:space="preserve"> </w:t>
      </w:r>
    </w:p>
    <w:p w:rsidR="00000000" w:rsidDel="00000000" w:rsidP="00000000" w:rsidRDefault="00000000" w:rsidRPr="00000000" w14:paraId="0000000D">
      <w:pPr>
        <w:shd w:fill="ffffff" w:val="clear"/>
        <w:spacing w:after="180" w:before="180" w:lineRule="auto"/>
        <w:rPr>
          <w:color w:val="343a3f"/>
          <w:sz w:val="24"/>
          <w:szCs w:val="24"/>
        </w:rPr>
      </w:pPr>
      <w:r w:rsidDel="00000000" w:rsidR="00000000" w:rsidRPr="00000000">
        <w:rPr>
          <w:color w:val="343a3f"/>
          <w:sz w:val="24"/>
          <w:szCs w:val="24"/>
          <w:rtl w:val="0"/>
        </w:rPr>
        <w:t xml:space="preserve">References</w:t>
      </w:r>
    </w:p>
    <w:p w:rsidR="00000000" w:rsidDel="00000000" w:rsidP="00000000" w:rsidRDefault="00000000" w:rsidRPr="00000000" w14:paraId="0000000E">
      <w:pPr>
        <w:shd w:fill="ffffff" w:val="clear"/>
        <w:spacing w:after="180" w:before="180" w:lineRule="auto"/>
        <w:rPr>
          <w:color w:val="1155cc"/>
          <w:sz w:val="24"/>
          <w:szCs w:val="24"/>
          <w:u w:val="single"/>
        </w:rPr>
      </w:pPr>
      <w:r w:rsidDel="00000000" w:rsidR="00000000" w:rsidRPr="00000000">
        <w:rPr>
          <w:color w:val="343a3f"/>
          <w:sz w:val="24"/>
          <w:szCs w:val="24"/>
          <w:rtl w:val="0"/>
        </w:rPr>
        <w:t xml:space="preserve">Harvard T.H. Chan School of Public Health. (2020). </w:t>
      </w:r>
      <w:r w:rsidDel="00000000" w:rsidR="00000000" w:rsidRPr="00000000">
        <w:rPr>
          <w:i w:val="1"/>
          <w:color w:val="343a3f"/>
          <w:sz w:val="24"/>
          <w:szCs w:val="24"/>
          <w:rtl w:val="0"/>
        </w:rPr>
        <w:t xml:space="preserve">Coronavirus and Air Pollution.</w:t>
      </w:r>
      <w:r w:rsidDel="00000000" w:rsidR="00000000" w:rsidRPr="00000000">
        <w:rPr>
          <w:color w:val="343a3f"/>
          <w:sz w:val="24"/>
          <w:szCs w:val="24"/>
          <w:rtl w:val="0"/>
        </w:rPr>
        <w:t xml:space="preserve"> The President and Fellows of Harvard College. Retrieved November 26, 2020, from </w:t>
      </w:r>
      <w:r w:rsidDel="00000000" w:rsidR="00000000" w:rsidRPr="00000000">
        <w:fldChar w:fldCharType="begin"/>
        <w:instrText xml:space="preserve"> HYPERLINK "https://www.hsph.harvard.edu/c-change/subtopics/coronavirus-and-pollution" </w:instrText>
        <w:fldChar w:fldCharType="separate"/>
      </w:r>
      <w:r w:rsidDel="00000000" w:rsidR="00000000" w:rsidRPr="00000000">
        <w:rPr>
          <w:color w:val="1155cc"/>
          <w:sz w:val="24"/>
          <w:szCs w:val="24"/>
          <w:u w:val="single"/>
          <w:rtl w:val="0"/>
        </w:rPr>
        <w:t xml:space="preserve">https://www.hsph.harvard.edu/c-change/subtopics/coronavirus-and-pollution</w:t>
      </w:r>
    </w:p>
    <w:p w:rsidR="00000000" w:rsidDel="00000000" w:rsidP="00000000" w:rsidRDefault="00000000" w:rsidRPr="00000000" w14:paraId="0000000F">
      <w:pPr>
        <w:shd w:fill="ffffff" w:val="clear"/>
        <w:spacing w:before="180" w:lineRule="auto"/>
        <w:rPr>
          <w:color w:val="1155cc"/>
          <w:sz w:val="24"/>
          <w:szCs w:val="24"/>
          <w:u w:val="single"/>
        </w:rPr>
      </w:pPr>
      <w:r w:rsidDel="00000000" w:rsidR="00000000" w:rsidRPr="00000000">
        <w:fldChar w:fldCharType="end"/>
      </w:r>
      <w:r w:rsidDel="00000000" w:rsidR="00000000" w:rsidRPr="00000000">
        <w:rPr>
          <w:color w:val="343a3f"/>
          <w:sz w:val="24"/>
          <w:szCs w:val="24"/>
          <w:rtl w:val="0"/>
        </w:rPr>
        <w:t xml:space="preserve">Wu, X., Nethery, R. C., Sabath, M. B., Braun, D., &amp; Dominici, F. (2020). Air pollution and COVID-19 mortality in the United States: Strengths and limitations of an ecological regression analysis. </w:t>
      </w:r>
      <w:r w:rsidDel="00000000" w:rsidR="00000000" w:rsidRPr="00000000">
        <w:rPr>
          <w:i w:val="1"/>
          <w:color w:val="343a3f"/>
          <w:sz w:val="24"/>
          <w:szCs w:val="24"/>
          <w:rtl w:val="0"/>
        </w:rPr>
        <w:t xml:space="preserve">Science Advances, 6</w:t>
      </w:r>
      <w:r w:rsidDel="00000000" w:rsidR="00000000" w:rsidRPr="00000000">
        <w:rPr>
          <w:color w:val="343a3f"/>
          <w:sz w:val="24"/>
          <w:szCs w:val="24"/>
          <w:rtl w:val="0"/>
        </w:rPr>
        <w:t xml:space="preserve">(45). </w:t>
      </w:r>
      <w:hyperlink r:id="rId7">
        <w:r w:rsidDel="00000000" w:rsidR="00000000" w:rsidRPr="00000000">
          <w:rPr>
            <w:color w:val="1155cc"/>
            <w:sz w:val="24"/>
            <w:szCs w:val="24"/>
            <w:u w:val="single"/>
            <w:rtl w:val="0"/>
          </w:rPr>
          <w:t xml:space="preserve">https://doi.org/10.1126/sciadv.abd4049</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343a3f"/>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shd w:fill="ffffff" w:val="clear"/>
        <w:spacing w:before="180" w:lineRule="auto"/>
        <w:rPr>
          <w:sz w:val="24"/>
          <w:szCs w:val="24"/>
        </w:rPr>
      </w:pPr>
      <w:r w:rsidDel="00000000" w:rsidR="00000000" w:rsidRPr="00000000">
        <w:rPr>
          <w:sz w:val="24"/>
          <w:szCs w:val="24"/>
          <w:rtl w:val="0"/>
        </w:rPr>
        <w:t xml:space="preserve">Hi Justin,</w:t>
      </w:r>
    </w:p>
    <w:p w:rsidR="00000000" w:rsidDel="00000000" w:rsidP="00000000" w:rsidRDefault="00000000" w:rsidRPr="00000000" w14:paraId="00000013">
      <w:pPr>
        <w:shd w:fill="ffffff" w:val="clear"/>
        <w:spacing w:before="180" w:lineRule="auto"/>
        <w:rPr>
          <w:sz w:val="24"/>
          <w:szCs w:val="24"/>
          <w:highlight w:val="white"/>
        </w:rPr>
      </w:pPr>
      <w:r w:rsidDel="00000000" w:rsidR="00000000" w:rsidRPr="00000000">
        <w:rPr>
          <w:sz w:val="24"/>
          <w:szCs w:val="24"/>
          <w:rtl w:val="0"/>
        </w:rPr>
        <w:t xml:space="preserve">Following up on </w:t>
      </w:r>
      <w:r w:rsidDel="00000000" w:rsidR="00000000" w:rsidRPr="00000000">
        <w:rPr>
          <w:sz w:val="24"/>
          <w:szCs w:val="24"/>
          <w:highlight w:val="white"/>
          <w:rtl w:val="0"/>
        </w:rPr>
        <w:t xml:space="preserve">Dr. Humphreys post, I’d be curious to know what labor force participation looks like when examined by the education area of study. For instance, </w:t>
      </w:r>
      <w:r w:rsidDel="00000000" w:rsidR="00000000" w:rsidRPr="00000000">
        <w:rPr>
          <w:sz w:val="24"/>
          <w:szCs w:val="24"/>
          <w:highlight w:val="white"/>
          <w:rtl w:val="0"/>
        </w:rPr>
        <w:t xml:space="preserve">Applied Mathematics majors have one of the highest average annual total incomes near $130,313 </w:t>
      </w:r>
      <w:r w:rsidDel="00000000" w:rsidR="00000000" w:rsidRPr="00000000">
        <w:rPr>
          <w:sz w:val="24"/>
          <w:szCs w:val="24"/>
          <w:highlight w:val="white"/>
          <w:rtl w:val="0"/>
        </w:rPr>
        <w:t xml:space="preserve">(Hoff, 2020)</w:t>
      </w:r>
      <w:r w:rsidDel="00000000" w:rsidR="00000000" w:rsidRPr="00000000">
        <w:rPr>
          <w:sz w:val="24"/>
          <w:szCs w:val="24"/>
          <w:highlight w:val="white"/>
          <w:rtl w:val="0"/>
        </w:rPr>
        <w:t xml:space="preserve"> whereas </w:t>
      </w:r>
      <w:r w:rsidDel="00000000" w:rsidR="00000000" w:rsidRPr="00000000">
        <w:rPr>
          <w:sz w:val="24"/>
          <w:szCs w:val="24"/>
          <w:highlight w:val="white"/>
          <w:rtl w:val="0"/>
        </w:rPr>
        <w:t xml:space="preserve">Sociology majors have a median base salary of $42,000 </w:t>
      </w:r>
      <w:r w:rsidDel="00000000" w:rsidR="00000000" w:rsidRPr="00000000">
        <w:rPr>
          <w:sz w:val="24"/>
          <w:szCs w:val="24"/>
          <w:highlight w:val="white"/>
          <w:rtl w:val="0"/>
        </w:rPr>
        <w:t xml:space="preserve">(Berry, 2018)</w:t>
      </w:r>
      <w:r w:rsidDel="00000000" w:rsidR="00000000" w:rsidRPr="00000000">
        <w:rPr>
          <w:sz w:val="24"/>
          <w:szCs w:val="24"/>
          <w:highlight w:val="white"/>
          <w:rtl w:val="0"/>
        </w:rPr>
        <w:t xml:space="preserve">. I’d also be interested to see how the pandemic has affected labor force participation across education </w:t>
      </w:r>
      <w:r w:rsidDel="00000000" w:rsidR="00000000" w:rsidRPr="00000000">
        <w:rPr>
          <w:sz w:val="24"/>
          <w:szCs w:val="24"/>
          <w:highlight w:val="white"/>
          <w:rtl w:val="0"/>
        </w:rPr>
        <w:t xml:space="preserve">level</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4">
      <w:pPr>
        <w:shd w:fill="ffffff" w:val="clear"/>
        <w:spacing w:before="180" w:lineRule="auto"/>
        <w:rPr>
          <w:sz w:val="24"/>
          <w:szCs w:val="24"/>
          <w:highlight w:val="white"/>
        </w:rPr>
      </w:pPr>
      <w:r w:rsidDel="00000000" w:rsidR="00000000" w:rsidRPr="00000000">
        <w:rPr>
          <w:sz w:val="24"/>
          <w:szCs w:val="24"/>
          <w:highlight w:val="white"/>
          <w:rtl w:val="0"/>
        </w:rPr>
        <w:t xml:space="preserve">Lauren </w:t>
      </w:r>
    </w:p>
    <w:p w:rsidR="00000000" w:rsidDel="00000000" w:rsidP="00000000" w:rsidRDefault="00000000" w:rsidRPr="00000000" w14:paraId="00000015">
      <w:pPr>
        <w:shd w:fill="ffffff" w:val="clear"/>
        <w:spacing w:before="180" w:lineRule="auto"/>
        <w:rPr>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before="180" w:lineRule="auto"/>
        <w:rPr>
          <w:sz w:val="24"/>
          <w:szCs w:val="24"/>
          <w:highlight w:val="white"/>
        </w:rPr>
      </w:pPr>
      <w:r w:rsidDel="00000000" w:rsidR="00000000" w:rsidRPr="00000000">
        <w:rPr>
          <w:sz w:val="24"/>
          <w:szCs w:val="24"/>
          <w:highlight w:val="white"/>
          <w:rtl w:val="0"/>
        </w:rPr>
        <w:t xml:space="preserve">References</w:t>
      </w:r>
    </w:p>
    <w:p w:rsidR="00000000" w:rsidDel="00000000" w:rsidP="00000000" w:rsidRDefault="00000000" w:rsidRPr="00000000" w14:paraId="00000017">
      <w:pPr>
        <w:shd w:fill="ffffff" w:val="clear"/>
        <w:spacing w:before="180" w:lineRule="auto"/>
        <w:rPr>
          <w:color w:val="343a3f"/>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before="180" w:lineRule="auto"/>
        <w:rPr>
          <w:color w:val="343a3f"/>
          <w:sz w:val="24"/>
          <w:szCs w:val="24"/>
          <w:highlight w:val="white"/>
        </w:rPr>
      </w:pPr>
      <w:r w:rsidDel="00000000" w:rsidR="00000000" w:rsidRPr="00000000">
        <w:rPr>
          <w:sz w:val="24"/>
          <w:szCs w:val="24"/>
          <w:highlight w:val="white"/>
          <w:rtl w:val="0"/>
        </w:rPr>
        <w:t xml:space="preserve">Hoff, M. (2020, May 19). </w:t>
      </w:r>
      <w:r w:rsidDel="00000000" w:rsidR="00000000" w:rsidRPr="00000000">
        <w:rPr>
          <w:i w:val="1"/>
          <w:sz w:val="24"/>
          <w:szCs w:val="24"/>
          <w:highlight w:val="white"/>
          <w:rtl w:val="0"/>
        </w:rPr>
        <w:t xml:space="preserve">The 20 highest-paying college majors in the US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Business Insider</w:t>
      </w:r>
      <w:r w:rsidDel="00000000" w:rsidR="00000000" w:rsidRPr="00000000">
        <w:rPr>
          <w:sz w:val="24"/>
          <w:szCs w:val="24"/>
          <w:highlight w:val="white"/>
          <w:rtl w:val="0"/>
        </w:rPr>
        <w:t xml:space="preserve">. </w:t>
      </w:r>
      <w:hyperlink r:id="rId8">
        <w:r w:rsidDel="00000000" w:rsidR="00000000" w:rsidRPr="00000000">
          <w:rPr>
            <w:color w:val="1155cc"/>
            <w:sz w:val="24"/>
            <w:szCs w:val="24"/>
            <w:highlight w:val="white"/>
            <w:u w:val="single"/>
            <w:rtl w:val="0"/>
          </w:rPr>
          <w:t xml:space="preserve">https://www.businessinsider.com/college-majors-with-high-average-salaries-post-graduation-2020-5#20-physics-majors-had-an-average-annual-total-income-of-121500-and-288100-have-at-least-a-bachelors-degree-in-this-field-1</w:t>
        </w:r>
      </w:hyperlink>
      <w:r w:rsidDel="00000000" w:rsidR="00000000" w:rsidRPr="00000000">
        <w:rPr>
          <w:color w:val="343a3f"/>
          <w:sz w:val="24"/>
          <w:szCs w:val="24"/>
          <w:highlight w:val="white"/>
          <w:rtl w:val="0"/>
        </w:rPr>
        <w:t xml:space="preserve"> </w:t>
      </w:r>
    </w:p>
    <w:p w:rsidR="00000000" w:rsidDel="00000000" w:rsidP="00000000" w:rsidRDefault="00000000" w:rsidRPr="00000000" w14:paraId="00000019">
      <w:pPr>
        <w:shd w:fill="ffffff" w:val="clear"/>
        <w:spacing w:before="180" w:lineRule="auto"/>
        <w:rPr>
          <w:sz w:val="24"/>
          <w:szCs w:val="24"/>
          <w:highlight w:val="white"/>
        </w:rPr>
      </w:pPr>
      <w:r w:rsidDel="00000000" w:rsidR="00000000" w:rsidRPr="00000000">
        <w:rPr>
          <w:sz w:val="24"/>
          <w:szCs w:val="24"/>
          <w:highlight w:val="white"/>
          <w:rtl w:val="0"/>
        </w:rPr>
        <w:t xml:space="preserve">Berry, A. (2018, July 8). </w:t>
      </w:r>
      <w:r w:rsidDel="00000000" w:rsidR="00000000" w:rsidRPr="00000000">
        <w:rPr>
          <w:i w:val="1"/>
          <w:sz w:val="24"/>
          <w:szCs w:val="24"/>
          <w:highlight w:val="white"/>
          <w:rtl w:val="0"/>
        </w:rPr>
        <w:t xml:space="preserve">50 Highest Paying College Majors</w:t>
      </w:r>
      <w:r w:rsidDel="00000000" w:rsidR="00000000" w:rsidRPr="00000000">
        <w:rPr>
          <w:sz w:val="24"/>
          <w:szCs w:val="24"/>
          <w:highlight w:val="white"/>
          <w:rtl w:val="0"/>
        </w:rPr>
        <w:t xml:space="preserve">. Glassdoor</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A">
      <w:pPr>
        <w:shd w:fill="ffffff" w:val="clear"/>
        <w:spacing w:before="180" w:lineRule="auto"/>
        <w:rPr>
          <w:color w:val="343a3f"/>
          <w:sz w:val="24"/>
          <w:szCs w:val="24"/>
          <w:highlight w:val="white"/>
        </w:rPr>
      </w:pPr>
      <w:hyperlink r:id="rId9">
        <w:r w:rsidDel="00000000" w:rsidR="00000000" w:rsidRPr="00000000">
          <w:rPr>
            <w:color w:val="1155cc"/>
            <w:sz w:val="24"/>
            <w:szCs w:val="24"/>
            <w:highlight w:val="white"/>
            <w:u w:val="single"/>
            <w:rtl w:val="0"/>
          </w:rPr>
          <w:t xml:space="preserve">https://www.glassdoor.com/blog/50-highest-paying-college-majors/</w:t>
        </w:r>
      </w:hyperlink>
      <w:r w:rsidDel="00000000" w:rsidR="00000000" w:rsidRPr="00000000">
        <w:rPr>
          <w:color w:val="343a3f"/>
          <w:sz w:val="24"/>
          <w:szCs w:val="24"/>
          <w:highlight w:val="white"/>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343a3f"/>
          <w:sz w:val="24"/>
          <w:szCs w:val="24"/>
          <w:highlight w:val="white"/>
        </w:rPr>
      </w:pPr>
      <w:r w:rsidDel="00000000" w:rsidR="00000000" w:rsidRPr="00000000">
        <w:rPr>
          <w:color w:val="343a3f"/>
          <w:sz w:val="24"/>
          <w:szCs w:val="24"/>
          <w:highlight w:val="white"/>
          <w:rtl w:val="0"/>
        </w:rPr>
        <w:t xml:space="preserve">We know that gender and race play a role on these factors as well</w:t>
      </w:r>
    </w:p>
    <w:p w:rsidR="00000000" w:rsidDel="00000000" w:rsidP="00000000" w:rsidRDefault="00000000" w:rsidRPr="00000000" w14:paraId="00000020">
      <w:pPr>
        <w:rPr>
          <w:color w:val="343a3f"/>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before="180" w:lineRule="auto"/>
        <w:rPr>
          <w:sz w:val="24"/>
          <w:szCs w:val="24"/>
        </w:rPr>
      </w:pPr>
      <w:r w:rsidDel="00000000" w:rsidR="00000000" w:rsidRPr="00000000">
        <w:rPr>
          <w:sz w:val="24"/>
          <w:szCs w:val="24"/>
          <w:rtl w:val="0"/>
        </w:rPr>
        <w:t xml:space="preserve">Hi Matthew,</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I’d be interested to know what the levels of personal finance education look like across gender and race given numerous wealth disparities. Single women often pay more for mortgage loans and are denied more often than single men or couples. Further, single women borrowers are more likely to be women of color (Ellevest Team, 2020). When it comes to higher education, although women comprise 57% of higher education students, they carry almost two-thirds of nationwide student debt. Black women graduate with most of the student debt at $30,400 as compared to white men at $19,500 (AAUW, 2018). Ultimately, women can expect to retire on average with two-thirds the money men do (Olson, 2016). I think understanding how and when and what personal finance education is communicated to women and people of color is essential to closing the gap on these disparities. </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before="180" w:lineRule="auto"/>
        <w:rPr>
          <w:sz w:val="24"/>
          <w:szCs w:val="24"/>
          <w:highlight w:val="white"/>
        </w:rPr>
      </w:pPr>
      <w:r w:rsidDel="00000000" w:rsidR="00000000" w:rsidRPr="00000000">
        <w:rPr>
          <w:sz w:val="24"/>
          <w:szCs w:val="24"/>
          <w:highlight w:val="white"/>
          <w:rtl w:val="0"/>
        </w:rPr>
        <w:t xml:space="preserve">Lauren </w:t>
      </w:r>
    </w:p>
    <w:p w:rsidR="00000000" w:rsidDel="00000000" w:rsidP="00000000" w:rsidRDefault="00000000" w:rsidRPr="00000000" w14:paraId="00000026">
      <w:pPr>
        <w:shd w:fill="ffffff" w:val="clear"/>
        <w:spacing w:before="180" w:lineRule="auto"/>
        <w:rPr>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before="180" w:lineRule="auto"/>
        <w:rPr>
          <w:color w:val="333333"/>
          <w:sz w:val="24"/>
          <w:szCs w:val="24"/>
          <w:highlight w:val="white"/>
        </w:rPr>
      </w:pPr>
      <w:r w:rsidDel="00000000" w:rsidR="00000000" w:rsidRPr="00000000">
        <w:rPr>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28">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333333"/>
          <w:sz w:val="24"/>
          <w:szCs w:val="24"/>
          <w:highlight w:val="white"/>
        </w:rPr>
      </w:pPr>
      <w:r w:rsidDel="00000000" w:rsidR="00000000" w:rsidRPr="00000000">
        <w:rPr>
          <w:sz w:val="24"/>
          <w:szCs w:val="24"/>
          <w:highlight w:val="white"/>
          <w:rtl w:val="0"/>
        </w:rPr>
        <w:t xml:space="preserve">AAUW. (2018, May 21). </w:t>
      </w:r>
      <w:r w:rsidDel="00000000" w:rsidR="00000000" w:rsidRPr="00000000">
        <w:rPr>
          <w:i w:val="1"/>
          <w:sz w:val="24"/>
          <w:szCs w:val="24"/>
          <w:highlight w:val="white"/>
          <w:rtl w:val="0"/>
        </w:rPr>
        <w:t xml:space="preserve">Analysis: Women Hold Two-Thirds of Country’s $1.4-Trillion Student Debt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American Association of University Women. </w:t>
      </w:r>
      <w:hyperlink r:id="rId10">
        <w:r w:rsidDel="00000000" w:rsidR="00000000" w:rsidRPr="00000000">
          <w:rPr>
            <w:rFonts w:ascii="Georgia" w:cs="Georgia" w:eastAsia="Georgia" w:hAnsi="Georgia"/>
            <w:color w:val="1155cc"/>
            <w:sz w:val="24"/>
            <w:szCs w:val="24"/>
            <w:highlight w:val="white"/>
            <w:u w:val="single"/>
            <w:rtl w:val="0"/>
          </w:rPr>
          <w:t xml:space="preserve">https://www.aauw.org/resources/news/media/press-releases/analysis-women-hold-two-thirds-of-countrys-1-4-trillion-student-debt</w:t>
        </w:r>
      </w:hyperlink>
      <w:r w:rsidDel="00000000" w:rsidR="00000000" w:rsidRPr="00000000">
        <w:rPr>
          <w:rtl w:val="0"/>
        </w:rPr>
      </w:r>
    </w:p>
    <w:p w:rsidR="00000000" w:rsidDel="00000000" w:rsidP="00000000" w:rsidRDefault="00000000" w:rsidRPr="00000000" w14:paraId="0000002A">
      <w:pPr>
        <w:shd w:fill="ffffff" w:val="clear"/>
        <w:spacing w:before="180" w:lineRule="auto"/>
        <w:rPr>
          <w:b w:val="1"/>
          <w:i w:val="1"/>
          <w:sz w:val="24"/>
          <w:szCs w:val="24"/>
          <w:highlight w:val="white"/>
        </w:rPr>
      </w:pPr>
      <w:r w:rsidDel="00000000" w:rsidR="00000000" w:rsidRPr="00000000">
        <w:rPr>
          <w:sz w:val="24"/>
          <w:szCs w:val="24"/>
          <w:highlight w:val="white"/>
          <w:rtl w:val="0"/>
        </w:rPr>
        <w:t xml:space="preserve">Ellevest Team. (2020, June 26). </w:t>
      </w:r>
      <w:r w:rsidDel="00000000" w:rsidR="00000000" w:rsidRPr="00000000">
        <w:rPr>
          <w:i w:val="1"/>
          <w:sz w:val="24"/>
          <w:szCs w:val="24"/>
          <w:highlight w:val="white"/>
          <w:rtl w:val="0"/>
        </w:rPr>
        <w:t xml:space="preserve">60+ Stats About Women and Money</w:t>
      </w:r>
      <w:r w:rsidDel="00000000" w:rsidR="00000000" w:rsidRPr="00000000">
        <w:rPr>
          <w:sz w:val="24"/>
          <w:szCs w:val="24"/>
          <w:highlight w:val="white"/>
          <w:rtl w:val="0"/>
        </w:rPr>
        <w:t xml:space="preserve">. Ellevest. </w:t>
      </w:r>
      <w:r w:rsidDel="00000000" w:rsidR="00000000" w:rsidRPr="00000000">
        <w:rPr>
          <w:rtl w:val="0"/>
        </w:rPr>
      </w:r>
    </w:p>
    <w:p w:rsidR="00000000" w:rsidDel="00000000" w:rsidP="00000000" w:rsidRDefault="00000000" w:rsidRPr="00000000" w14:paraId="0000002B">
      <w:pPr>
        <w:rPr>
          <w:rFonts w:ascii="Georgia" w:cs="Georgia" w:eastAsia="Georgia" w:hAnsi="Georgia"/>
          <w:color w:val="333333"/>
          <w:sz w:val="24"/>
          <w:szCs w:val="24"/>
          <w:highlight w:val="white"/>
        </w:rPr>
      </w:pPr>
      <w:hyperlink r:id="rId11">
        <w:r w:rsidDel="00000000" w:rsidR="00000000" w:rsidRPr="00000000">
          <w:rPr>
            <w:color w:val="1155cc"/>
            <w:sz w:val="24"/>
            <w:szCs w:val="24"/>
            <w:highlight w:val="white"/>
            <w:u w:val="single"/>
            <w:rtl w:val="0"/>
          </w:rPr>
          <w:t xml:space="preserve">https://www.ellevest.com/magazine/disrupt-money/stats-about-women-money</w:t>
        </w:r>
      </w:hyperlink>
      <w:r w:rsidDel="00000000" w:rsidR="00000000" w:rsidRPr="00000000">
        <w:rPr>
          <w:rtl w:val="0"/>
        </w:rPr>
      </w:r>
    </w:p>
    <w:p w:rsidR="00000000" w:rsidDel="00000000" w:rsidP="00000000" w:rsidRDefault="00000000" w:rsidRPr="00000000" w14:paraId="0000002C">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D">
      <w:pPr>
        <w:rPr>
          <w:rFonts w:ascii="Georgia" w:cs="Georgia" w:eastAsia="Georgia" w:hAnsi="Georgia"/>
          <w:color w:val="333333"/>
          <w:sz w:val="24"/>
          <w:szCs w:val="24"/>
          <w:highlight w:val="white"/>
        </w:rPr>
      </w:pPr>
      <w:r w:rsidDel="00000000" w:rsidR="00000000" w:rsidRPr="00000000">
        <w:rPr>
          <w:sz w:val="24"/>
          <w:szCs w:val="24"/>
          <w:highlight w:val="white"/>
          <w:rtl w:val="0"/>
        </w:rPr>
        <w:t xml:space="preserve">Olson, E. (2016, June 3). </w:t>
      </w:r>
      <w:r w:rsidDel="00000000" w:rsidR="00000000" w:rsidRPr="00000000">
        <w:rPr>
          <w:sz w:val="24"/>
          <w:szCs w:val="24"/>
          <w:highlight w:val="white"/>
          <w:rtl w:val="0"/>
        </w:rPr>
        <w:t xml:space="preserve">For Many Women, Adequate Pensions Are Still a Far Reach. </w:t>
      </w:r>
      <w:r w:rsidDel="00000000" w:rsidR="00000000" w:rsidRPr="00000000">
        <w:rPr>
          <w:i w:val="1"/>
          <w:sz w:val="24"/>
          <w:szCs w:val="24"/>
          <w:highlight w:val="white"/>
          <w:rtl w:val="0"/>
        </w:rPr>
        <w:t xml:space="preserve">The New York Times</w:t>
      </w:r>
      <w:r w:rsidDel="00000000" w:rsidR="00000000" w:rsidRPr="00000000">
        <w:rPr>
          <w:sz w:val="24"/>
          <w:szCs w:val="24"/>
          <w:highlight w:val="white"/>
          <w:rtl w:val="0"/>
        </w:rPr>
        <w:t xml:space="preserve">. </w:t>
      </w:r>
      <w:hyperlink r:id="rId12">
        <w:r w:rsidDel="00000000" w:rsidR="00000000" w:rsidRPr="00000000">
          <w:rPr>
            <w:rFonts w:ascii="Georgia" w:cs="Georgia" w:eastAsia="Georgia" w:hAnsi="Georgia"/>
            <w:color w:val="1155cc"/>
            <w:sz w:val="24"/>
            <w:szCs w:val="24"/>
            <w:highlight w:val="white"/>
            <w:u w:val="single"/>
            <w:rtl w:val="0"/>
          </w:rPr>
          <w:t xml:space="preserve">https://www.nytimes.com/2016/06/04/your-money/for-many-women-adequate-pensions-are-still-a-far-reach.html</w:t>
        </w:r>
      </w:hyperlink>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2E">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F">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30">
      <w:pP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31">
      <w:pPr>
        <w:rPr>
          <w:color w:val="343a3f"/>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43a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llevest.com/magazine/disrupt-money/stats-about-women-money" TargetMode="External"/><Relationship Id="rId10" Type="http://schemas.openxmlformats.org/officeDocument/2006/relationships/hyperlink" Target="https://www.aauw.org/resources/news/media/press-releases/analysis-women-hold-two-thirds-of-countrys-1-4-trillion-student-debt" TargetMode="External"/><Relationship Id="rId12" Type="http://schemas.openxmlformats.org/officeDocument/2006/relationships/hyperlink" Target="https://www.nytimes.com/2016/06/04/your-money/for-many-women-adequate-pensions-are-still-a-far-reach.html" TargetMode="External"/><Relationship Id="rId9" Type="http://schemas.openxmlformats.org/officeDocument/2006/relationships/hyperlink" Target="https://www.glassdoor.com/blog/50-highest-paying-college-major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i.org/10.1126/sciadv.abd4049" TargetMode="External"/><Relationship Id="rId8" Type="http://schemas.openxmlformats.org/officeDocument/2006/relationships/hyperlink" Target="https://www.businessinsider.com/college-majors-with-high-average-salaries-post-graduation-2020-5#20-physics-majors-had-an-average-annual-total-income-of-121500-and-288100-have-at-least-a-bachelors-degree-in-this-fiel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