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Present and the Future: The n-of-1 Revolution of Managing Knee Injuries With AI Twins</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 Rentz</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Kinesiology, University of Calgary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KNES 381: Computer Applications in Kinesiology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John Holash</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8, 2026</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Present and the Future: The n-of-1 Revolution of Managing Knee Injuries With AI Twins</w:t>
      </w:r>
    </w:p>
    <w:p w:rsidR="00000000" w:rsidDel="00000000" w:rsidP="00000000" w:rsidRDefault="00000000" w:rsidRPr="00000000" w14:paraId="0000001C">
      <w:pPr>
        <w:spacing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1b1b1b"/>
          <w:sz w:val="24"/>
          <w:szCs w:val="24"/>
          <w:highlight w:val="white"/>
          <w:rtl w:val="0"/>
        </w:rPr>
        <w:t xml:space="preserve">By 2030, it is projected that the number of knee replacement surgeries in the U.S. will reach 3.5 million, and will continue to grow annually due to the ageing global population, increasing rates of osteoarthritis, and increased access to healthcare. Looking beyond primary surgical costs, “prolonged recovery and productivity loss contribute to a broader economic impact.” (Sadoghi et al., 2025). Current “gold standard” treatments for common knee conditions such as ACL tears and osteoarthritis are often based on a more generalized approach, and while this may be helpful in performing more surgeries in less time, it inversely reflects the decline in the quality of recovery and risk for secondary injury (Evans et al., 2014). In response to this, several research groups have successfully conducted multiple cohort studies where AI twin models of the knee were used to guide and predict outcomes of medical interventions before they ever happened (Liu et al., 2025). Despite being a fairly new response to addressing knee injury interventions, the integration of AI-augmented Digital Twins is already proving to be a revolutionary technology in addressing individual pathology and expediting image analysis in the ever evolving landscape of orthopedic medicine.</w:t>
      </w:r>
    </w:p>
    <w:p w:rsidR="00000000" w:rsidDel="00000000" w:rsidP="00000000" w:rsidRDefault="00000000" w:rsidRPr="00000000" w14:paraId="0000001D">
      <w:pPr>
        <w:spacing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ab/>
        <w:t xml:space="preserve">The foundation for this technology depends on unsupervised learning frameworks developed by deep learning models such as KneeSeg-U (Knee Segmentation Unsupervised Framework) (Rajeena et al., 2026). This automatic segmentation of knee MRI data maintains high accuracy of segmentation while eliminating the need for manually annotating data. Reduced dependency on human annotated data allows for a much greater application of automated analysis, which is particularly useful in the early detection of musculoskeletal disorder detection. Even in its relatively early stages of development in recent years, this technology has shown promising and meaningful contemporary use. A randomized clinical trial conducted by Jayakumar et al. in 2025 found that usage of digital twins in generating person-specific risks and benefits of total knee arthroplasty (TKA) lowered decision regret and conflict compared to their control group. Although their evolution is rapidly evolving, limitations do remain. While high computational costs and individual lab settings can produce fluid live models, many digital twins, especially those being implemented in true healthcare settings are limited to what are essentially “static snapshots” of what the AI algorithm produced. Although these snapshots are helpful for simulating different scenarios and improving  patient understanding, “Enhancing interactive and clinically oriented visualization tools may be crucial for translating digital twins from research prototypes into practical decision-support systems” (Rad et al., 2026).</w:t>
      </w:r>
    </w:p>
    <w:p w:rsidR="00000000" w:rsidDel="00000000" w:rsidP="00000000" w:rsidRDefault="00000000" w:rsidRPr="00000000" w14:paraId="0000001E">
      <w:pPr>
        <w:spacing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ab/>
        <w:t xml:space="preserve">Building on this foundation, methods of distinguishing cohorts and subpopulations have emerged in the past year, creating opportunities for cohort comparisons and treatment methods while still noting that differences remain. At this time, there are three main types of subtwins used in the creation and eventual aggregation of individual twins. Digital Twin Prototypes (DTP) are the first twin models of a patient's knee. These are useful for creating a “control” and can be used to simulate the effects of different interventions before a decision is made. From this, Digital Twin Instances (DTI)  can be made. These are specific twins that are made and updated as a patient receives treatment and new scans, and can also be constructed from data collected from wearable technologies such as accelerometers and force sensors. Finally, Digital Twin Aggregates (DTA) can be constructed to identify trends across populations and aid in preventative treatment (Jones et al., 2020). Making this distinction is key, especially in the early phases of development. This is crucial for consistent language use amongst professionals and in research, but also for patients. In a digital age that is rapidly evolving to use more and more AI models, establishing intuitive and clear definitions increases user confidence and acceptance at the patient level. Due to the nature of artificial intelligence and its presence in the media today, it is understandable as to why some individuals may be doubtful or even afraid of AI-based treatments. This is particularly true in older populations that tend to be less accepting of such technology in professional workplaces. As many knee and joint repair/replacement patients are elderly, this is an appropriate consideration to make, and reflects the fact that considerations beyond ethics and transparency are also important when introducing new technologies outside of a laboratory context. Research projects that are being conducted today, such as KNEE-AI focus on taking both individual twins and aggregate groups and predicting the risk of specific ligament tears with high confidence by simulating mechanical stressors based on the patient’s individual anatomy. </w:t>
      </w:r>
    </w:p>
    <w:p w:rsidR="00000000" w:rsidDel="00000000" w:rsidP="00000000" w:rsidRDefault="00000000" w:rsidRPr="00000000" w14:paraId="0000001F">
      <w:pPr>
        <w:spacing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ab/>
        <w:t xml:space="preserve">As outlined, these AI “twins” and models not only allow practitioners and professionals to simulate different treatments and assess various risk outcomes, but allows patients to actually see and understand the biomechanics and pathology of their injury. This is especially useful for individuals who are not proficient with medical terminology and jargon, bridging this language barrier. Visual biofeedback has additionally been shown to increase compliance with physical restrictions and post-operative therapies as much as 69% in TKA patients where functional outcome is often not restored (Millar, 2016). Though much of this feedback is automated and conducted in real-time, usage of these AI algorithms requires that practitioners appropriately adapt their role and ability to critically consider recommendations provided by the AI twin that may be selected through bias in its selection of treatment. “For example, if an AI system recommends specific knee arthroplasty implants, it should clearly communicate why certain implants are preferred based on comprehensive patient data, including demographic information, medical history, arthritis type…” (Kader et al., 2025). This important consideration opens conversation for the discussion of potential sources of bias within these algorithms, and how they make their choices. As the main point of these AI twins is to consider a vast range of individual patient variables in decision-making surrounding the effects and consequences of their treatment, any shortcuts or invalid assumptions it makes in its recommendations effectively destroys evidence as to why a hybrid approach of combining personalized data-driven practice with traditional, evidence-based medicine as opposed to evidence-based medicine alone. In order to build trust in an AI-driven approach, it is crucial that regular audits be conducted in order to ensure strict and complete compliance with applicable ethical standards. An establishment of such regular, longitudinal audits will aid in the establishment of how these models make their decisions and the detection of biases that develop over time. Such data must also be accessible to clinicians so they can clearly see what features influence certain recommendations. As the healthcare industry as a whole continues to become increasingly adaptive and expand individualized care at an exponential rate with the assistance of AI, it is urgent that the regulatory frameworks that help guide these systems are dynamic as well in order to best fit current clinical standards, and most importantly, are safe for both patients and practitioners to use (Kader et al., 2025). Another large concern regarding the widespread implementation of AI twins in treating these injuries is the ‘digital divide’ it creates. As with any automated technology, time of treatment, cost, and patient outcomes may improve over time, however, implementation is often limited to private clinics and remains inaccessible to others through its creation of a tiered system where modern health technologies are often not available in low-income regions, which introduces the challenge of advancing health technologies while still providing adequate services in less accessible regions (Branco et al., 2026).</w:t>
      </w:r>
    </w:p>
    <w:p w:rsidR="00000000" w:rsidDel="00000000" w:rsidP="00000000" w:rsidRDefault="00000000" w:rsidRPr="00000000" w14:paraId="00000020">
      <w:pPr>
        <w:spacing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ab/>
        <w:t xml:space="preserve">In conclusion, Digital Twins are not a foreign technology at risk of being lost at the helm of traditional and evidence-based medicine, but are instead powerful, emergent systems. that are expected to become standard clinical tools in the coming years. As the treatment of knee injuries and orthopedic medicine as a whole has begun to shift away from evidence-based medicine, backed by randomized control trials that often fail to acknowledge the heterogeneous nature of the treatment and outcomes of injuries, AI-based technologies have begun to fill these gaps. Just as with the use of Artificial Intelligence in other fields, it is important to address the ethical implications of using such technologies. In addition to the storage and usage of personal data, the roles and scope of both the patient and practitioner change. Digital twins increase patient autonomy, allowing them to clearly see the mechanics and impacts of different treatments, helping to close the gap between patient and practitioner, while professionals must adapt to interpret and help simulate data while still upholding proper medical and ethical practices. Although change is daunting, AI twins may be the next major milestone in modern medicine as they prove to be so much more than just a simulation.</w:t>
      </w:r>
    </w:p>
    <w:p w:rsidR="00000000" w:rsidDel="00000000" w:rsidP="00000000" w:rsidRDefault="00000000" w:rsidRPr="00000000" w14:paraId="0000002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480" w:lineRule="auto"/>
        <w:ind w:left="283.46456692913387"/>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Branco, J. P., Graça, D. T., Costa, E., Branco, C. A., Sampaio, F., Barroso, J., Pinheiro, J. P., Cantista, P., Nunes, R., &amp; Lains, J. (2026). AI based rehabilitation: the way forward in addressing unmet needs in musculoskeletal disease. </w:t>
      </w:r>
      <w:r w:rsidDel="00000000" w:rsidR="00000000" w:rsidRPr="00000000">
        <w:rPr>
          <w:rFonts w:ascii="Times New Roman" w:cs="Times New Roman" w:eastAsia="Times New Roman" w:hAnsi="Times New Roman"/>
          <w:i w:val="1"/>
          <w:iCs w:val="1"/>
          <w:color w:val="1b1b1b"/>
          <w:sz w:val="24"/>
          <w:szCs w:val="24"/>
          <w:highlight w:val="white"/>
          <w:rtl w:val="0"/>
        </w:rPr>
        <w:t xml:space="preserve">Frontiers in public health</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14</w:t>
      </w:r>
      <w:r w:rsidDel="00000000" w:rsidR="00000000" w:rsidRPr="00000000">
        <w:rPr>
          <w:rFonts w:ascii="Times New Roman" w:cs="Times New Roman" w:eastAsia="Times New Roman" w:hAnsi="Times New Roman"/>
          <w:color w:val="1b1b1b"/>
          <w:sz w:val="24"/>
          <w:szCs w:val="24"/>
          <w:highlight w:val="white"/>
          <w:rtl w:val="0"/>
        </w:rPr>
        <w:t xml:space="preserve">, 1773733.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https://doi.org/10.3389/fpubh.2026.1773733</w:t>
        </w:r>
      </w:hyperlink>
      <w:r w:rsidDel="00000000" w:rsidR="00000000" w:rsidRPr="00000000">
        <w:rPr>
          <w:rtl w:val="0"/>
        </w:rPr>
      </w:r>
    </w:p>
    <w:p w:rsidR="00000000" w:rsidDel="00000000" w:rsidP="00000000" w:rsidRDefault="00000000" w:rsidRPr="00000000" w14:paraId="00000032">
      <w:pPr>
        <w:spacing w:line="480" w:lineRule="auto"/>
        <w:ind w:left="283.46456692913387"/>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David Jones, Chris Snider, Aydin Nassehi, Jason Yon, Ben Hicks, Characterising the Digital Twin: A systematic literature review, CIRP Journal of Manufacturing Science and Technology, Volume 29, Part A, 2020, Pages 36-52, ISSN 1755-5817,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https://doi.org/10.1016/j.cirpj.2020.02.002</w:t>
        </w:r>
      </w:hyperlink>
      <w:r w:rsidDel="00000000" w:rsidR="00000000" w:rsidRPr="00000000">
        <w:rPr>
          <w:rFonts w:ascii="Times New Roman" w:cs="Times New Roman" w:eastAsia="Times New Roman" w:hAnsi="Times New Roman"/>
          <w:color w:val="1b1b1b"/>
          <w:sz w:val="24"/>
          <w:szCs w:val="24"/>
          <w:highlight w:val="white"/>
          <w:rtl w:val="0"/>
        </w:rPr>
        <w:t xml:space="preserve">.</w:t>
      </w:r>
    </w:p>
    <w:p w:rsidR="00000000" w:rsidDel="00000000" w:rsidP="00000000" w:rsidRDefault="00000000" w:rsidRPr="00000000" w14:paraId="00000033">
      <w:pPr>
        <w:spacing w:line="480" w:lineRule="auto"/>
        <w:ind w:left="283.46456692913387" w:hanging="283.46456692913387"/>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Google. (2026). </w:t>
      </w:r>
      <w:r w:rsidDel="00000000" w:rsidR="00000000" w:rsidRPr="00000000">
        <w:rPr>
          <w:rFonts w:ascii="Times New Roman" w:cs="Times New Roman" w:eastAsia="Times New Roman" w:hAnsi="Times New Roman"/>
          <w:i w:val="1"/>
          <w:iCs w:val="1"/>
          <w:color w:val="0a0a0a"/>
          <w:sz w:val="24"/>
          <w:szCs w:val="24"/>
          <w:highlight w:val="white"/>
          <w:rtl w:val="0"/>
        </w:rPr>
        <w:t xml:space="preserve">Gemini</w:t>
      </w:r>
      <w:r w:rsidDel="00000000" w:rsidR="00000000" w:rsidRPr="00000000">
        <w:rPr>
          <w:rFonts w:ascii="Times New Roman" w:cs="Times New Roman" w:eastAsia="Times New Roman" w:hAnsi="Times New Roman"/>
          <w:color w:val="0a0a0a"/>
          <w:sz w:val="24"/>
          <w:szCs w:val="24"/>
          <w:highlight w:val="white"/>
          <w:rtl w:val="0"/>
        </w:rPr>
        <w:t xml:space="preserve"> (April 2026 version) [Gemini 3 Flash].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https://gemini.google.com/app</w:t>
        </w:r>
      </w:hyperlink>
      <w:r w:rsidDel="00000000" w:rsidR="00000000" w:rsidRPr="00000000">
        <w:rPr>
          <w:rtl w:val="0"/>
        </w:rPr>
      </w:r>
    </w:p>
    <w:p w:rsidR="00000000" w:rsidDel="00000000" w:rsidP="00000000" w:rsidRDefault="00000000" w:rsidRPr="00000000" w14:paraId="00000034">
      <w:pPr>
        <w:spacing w:line="480" w:lineRule="auto"/>
        <w:ind w:left="283.46456692913387"/>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Kader, D. F., Coppola, A., Vijay, A., Fontalis, A., &amp; Haddad, F. S. (2025). The future of precision orthopaedics: personalized data-driven practice. </w:t>
      </w:r>
      <w:r w:rsidDel="00000000" w:rsidR="00000000" w:rsidRPr="00000000">
        <w:rPr>
          <w:rFonts w:ascii="Times New Roman" w:cs="Times New Roman" w:eastAsia="Times New Roman" w:hAnsi="Times New Roman"/>
          <w:i w:val="1"/>
          <w:iCs w:val="1"/>
          <w:color w:val="1b1b1b"/>
          <w:sz w:val="24"/>
          <w:szCs w:val="24"/>
          <w:highlight w:val="white"/>
          <w:rtl w:val="0"/>
        </w:rPr>
        <w:t xml:space="preserve">Bone &amp; joint open</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6</w:t>
      </w:r>
      <w:r w:rsidDel="00000000" w:rsidR="00000000" w:rsidRPr="00000000">
        <w:rPr>
          <w:rFonts w:ascii="Times New Roman" w:cs="Times New Roman" w:eastAsia="Times New Roman" w:hAnsi="Times New Roman"/>
          <w:color w:val="1b1b1b"/>
          <w:sz w:val="24"/>
          <w:szCs w:val="24"/>
          <w:highlight w:val="white"/>
          <w:rtl w:val="0"/>
        </w:rPr>
        <w:t xml:space="preserve">(7), 836–840.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https://doi.org/10.1302/2633-1462.67.BJO-2025-0056.R1</w:t>
        </w:r>
      </w:hyperlink>
      <w:r w:rsidDel="00000000" w:rsidR="00000000" w:rsidRPr="00000000">
        <w:rPr>
          <w:rtl w:val="0"/>
        </w:rPr>
      </w:r>
    </w:p>
    <w:p w:rsidR="00000000" w:rsidDel="00000000" w:rsidP="00000000" w:rsidRDefault="00000000" w:rsidRPr="00000000" w14:paraId="00000035">
      <w:pPr>
        <w:spacing w:line="480" w:lineRule="auto"/>
        <w:ind w:left="283.46456692913387"/>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Liu, T., Sun, L., Sun, C., Chen, Z., Li, J., &amp; Su, P. (2025). A Digital Twin System for the Sitting-to-Standing Motion of the Knee Joint. </w:t>
      </w:r>
      <w:r w:rsidDel="00000000" w:rsidR="00000000" w:rsidRPr="00000000">
        <w:rPr>
          <w:rFonts w:ascii="Times New Roman" w:cs="Times New Roman" w:eastAsia="Times New Roman" w:hAnsi="Times New Roman"/>
          <w:i w:val="1"/>
          <w:iCs w:val="1"/>
          <w:color w:val="222222"/>
          <w:sz w:val="24"/>
          <w:szCs w:val="24"/>
          <w:highlight w:val="white"/>
          <w:rtl w:val="0"/>
        </w:rPr>
        <w:t xml:space="preserve">Electronics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14</w:t>
      </w:r>
      <w:r w:rsidDel="00000000" w:rsidR="00000000" w:rsidRPr="00000000">
        <w:rPr>
          <w:rFonts w:ascii="Times New Roman" w:cs="Times New Roman" w:eastAsia="Times New Roman" w:hAnsi="Times New Roman"/>
          <w:color w:val="222222"/>
          <w:sz w:val="24"/>
          <w:szCs w:val="24"/>
          <w:highlight w:val="white"/>
          <w:rtl w:val="0"/>
        </w:rPr>
        <w:t xml:space="preserve">(14), 2867.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https://doi.org/10.3390/electronics14142867</w:t>
        </w:r>
      </w:hyperlink>
      <w:r w:rsidDel="00000000" w:rsidR="00000000" w:rsidRPr="00000000">
        <w:rPr>
          <w:rtl w:val="0"/>
        </w:rPr>
      </w:r>
    </w:p>
    <w:p w:rsidR="00000000" w:rsidDel="00000000" w:rsidP="00000000" w:rsidRDefault="00000000" w:rsidRPr="00000000" w14:paraId="00000036">
      <w:pPr>
        <w:spacing w:after="240" w:before="240" w:line="480" w:lineRule="auto"/>
        <w:ind w:left="283.46456692913387" w:hanging="283.46456692913387"/>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Millar, L. J. (2016). </w:t>
      </w:r>
      <w:r w:rsidDel="00000000" w:rsidR="00000000" w:rsidRPr="00000000">
        <w:rPr>
          <w:rFonts w:ascii="Times New Roman" w:cs="Times New Roman" w:eastAsia="Times New Roman" w:hAnsi="Times New Roman"/>
          <w:i w:val="1"/>
          <w:iCs w:val="1"/>
          <w:color w:val="222222"/>
          <w:sz w:val="24"/>
          <w:szCs w:val="24"/>
          <w:highlight w:val="white"/>
          <w:rtl w:val="0"/>
        </w:rPr>
        <w:t xml:space="preserve">Visual feedback in orthopaedic rehabilitation</w:t>
      </w:r>
      <w:r w:rsidDel="00000000" w:rsidR="00000000" w:rsidRPr="00000000">
        <w:rPr>
          <w:rFonts w:ascii="Times New Roman" w:cs="Times New Roman" w:eastAsia="Times New Roman" w:hAnsi="Times New Roman"/>
          <w:color w:val="222222"/>
          <w:sz w:val="24"/>
          <w:szCs w:val="24"/>
          <w:highlight w:val="white"/>
          <w:rtl w:val="0"/>
        </w:rPr>
        <w:t xml:space="preserve"> (Doctoral thesis, University of Strathclyde). STAX.</w:t>
      </w:r>
      <w:hyperlink r:id="rId11">
        <w:r w:rsidDel="00000000" w:rsidR="00000000" w:rsidRPr="00000000">
          <w:rPr>
            <w:rFonts w:ascii="Times New Roman" w:cs="Times New Roman" w:eastAsia="Times New Roman" w:hAnsi="Times New Roman"/>
            <w:color w:val="222222"/>
            <w:sz w:val="24"/>
            <w:szCs w:val="24"/>
            <w:highlight w:val="white"/>
            <w:rtl w:val="0"/>
          </w:rPr>
          <w:t xml:space="preserve"> </w:t>
        </w:r>
      </w:hyperlink>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https://doi.org/10.48730/ap8f-sc81</w:t>
        </w:r>
      </w:hyperlink>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tl w:val="0"/>
        </w:rPr>
      </w:r>
    </w:p>
    <w:p w:rsidR="00000000" w:rsidDel="00000000" w:rsidP="00000000" w:rsidRDefault="00000000" w:rsidRPr="00000000" w14:paraId="00000037">
      <w:pPr>
        <w:spacing w:line="480" w:lineRule="auto"/>
        <w:ind w:left="283.46456692913387"/>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Rajeena P.P.F., Sadek Ali M.A., Al khaldi N. et al. Automated knee MRI segmentation with KneeSeg-U for cartilage and bone extraction using an unsupervised deep learning framework. BMC Musculoskelet Disord (2026).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https://doi.org/10.1186/s12891-026-09761-6</w:t>
        </w:r>
      </w:hyperlink>
      <w:r w:rsidDel="00000000" w:rsidR="00000000" w:rsidRPr="00000000">
        <w:rPr>
          <w:rtl w:val="0"/>
        </w:rPr>
      </w:r>
    </w:p>
    <w:p w:rsidR="00000000" w:rsidDel="00000000" w:rsidP="00000000" w:rsidRDefault="00000000" w:rsidRPr="00000000" w14:paraId="00000038">
      <w:pPr>
        <w:spacing w:line="480" w:lineRule="auto"/>
        <w:ind w:left="283.46456692913387" w:hanging="283.46456692913387"/>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Sadoghi, P., Koutp, A., Prieto, D. P., Clauss, M., Kayaalp, M. E., &amp; Hirschmann, M. T. (2025). The projected economic burden and complications of revision hip and knee arthroplasties: Insights from national registry studies. </w:t>
      </w:r>
      <w:r w:rsidDel="00000000" w:rsidR="00000000" w:rsidRPr="00000000">
        <w:rPr>
          <w:rFonts w:ascii="Times New Roman" w:cs="Times New Roman" w:eastAsia="Times New Roman" w:hAnsi="Times New Roman"/>
          <w:i w:val="1"/>
          <w:iCs w:val="1"/>
          <w:color w:val="1b1b1b"/>
          <w:sz w:val="24"/>
          <w:szCs w:val="24"/>
          <w:highlight w:val="white"/>
          <w:rtl w:val="0"/>
        </w:rPr>
        <w:t xml:space="preserve">Knee surgery, sports traumatology, arthroscopy : official journal of the ESSKA</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33</w:t>
      </w:r>
      <w:r w:rsidDel="00000000" w:rsidR="00000000" w:rsidRPr="00000000">
        <w:rPr>
          <w:rFonts w:ascii="Times New Roman" w:cs="Times New Roman" w:eastAsia="Times New Roman" w:hAnsi="Times New Roman"/>
          <w:color w:val="1b1b1b"/>
          <w:sz w:val="24"/>
          <w:szCs w:val="24"/>
          <w:highlight w:val="white"/>
          <w:rtl w:val="0"/>
        </w:rPr>
        <w:t xml:space="preserve">(9), 3211–3217.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https://doi.org/10.1002/ksa.12678</w:t>
        </w:r>
      </w:hyperlink>
      <w:r w:rsidDel="00000000" w:rsidR="00000000" w:rsidRPr="00000000">
        <w:rPr>
          <w:rtl w:val="0"/>
        </w:rPr>
      </w:r>
    </w:p>
    <w:p w:rsidR="00000000" w:rsidDel="00000000" w:rsidP="00000000" w:rsidRDefault="00000000" w:rsidRPr="00000000" w14:paraId="00000039">
      <w:pPr>
        <w:spacing w:line="480" w:lineRule="auto"/>
        <w:ind w:left="283.46456692913387" w:hanging="283.46456692913387"/>
        <w:jc w:val="left"/>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Sarani Rad, F., Bitaraf, E., Jafarpour, M., &amp; Li, J. (2026). Technologies, Clinical Applications, and Implementation Barriers of Digital Twins in Precision Cardiology: Systematic Review. </w:t>
      </w:r>
      <w:r w:rsidDel="00000000" w:rsidR="00000000" w:rsidRPr="00000000">
        <w:rPr>
          <w:rFonts w:ascii="Times New Roman" w:cs="Times New Roman" w:eastAsia="Times New Roman" w:hAnsi="Times New Roman"/>
          <w:i w:val="1"/>
          <w:iCs w:val="1"/>
          <w:color w:val="1b1b1b"/>
          <w:sz w:val="24"/>
          <w:szCs w:val="24"/>
          <w:highlight w:val="white"/>
          <w:rtl w:val="0"/>
        </w:rPr>
        <w:t xml:space="preserve">JMIR cardio</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10</w:t>
      </w:r>
      <w:r w:rsidDel="00000000" w:rsidR="00000000" w:rsidRPr="00000000">
        <w:rPr>
          <w:rFonts w:ascii="Times New Roman" w:cs="Times New Roman" w:eastAsia="Times New Roman" w:hAnsi="Times New Roman"/>
          <w:color w:val="1b1b1b"/>
          <w:sz w:val="24"/>
          <w:szCs w:val="24"/>
          <w:highlight w:val="white"/>
          <w:rtl w:val="0"/>
        </w:rPr>
        <w:t xml:space="preserve">, e78499.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https://doi.org/10.2196/78499</w:t>
        </w:r>
      </w:hyperlink>
      <w:r w:rsidDel="00000000" w:rsidR="00000000" w:rsidRPr="00000000">
        <w:rPr>
          <w:rtl w:val="0"/>
        </w:rPr>
      </w:r>
    </w:p>
    <w:p w:rsidR="00000000" w:rsidDel="00000000" w:rsidP="00000000" w:rsidRDefault="00000000" w:rsidRPr="00000000" w14:paraId="0000003A">
      <w:pPr>
        <w:spacing w:line="480" w:lineRule="auto"/>
        <w:jc w:val="left"/>
        <w:rPr>
          <w:rFonts w:ascii="Courier New" w:cs="Courier New" w:eastAsia="Courier New" w:hAnsi="Courier New"/>
          <w:color w:val="1b1b1b"/>
          <w:sz w:val="24"/>
          <w:szCs w:val="24"/>
          <w:highlight w:val="white"/>
        </w:rPr>
      </w:pPr>
      <w:r w:rsidDel="00000000" w:rsidR="00000000" w:rsidRPr="00000000">
        <w:rPr>
          <w:rtl w:val="0"/>
        </w:rPr>
      </w:r>
    </w:p>
    <w:p w:rsidR="00000000" w:rsidDel="00000000" w:rsidP="00000000" w:rsidRDefault="00000000" w:rsidRPr="00000000" w14:paraId="0000003B">
      <w:pPr>
        <w:spacing w:line="480" w:lineRule="auto"/>
        <w:ind w:left="283.46456692913387" w:hanging="283.46456692913387"/>
        <w:jc w:val="left"/>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C">
      <w:pPr>
        <w:spacing w:line="480" w:lineRule="auto"/>
        <w:ind w:left="283.46456692913387"/>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D">
      <w:pPr>
        <w:spacing w:line="480" w:lineRule="auto"/>
        <w:ind w:left="283.46456692913387" w:hanging="283.46456692913387"/>
        <w:jc w:val="left"/>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E">
      <w:pPr>
        <w:spacing w:line="480" w:lineRule="auto"/>
        <w:ind w:left="283.46456692913387" w:hanging="283.46456692913387"/>
        <w:jc w:val="left"/>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F">
      <w:pPr>
        <w:spacing w:line="480" w:lineRule="auto"/>
        <w:ind w:left="283.46456692913387" w:hanging="283.46456692913387"/>
        <w:jc w:val="left"/>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40">
      <w:pPr>
        <w:spacing w:line="480" w:lineRule="auto"/>
        <w:ind w:left="283.46456692913387" w:hanging="283.46456692913387"/>
        <w:jc w:val="left"/>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4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Usage and Disclosure</w:t>
      </w:r>
    </w:p>
    <w:p w:rsidR="00000000" w:rsidDel="00000000" w:rsidP="00000000" w:rsidRDefault="00000000" w:rsidRPr="00000000" w14:paraId="0000004D">
      <w:pPr>
        <w:spacing w:line="480" w:lineRule="auto"/>
        <w:ind w:left="0" w:firstLine="283.46456692913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outline as well as the sourcing of references of this paper was created in conjunction with the usage of Google Gemini 3 Flash, a large language model which is part of Google’s Gemini family. Usage of this large language model was limited to the items above, and all provided sources were verified and cross-referenced by myself. </w:t>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48730/ap8f-sc81" TargetMode="External"/><Relationship Id="rId10" Type="http://schemas.openxmlformats.org/officeDocument/2006/relationships/hyperlink" Target="https://doi.org/10.3390/electronics14142867" TargetMode="External"/><Relationship Id="rId13" Type="http://schemas.openxmlformats.org/officeDocument/2006/relationships/hyperlink" Target="https://doi.org/10.1186/s12891-026-09761-6" TargetMode="External"/><Relationship Id="rId12" Type="http://schemas.openxmlformats.org/officeDocument/2006/relationships/hyperlink" Target="https://doi.org/10.48730/ap8f-sc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302/2633-1462.67.BJO-2025-0056.R1" TargetMode="External"/><Relationship Id="rId15" Type="http://schemas.openxmlformats.org/officeDocument/2006/relationships/hyperlink" Target="https://doi.org/10.2196/78499" TargetMode="External"/><Relationship Id="rId14" Type="http://schemas.openxmlformats.org/officeDocument/2006/relationships/hyperlink" Target="https://doi.org/10.1002/ksa.12678"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i.org/10.3389/fpubh.2026.1773733" TargetMode="External"/><Relationship Id="rId7" Type="http://schemas.openxmlformats.org/officeDocument/2006/relationships/hyperlink" Target="https://doi.org/10.1016/j.cirpj.2020.02.002" TargetMode="External"/><Relationship Id="rId8" Type="http://schemas.openxmlformats.org/officeDocument/2006/relationships/hyperlink" Target="https://gemini.google.com/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