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COMMERCIAL LEASE AGREEMENT</w:t>
      </w:r>
    </w:p>
    <w:p>
      <w:pPr>
        <w:spacing w:after="320"/>
        <w:jc w:val="center"/>
      </w:pPr>
      <w:r>
        <w:rPr>
          <w:i/>
          <w:iCs/>
        </w:rPr>
        <w:t xml:space="preserve">Modified Triple Net (NNN)</w:t>
      </w:r>
    </w:p>
    <w:p>
      <w:pPr>
        <w:spacing w:after="160"/>
      </w:pPr>
      <w:r>
        <w:t xml:space="preserve">This Commercial Lease Agreement ("</w:t>
      </w:r>
      <w:r>
        <w:rPr>
          <w:b/>
          <w:bCs/>
        </w:rPr>
        <w:t xml:space="preserve">Lease</w:t>
      </w:r>
      <w:r>
        <w:t xml:space="preserve">") is entered into as of </w:t>
      </w:r>
      <w:r>
        <w:rPr>
          <w:b/>
          <w:bCs/>
        </w:rPr>
        <w:t xml:space="preserve">July 7, 2026</w:t>
      </w:r>
      <w:r>
        <w:t xml:space="preserve"> by and between </w:t>
      </w:r>
      <w:r>
        <w:rPr>
          <w:b/>
          <w:bCs/>
        </w:rPr>
        <w:t xml:space="preserve">Elite Properties, LLC</w:t>
      </w:r>
      <w:r>
        <w:t xml:space="preserve"> ("</w:t>
      </w:r>
      <w:r>
        <w:rPr>
          <w:b/>
          <w:bCs/>
        </w:rPr>
        <w:t xml:space="preserve">Landlord</w:t>
      </w:r>
      <w:r>
        <w:t xml:space="preserve">") and </w:t>
      </w:r>
      <w:r>
        <w:rPr>
          <w:b/>
          <w:bCs/>
        </w:rPr>
        <w:t xml:space="preserve">Common Good Network, Inc.</w:t>
      </w:r>
      <w:r>
        <w:t xml:space="preserve">, a Kentucky 501(c)(3) Nonprofit Corporation (</w:t>
      </w:r>
      <w:r>
        <w:rPr>
          <w:b/>
          <w:bCs/>
        </w:rPr>
        <w:t xml:space="preserve">Tenant</w:t>
      </w:r>
      <w:r>
        <w:t xml:space="preserve">").</w:t>
      </w:r>
    </w:p>
    <w:p>
      <w:pPr>
        <w:spacing w:after="160"/>
      </w:pPr>
      <w:r>
        <w:t xml:space="preserve">In consideration of the mutual promises contained in this Lease, the parties agree as follows:</w:t>
      </w:r>
    </w:p>
    <w:p>
      <w:pPr>
        <w:pStyle w:val="Heading1"/>
        <w:spacing w:after="160" w:before="320"/>
      </w:pPr>
      <w:r>
        <w:t xml:space="preserve">ARTICLE 1: Premises</w:t>
      </w:r>
    </w:p>
    <w:p>
      <w:pPr>
        <w:spacing w:after="160"/>
      </w:pPr>
      <w:r>
        <w:t xml:space="preserve">Landlord hereby leases to Tenant, and Tenant hereby leases from Landlord, approximately 1,700 square feet of commercial space located at:</w:t>
      </w:r>
    </w:p>
    <w:p>
      <w:pPr>
        <w:spacing w:after="160"/>
      </w:pPr>
      <w:r>
        <w:rPr>
          <w:b/>
          <w:bCs/>
        </w:rPr>
        <w:t xml:space="preserve">105 Creekwood Avenue, Bowling Green, Kentucky 42101</w:t>
      </w:r>
    </w:p>
    <w:p>
      <w:pPr>
        <w:shd w:fill="FFF3F3" w:val="clear"/>
        <w:spacing w:after="160" w:before="80"/>
      </w:pPr>
      <w:r>
        <w:rPr>
          <w:i/>
          <w:iCs/>
          <w:color w:val="B00000"/>
        </w:rPr>
        <w:t xml:space="preserve">REVIEW NOTE: Address confirmed as 105 Creekwood Avenue - verified against the active LoopNet listing for this property (1,700 SF total: 1,200 SF main + 500 SF second suite, Landlord contact Al Tlais / Elite Properties Investments LLC) and against the short-form CGN Commercial Lease Draft. A separate 26-article "Elite Properties / Common Good Network" draft in circulation lists the wrong address ("109 Creekwood Avenue") and also, at its Section 5.4, expressly prohibits gambling - that draft conflicts with Tenant's charitable gaming use and must not be signed or merged into this document. Flag to counsel/Landlord as a separate issue.</w:t>
      </w:r>
    </w:p>
    <w:p>
      <w:pPr>
        <w:spacing w:after="160"/>
      </w:pPr>
      <w:r>
        <w:t xml:space="preserve">(the "Premises"), together with:</w:t>
      </w:r>
    </w:p>
    <w:p>
      <w:pPr>
        <w:pStyle w:val="ListParagraph"/>
        <w:numPr>
          <w:ilvl w:val="0"/>
          <w:numId w:val="2"/>
        </w:numPr>
        <w:spacing w:after="80"/>
      </w:pPr>
      <w:r>
        <w:t xml:space="preserve">Eight (8) designated parking spaces;</w:t>
      </w:r>
    </w:p>
    <w:p>
      <w:pPr>
        <w:pStyle w:val="ListParagraph"/>
        <w:numPr>
          <w:ilvl w:val="0"/>
          <w:numId w:val="2"/>
        </w:numPr>
        <w:spacing w:after="80"/>
      </w:pPr>
      <w:r>
        <w:t xml:space="preserve">Non-exclusive use of all driveways, sidewalks, entrances, and common areas serving the Premises;</w:t>
      </w:r>
    </w:p>
    <w:p>
      <w:pPr>
        <w:pStyle w:val="ListParagraph"/>
        <w:numPr>
          <w:ilvl w:val="0"/>
          <w:numId w:val="2"/>
        </w:numPr>
        <w:spacing w:after="80"/>
      </w:pPr>
      <w:r>
        <w:t xml:space="preserve">All existing improvements and building systems necessary for Tenant's intended use.</w:t>
      </w:r>
    </w:p>
    <w:p>
      <w:pPr>
        <w:spacing w:after="160"/>
      </w:pPr>
      <w:r>
        <w:t xml:space="preserve">Landlord shall deliver the Premises in clean, broom-swept condition with the HVAC, plumbing, electrical, lighting, and other major building systems in good working order on the Commencement Date.</w:t>
      </w:r>
    </w:p>
    <w:p>
      <w:pPr>
        <w:spacing w:after="160"/>
      </w:pPr>
      <w:r>
        <w:t xml:space="preserve">Tenant acknowledges that it has inspected the Premises and accepts them subject only to the conditions and obligations contained in this Lease.</w:t>
      </w:r>
    </w:p>
    <w:p>
      <w:pPr>
        <w:pStyle w:val="Heading1"/>
        <w:spacing w:after="160" w:before="320"/>
      </w:pPr>
      <w:r>
        <w:t xml:space="preserve">ARTICLE 2: Lease Term, Reservation Period &amp; Commencement</w:t>
      </w:r>
    </w:p>
    <w:p>
      <w:pPr>
        <w:pStyle w:val="Heading2"/>
        <w:spacing w:after="120" w:before="240"/>
      </w:pPr>
      <w:r>
        <w:t xml:space="preserve">2.1 Lease Term</w:t>
      </w:r>
    </w:p>
    <w:p>
      <w:pPr>
        <w:spacing w:after="160"/>
      </w:pPr>
      <w:r>
        <w:t xml:space="preserve">The initial Lease Term shall be three (3) years, commencing on the Commencement Date and ending at 11:59 p.m. on the day immediately preceding the third anniversary of the Commencement Date, unless sooner terminated or extended in accordance with this Lease.</w:t>
      </w:r>
    </w:p>
    <w:p>
      <w:pPr>
        <w:pStyle w:val="Heading2"/>
        <w:spacing w:after="120" w:before="240"/>
      </w:pPr>
      <w:r>
        <w:t xml:space="preserve">2.2 Reservation Period</w:t>
      </w:r>
    </w:p>
    <w:p>
      <w:pPr>
        <w:spacing w:after="160"/>
      </w:pPr>
      <w:r>
        <w:t xml:space="preserve">Upon execution of this Lease, Tenant shall pay Landlord </w:t>
      </w:r>
      <w:r>
        <w:rPr>
          <w:b/>
          <w:bCs/>
        </w:rPr>
        <w:t xml:space="preserve">Three Thousand Five Hundred Dollars ($3,500.00)</w:t>
      </w:r>
      <w:r>
        <w:t xml:space="preserve"> (the "Reservation Fee").</w:t>
      </w:r>
    </w:p>
    <w:p>
      <w:pPr>
        <w:spacing w:after="160"/>
      </w:pPr>
      <w:r>
        <w:t xml:space="preserve">In consideration of the Reservation Fee, Landlord agrees to:</w:t>
      </w:r>
    </w:p>
    <w:p>
      <w:pPr>
        <w:pStyle w:val="ListParagraph"/>
        <w:numPr>
          <w:ilvl w:val="0"/>
          <w:numId w:val="2"/>
        </w:numPr>
        <w:spacing w:after="80"/>
      </w:pPr>
      <w:r>
        <w:t xml:space="preserve">Immediately remove the Premises from the market;</w:t>
      </w:r>
    </w:p>
    <w:p>
      <w:pPr>
        <w:pStyle w:val="ListParagraph"/>
        <w:numPr>
          <w:ilvl w:val="0"/>
          <w:numId w:val="2"/>
        </w:numPr>
        <w:spacing w:after="80"/>
      </w:pPr>
      <w:r>
        <w:t xml:space="preserve">Suspend all advertising and marketing of the Premises;</w:t>
      </w:r>
    </w:p>
    <w:p>
      <w:pPr>
        <w:pStyle w:val="ListParagraph"/>
        <w:numPr>
          <w:ilvl w:val="0"/>
          <w:numId w:val="2"/>
        </w:numPr>
        <w:spacing w:after="80"/>
      </w:pPr>
      <w:r>
        <w:t xml:space="preserve">Refrain from negotiating with or leasing the Premises to any other prospective tenant during the Reservation Period.</w:t>
      </w:r>
    </w:p>
    <w:p>
      <w:pPr>
        <w:spacing w:after="160"/>
      </w:pPr>
      <w:r>
        <w:t xml:space="preserve">The Reservation Period shall begin upon execution of this Lease and continue until the earliest of:</w:t>
      </w:r>
    </w:p>
    <w:p>
      <w:pPr>
        <w:pStyle w:val="ListParagraph"/>
        <w:numPr>
          <w:ilvl w:val="0"/>
          <w:numId w:val="2"/>
        </w:numPr>
        <w:spacing w:after="80"/>
      </w:pPr>
      <w:r>
        <w:t xml:space="preserve">Tenant receives all required charitable gaming approvals;</w:t>
      </w:r>
    </w:p>
    <w:p>
      <w:pPr>
        <w:pStyle w:val="ListParagraph"/>
        <w:numPr>
          <w:ilvl w:val="0"/>
          <w:numId w:val="2"/>
        </w:numPr>
        <w:spacing w:after="80"/>
      </w:pPr>
      <w:r>
        <w:t xml:space="preserve">Tenant withdraws its gaming application;</w:t>
      </w:r>
    </w:p>
    <w:p>
      <w:pPr>
        <w:pStyle w:val="ListParagraph"/>
        <w:numPr>
          <w:ilvl w:val="0"/>
          <w:numId w:val="2"/>
        </w:numPr>
        <w:spacing w:after="80"/>
      </w:pPr>
      <w:r>
        <w:t xml:space="preserve">Tenant's gaming application is finally denied;</w:t>
      </w:r>
    </w:p>
    <w:p>
      <w:pPr>
        <w:pStyle w:val="ListParagraph"/>
        <w:numPr>
          <w:ilvl w:val="0"/>
          <w:numId w:val="2"/>
        </w:numPr>
        <w:spacing w:after="80"/>
      </w:pPr>
      <w:r>
        <w:t xml:space="preserve">One hundred eighty (180) days after execution of this Lease, unless extended by written agreement of both parties.</w:t>
      </w:r>
    </w:p>
    <w:p>
      <w:pPr>
        <w:spacing w:after="160"/>
      </w:pPr>
      <w:r>
        <w:t xml:space="preserve">Tenant agrees to use commercially reasonable efforts to diligently pursue all licenses, permits, and approvals necessary to operate its charitable gaming activities.</w:t>
      </w:r>
    </w:p>
    <w:p>
      <w:pPr>
        <w:pStyle w:val="Heading2"/>
        <w:spacing w:after="120" w:before="240"/>
      </w:pPr>
      <w:r>
        <w:t xml:space="preserve">2.3 Commencement Date</w:t>
      </w:r>
    </w:p>
    <w:p>
      <w:pPr>
        <w:spacing w:after="160"/>
      </w:pPr>
      <w:r>
        <w:t xml:space="preserve">The "Commencement Date" shall be the date on which:</w:t>
      </w:r>
    </w:p>
    <w:p>
      <w:pPr>
        <w:pStyle w:val="ListParagraph"/>
        <w:numPr>
          <w:ilvl w:val="0"/>
          <w:numId w:val="2"/>
        </w:numPr>
        <w:spacing w:after="80"/>
      </w:pPr>
      <w:r>
        <w:t xml:space="preserve">Tenant has received all governmental approvals required to lawfully conduct its intended charitable gaming operations;</w:t>
      </w:r>
    </w:p>
    <w:p>
      <w:pPr>
        <w:pStyle w:val="ListParagraph"/>
        <w:numPr>
          <w:ilvl w:val="0"/>
          <w:numId w:val="2"/>
        </w:numPr>
        <w:spacing w:after="80"/>
      </w:pPr>
      <w:r>
        <w:t xml:space="preserve">Tenant has paid the remaining Security Deposit required under Article 4; and</w:t>
      </w:r>
    </w:p>
    <w:p>
      <w:pPr>
        <w:pStyle w:val="ListParagraph"/>
        <w:numPr>
          <w:ilvl w:val="0"/>
          <w:numId w:val="2"/>
        </w:numPr>
        <w:spacing w:after="80"/>
      </w:pPr>
      <w:r>
        <w:t xml:space="preserve">Landlord has delivered possession of the Premises.</w:t>
      </w:r>
    </w:p>
    <w:p>
      <w:pPr>
        <w:spacing w:after="160"/>
      </w:pPr>
      <w:r>
        <w:t xml:space="preserve">No monthly Base Rent shall accrue before the Commencement Date.</w:t>
      </w:r>
    </w:p>
    <w:p>
      <w:pPr>
        <w:pStyle w:val="Heading2"/>
        <w:spacing w:after="120" w:before="240"/>
      </w:pPr>
      <w:r>
        <w:t xml:space="preserve">2.4 Failure of Gaming Approval</w:t>
      </w:r>
    </w:p>
    <w:p>
      <w:pPr>
        <w:spacing w:after="160"/>
      </w:pPr>
      <w:r>
        <w:t xml:space="preserve">If Tenant's charitable gaming application is denied after diligent and good-faith efforts, either party may terminate this Lease by written notice. Upon termination:</w:t>
      </w:r>
    </w:p>
    <w:p>
      <w:pPr>
        <w:pStyle w:val="ListParagraph"/>
        <w:numPr>
          <w:ilvl w:val="0"/>
          <w:numId w:val="2"/>
        </w:numPr>
        <w:spacing w:after="80"/>
      </w:pPr>
      <w:r>
        <w:t xml:space="preserve">Landlord shall retain the Reservation Fee as consideration for removing the Premises from the market;</w:t>
      </w:r>
    </w:p>
    <w:p>
      <w:pPr>
        <w:pStyle w:val="ListParagraph"/>
        <w:numPr>
          <w:ilvl w:val="0"/>
          <w:numId w:val="2"/>
        </w:numPr>
        <w:spacing w:after="80"/>
      </w:pPr>
      <w:r>
        <w:t xml:space="preserve">Neither party shall have any further obligations under this Lease except obligations expressly stated to survive termination.</w:t>
      </w:r>
    </w:p>
    <w:p>
      <w:pPr>
        <w:pStyle w:val="Heading2"/>
        <w:spacing w:after="120" w:before="240"/>
      </w:pPr>
      <w:r>
        <w:t xml:space="preserve">2.5 Renewal Options</w:t>
      </w:r>
    </w:p>
    <w:p>
      <w:pPr>
        <w:spacing w:after="160"/>
      </w:pPr>
      <w:r>
        <w:t xml:space="preserve">Provided Tenant is not in default beyond any applicable cure period, Tenant shall have two (2) successive options to renew this Lease for additional three (3) year terms.</w:t>
      </w:r>
    </w:p>
    <w:p>
      <w:pPr>
        <w:spacing w:after="160"/>
      </w:pPr>
      <w:r>
        <w:t xml:space="preserve">Tenant shall exercise each renewal by providing written notice at least one hundred eighty (180) days before expiration of the then-current Lease Term.</w:t>
      </w:r>
    </w:p>
    <w:p>
      <w:pPr>
        <w:spacing w:after="160"/>
      </w:pPr>
      <w:r>
        <w:t xml:space="preserve">Renewal Base Rent shall be negotiated in good faith based upon prevailing market conditions but shall not exceed ten percent (10%) above the Base Rent payable during the final year of the preceding Lease Term unless otherwise agreed in writing.</w:t>
      </w:r>
    </w:p>
    <w:p>
      <w:pPr>
        <w:pStyle w:val="Heading1"/>
        <w:spacing w:after="160" w:before="320"/>
      </w:pPr>
      <w:r>
        <w:t xml:space="preserve">ARTICLE 3: Base Rent</w:t>
      </w:r>
    </w:p>
    <w:p>
      <w:pPr>
        <w:pStyle w:val="Heading2"/>
        <w:spacing w:after="120" w:before="240"/>
      </w:pPr>
      <w:r>
        <w:t xml:space="preserve">3.1 Base Rent</w:t>
      </w:r>
    </w:p>
    <w:p>
      <w:pPr>
        <w:spacing w:after="160"/>
      </w:pPr>
      <w:r>
        <w:t xml:space="preserve">Beginning on the Commencement Date, Tenant shall pay Base Rent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rPr>
              <w:t xml:space="preserve">Lease Year</w:t>
            </w:r>
          </w:p>
        </w:tc>
        <w:tc>
          <w:tcPr>
            <w:tcW w:type="dxa" w:w="4680"/>
            <w:shd w:fill="E8E8E8" w:val="clear"/>
          </w:tcPr>
          <w:p>
            <w:r>
              <w:rPr>
                <w:b/>
                <w:bCs/>
              </w:rPr>
              <w:t xml:space="preserve">Monthly Base Rent</w:t>
            </w:r>
          </w:p>
        </w:tc>
      </w:tr>
      <w:tr>
        <w:tc>
          <w:tcPr>
            <w:tcW w:type="dxa" w:w="4680"/>
          </w:tcPr>
          <w:p>
            <w:r>
              <w:rPr>
                <w:b w:val="false"/>
                <w:bCs w:val="false"/>
              </w:rPr>
              <w:t xml:space="preserve">Year One</w:t>
            </w:r>
          </w:p>
        </w:tc>
        <w:tc>
          <w:tcPr>
            <w:tcW w:type="dxa" w:w="4680"/>
          </w:tcPr>
          <w:p>
            <w:r>
              <w:rPr>
                <w:b w:val="false"/>
                <w:bCs w:val="false"/>
              </w:rPr>
              <w:t xml:space="preserve">$3,500.00</w:t>
            </w:r>
          </w:p>
        </w:tc>
      </w:tr>
      <w:tr>
        <w:tc>
          <w:tcPr>
            <w:tcW w:type="dxa" w:w="4680"/>
          </w:tcPr>
          <w:p>
            <w:r>
              <w:rPr>
                <w:b w:val="false"/>
                <w:bCs w:val="false"/>
              </w:rPr>
              <w:t xml:space="preserve">Year Two</w:t>
            </w:r>
          </w:p>
        </w:tc>
        <w:tc>
          <w:tcPr>
            <w:tcW w:type="dxa" w:w="4680"/>
          </w:tcPr>
          <w:p>
            <w:r>
              <w:rPr>
                <w:b w:val="false"/>
                <w:bCs w:val="false"/>
              </w:rPr>
              <w:t xml:space="preserve">$3,750.00</w:t>
            </w:r>
          </w:p>
        </w:tc>
      </w:tr>
      <w:tr>
        <w:tc>
          <w:tcPr>
            <w:tcW w:type="dxa" w:w="4680"/>
          </w:tcPr>
          <w:p>
            <w:r>
              <w:rPr>
                <w:b w:val="false"/>
                <w:bCs w:val="false"/>
              </w:rPr>
              <w:t xml:space="preserve">Year Three</w:t>
            </w:r>
          </w:p>
        </w:tc>
        <w:tc>
          <w:tcPr>
            <w:tcW w:type="dxa" w:w="4680"/>
          </w:tcPr>
          <w:p>
            <w:r>
              <w:rPr>
                <w:b w:val="false"/>
                <w:bCs w:val="false"/>
              </w:rPr>
              <w:t xml:space="preserve">$4,000.00</w:t>
            </w:r>
          </w:p>
        </w:tc>
      </w:tr>
    </w:tbl>
    <w:p>
      <w:pPr>
        <w:spacing w:after="160"/>
      </w:pPr>
      <w:r>
        <w:t xml:space="preserve"/>
      </w:r>
    </w:p>
    <w:p>
      <w:pPr>
        <w:spacing w:after="160"/>
      </w:pPr>
      <w:r>
        <w:t xml:space="preserve">Rent shall be due on or before the 7th day of each calendar month.</w:t>
      </w:r>
    </w:p>
    <w:p>
      <w:pPr>
        <w:spacing w:after="160"/>
      </w:pPr>
      <w:r>
        <w:t xml:space="preserve">If the Commencement Date occurs on a day other than the first day of a month, the first month's rent shall be prorated based upon the number of days remaining in that month.</w:t>
      </w:r>
    </w:p>
    <w:p>
      <w:pPr>
        <w:pStyle w:val="Heading2"/>
        <w:spacing w:after="120" w:before="240"/>
      </w:pPr>
      <w:r>
        <w:t xml:space="preserve">3.2 Method of Payment</w:t>
      </w:r>
    </w:p>
    <w:p>
      <w:pPr>
        <w:spacing w:after="160"/>
      </w:pPr>
      <w:r>
        <w:t xml:space="preserve">Rent shall be paid by check, ACH transfer, electronic payment, or other method mutually acceptable to the parties.</w:t>
      </w:r>
    </w:p>
    <w:p>
      <w:pPr>
        <w:spacing w:after="160"/>
      </w:pPr>
      <w:r>
        <w:t xml:space="preserve">Payments shall be delivered to Landlord at the address designated in writing or to another location designated by Landlord upon reasonable notice.</w:t>
      </w:r>
    </w:p>
    <w:p>
      <w:pPr>
        <w:pStyle w:val="Heading2"/>
        <w:spacing w:after="120" w:before="240"/>
      </w:pPr>
      <w:r>
        <w:t xml:space="preserve">3.3 Late Payments</w:t>
      </w:r>
    </w:p>
    <w:p>
      <w:pPr>
        <w:spacing w:after="160"/>
      </w:pPr>
      <w:r>
        <w:t xml:space="preserve">Tenant shall have a ten (10) calendar day grace period following each Rent Due Date. If payment is not received within the grace period, Tenant shall pay:</w:t>
      </w:r>
    </w:p>
    <w:p>
      <w:pPr>
        <w:pStyle w:val="ListParagraph"/>
        <w:numPr>
          <w:ilvl w:val="0"/>
          <w:numId w:val="2"/>
        </w:numPr>
        <w:spacing w:after="80"/>
      </w:pPr>
      <w:r>
        <w:t xml:space="preserve">a one-time late fee of One Hundred Dollars ($100.00); and</w:t>
      </w:r>
    </w:p>
    <w:p>
      <w:pPr>
        <w:pStyle w:val="ListParagraph"/>
        <w:numPr>
          <w:ilvl w:val="0"/>
          <w:numId w:val="2"/>
        </w:numPr>
        <w:spacing w:after="80"/>
      </w:pPr>
      <w:r>
        <w:t xml:space="preserve">interest at eight percent (8%) per annum on the unpaid balance until paid.</w:t>
      </w:r>
    </w:p>
    <w:p>
      <w:pPr>
        <w:spacing w:after="160"/>
      </w:pPr>
      <w:r>
        <w:t xml:space="preserve">Acceptance of a late payment shall not constitute a waiver of any future default.</w:t>
      </w:r>
    </w:p>
    <w:p>
      <w:pPr>
        <w:shd w:fill="FFF3F3" w:val="clear"/>
        <w:spacing w:after="160" w:before="80"/>
      </w:pPr>
      <w:r>
        <w:rPr>
          <w:i/>
          <w:iCs/>
          <w:color w:val="B00000"/>
        </w:rPr>
        <w:t xml:space="preserve">REVIEW NOTE: $100.00 flat late fee, 8% interest, and 10-day grace period confirmed as correct terms - consistent across this draft and the CGN Commercial Lease Draft. A separate 26-article draft in circulation uses $150.00 + $50.00/day and 12% interest with a 5-day grace period; those figures are rejected and do not apply here.</w:t>
      </w:r>
    </w:p>
    <w:p>
      <w:pPr>
        <w:pStyle w:val="Heading2"/>
        <w:spacing w:after="120" w:before="240"/>
      </w:pPr>
      <w:r>
        <w:t xml:space="preserve">3.4 Additional Rent</w:t>
      </w:r>
    </w:p>
    <w:p>
      <w:pPr>
        <w:spacing w:after="160"/>
      </w:pPr>
      <w:r>
        <w:t xml:space="preserve">This Lease is a Modified Triple Net (Modified NNN) Lease. In addition to Base Rent, Tenant shall pay only those expenses specifically identified elsewhere in this Lease, including:</w:t>
      </w:r>
    </w:p>
    <w:p>
      <w:pPr>
        <w:pStyle w:val="ListParagraph"/>
        <w:numPr>
          <w:ilvl w:val="0"/>
          <w:numId w:val="2"/>
        </w:numPr>
        <w:spacing w:after="80"/>
      </w:pPr>
      <w:r>
        <w:t xml:space="preserve">utilities serving the Premises;</w:t>
      </w:r>
    </w:p>
    <w:p>
      <w:pPr>
        <w:pStyle w:val="ListParagraph"/>
        <w:numPr>
          <w:ilvl w:val="0"/>
          <w:numId w:val="2"/>
        </w:numPr>
        <w:spacing w:after="80"/>
      </w:pPr>
      <w:r>
        <w:t xml:space="preserve">internet and telecommunications services;</w:t>
      </w:r>
    </w:p>
    <w:p>
      <w:pPr>
        <w:pStyle w:val="ListParagraph"/>
        <w:numPr>
          <w:ilvl w:val="0"/>
          <w:numId w:val="2"/>
        </w:numPr>
        <w:spacing w:after="80"/>
      </w:pPr>
      <w:r>
        <w:t xml:space="preserve">trash collection;</w:t>
      </w:r>
    </w:p>
    <w:p>
      <w:pPr>
        <w:pStyle w:val="ListParagraph"/>
        <w:numPr>
          <w:ilvl w:val="0"/>
          <w:numId w:val="2"/>
        </w:numPr>
        <w:spacing w:after="80"/>
      </w:pPr>
      <w:r>
        <w:t xml:space="preserve">Tenant's proportionate share of real estate taxes;</w:t>
      </w:r>
    </w:p>
    <w:p>
      <w:pPr>
        <w:pStyle w:val="ListParagraph"/>
        <w:numPr>
          <w:ilvl w:val="0"/>
          <w:numId w:val="2"/>
        </w:numPr>
        <w:spacing w:after="80"/>
      </w:pPr>
      <w:r>
        <w:t xml:space="preserve">Tenant's proportionate share of building insurance premiums; and</w:t>
      </w:r>
    </w:p>
    <w:p>
      <w:pPr>
        <w:pStyle w:val="ListParagraph"/>
        <w:numPr>
          <w:ilvl w:val="0"/>
          <w:numId w:val="2"/>
        </w:numPr>
        <w:spacing w:after="80"/>
      </w:pPr>
      <w:r>
        <w:t xml:space="preserve">Tenant's proportionate share of defined Common Area Maintenance (CAM) expenses.</w:t>
      </w:r>
    </w:p>
    <w:p>
      <w:pPr>
        <w:spacing w:after="160"/>
      </w:pPr>
      <w:r>
        <w:t xml:space="preserve">No other charges, administrative fees, management fees, legal fees, capital expenditures, or assessments shall be payable by Tenant unless expressly provided in this Lease.</w:t>
      </w:r>
    </w:p>
    <w:p>
      <w:pPr>
        <w:pStyle w:val="Heading2"/>
        <w:spacing w:after="120" w:before="240"/>
      </w:pPr>
      <w:r>
        <w:t xml:space="preserve">3.5 No Rent During Reservation Period</w:t>
      </w:r>
    </w:p>
    <w:p>
      <w:pPr>
        <w:spacing w:after="160"/>
      </w:pPr>
      <w:r>
        <w:t xml:space="preserve">The Reservation Fee described in Article 2 is not prepaid rent. Tenant shall have no obligation to pay monthly Base Rent until the Commencement Date. Base Rent shall begin on the Commencement Date. Late payment terms are governed exclusively by Section 3.3.</w:t>
      </w:r>
    </w:p>
    <w:p>
      <w:pPr>
        <w:pStyle w:val="Heading1"/>
        <w:spacing w:after="160" w:before="320"/>
      </w:pPr>
      <w:r>
        <w:t xml:space="preserve">ARTICLE 4: Security Deposit</w:t>
      </w:r>
    </w:p>
    <w:p>
      <w:pPr>
        <w:pStyle w:val="Heading2"/>
        <w:spacing w:after="120" w:before="240"/>
      </w:pPr>
      <w:r>
        <w:t xml:space="preserve">4.1 Security Deposit</w:t>
      </w:r>
    </w:p>
    <w:p>
      <w:pPr>
        <w:spacing w:after="160"/>
      </w:pPr>
      <w:r>
        <w:t xml:space="preserve">Upon execution of this Lease, Tenant shall pay </w:t>
      </w:r>
      <w:r>
        <w:rPr>
          <w:b/>
          <w:bCs/>
        </w:rPr>
        <w:t xml:space="preserve">Three Thousand Five Hundred Dollars ($3,500.00)</w:t>
      </w:r>
      <w:r>
        <w:t xml:space="preserve"> as the Reservation Fee described in Article 2. The Reservation Fee shall be credited toward the total Security Deposit.</w:t>
      </w:r>
    </w:p>
    <w:p>
      <w:pPr>
        <w:spacing w:after="160"/>
      </w:pPr>
      <w:r>
        <w:t xml:space="preserve">Immediately prior to the Commencement Date, Tenant shall pay the remaining </w:t>
      </w:r>
      <w:r>
        <w:rPr>
          <w:b/>
          <w:bCs/>
        </w:rPr>
        <w:t xml:space="preserve">Three Thousand Five Hundred Dollars ($3,500.00)</w:t>
      </w:r>
      <w:r>
        <w:t xml:space="preserve">, for a total Security Deposit of </w:t>
      </w:r>
      <w:r>
        <w:rPr>
          <w:b/>
          <w:bCs/>
        </w:rPr>
        <w:t xml:space="preserve">Seven Thousand Dollars ($7,000.00)</w:t>
      </w:r>
      <w:r>
        <w:t xml:space="preserve">.</w:t>
      </w:r>
    </w:p>
    <w:p>
      <w:pPr>
        <w:spacing w:after="160"/>
      </w:pPr>
      <w:r>
        <w:t xml:space="preserve">The Security Deposit shall secure Tenant's performance of its obligations under this Lease, including the payment of rent and the repair of damage beyond ordinary wear and tear.</w:t>
      </w:r>
    </w:p>
    <w:p>
      <w:pPr>
        <w:pStyle w:val="Heading2"/>
        <w:spacing w:after="120" w:before="240"/>
      </w:pPr>
      <w:r>
        <w:t xml:space="preserve">4.2 Application of Security Deposit</w:t>
      </w:r>
    </w:p>
    <w:p>
      <w:pPr>
        <w:spacing w:after="160"/>
      </w:pPr>
      <w:r>
        <w:t xml:space="preserve">Landlord may apply the Security Deposit only to:</w:t>
      </w:r>
    </w:p>
    <w:p>
      <w:pPr>
        <w:pStyle w:val="ListParagraph"/>
        <w:numPr>
          <w:ilvl w:val="0"/>
          <w:numId w:val="2"/>
        </w:numPr>
        <w:spacing w:after="80"/>
      </w:pPr>
      <w:r>
        <w:t xml:space="preserve">unpaid Base Rent;</w:t>
      </w:r>
    </w:p>
    <w:p>
      <w:pPr>
        <w:pStyle w:val="ListParagraph"/>
        <w:numPr>
          <w:ilvl w:val="0"/>
          <w:numId w:val="2"/>
        </w:numPr>
        <w:spacing w:after="80"/>
      </w:pPr>
      <w:r>
        <w:t xml:space="preserve">unpaid reimbursable expenses expressly authorized by this Lease;</w:t>
      </w:r>
    </w:p>
    <w:p>
      <w:pPr>
        <w:pStyle w:val="ListParagraph"/>
        <w:numPr>
          <w:ilvl w:val="0"/>
          <w:numId w:val="2"/>
        </w:numPr>
        <w:spacing w:after="80"/>
      </w:pPr>
      <w:r>
        <w:t xml:space="preserve">repair of damage caused by Tenant beyond ordinary wear and tear;</w:t>
      </w:r>
    </w:p>
    <w:p>
      <w:pPr>
        <w:pStyle w:val="ListParagraph"/>
        <w:numPr>
          <w:ilvl w:val="0"/>
          <w:numId w:val="2"/>
        </w:numPr>
        <w:spacing w:after="80"/>
      </w:pPr>
      <w:r>
        <w:t xml:space="preserve">costs of removing abandoned personal property left by Tenant after expiration of any applicable notice period.</w:t>
      </w:r>
    </w:p>
    <w:p>
      <w:pPr>
        <w:spacing w:after="160"/>
      </w:pPr>
      <w:r>
        <w:t xml:space="preserve">Application of the Security Deposit shall not limit Landlord's right to pursue any additional remedies available under this Lease.</w:t>
      </w:r>
    </w:p>
    <w:p>
      <w:pPr>
        <w:spacing w:after="160"/>
      </w:pPr>
      <w:r>
        <w:t xml:space="preserve">Tenant shall not be required to replenish the Security Deposit during the Lease Term unless both parties agree otherwise in writing.</w:t>
      </w:r>
    </w:p>
    <w:p>
      <w:pPr>
        <w:pStyle w:val="Heading2"/>
        <w:spacing w:after="120" w:before="240"/>
      </w:pPr>
      <w:r>
        <w:t xml:space="preserve">4.3 Return of Security Deposit</w:t>
      </w:r>
    </w:p>
    <w:p>
      <w:pPr>
        <w:spacing w:after="160"/>
      </w:pPr>
      <w:r>
        <w:t xml:space="preserve">Within thirty (30) days after Tenant vacates the Premises and returns possession to Landlord, Landlord shall:</w:t>
      </w:r>
    </w:p>
    <w:p>
      <w:pPr>
        <w:pStyle w:val="ListParagraph"/>
        <w:numPr>
          <w:ilvl w:val="0"/>
          <w:numId w:val="2"/>
        </w:numPr>
        <w:spacing w:after="80"/>
      </w:pPr>
      <w:r>
        <w:t xml:space="preserve">return the remaining Security Deposit; and</w:t>
      </w:r>
    </w:p>
    <w:p>
      <w:pPr>
        <w:pStyle w:val="ListParagraph"/>
        <w:numPr>
          <w:ilvl w:val="0"/>
          <w:numId w:val="2"/>
        </w:numPr>
        <w:spacing w:after="80"/>
      </w:pPr>
      <w:r>
        <w:t xml:space="preserve">provide an itemized written statement of any deductions.</w:t>
      </w:r>
    </w:p>
    <w:p>
      <w:pPr>
        <w:spacing w:after="160"/>
      </w:pPr>
      <w:r>
        <w:t xml:space="preserve">The Security Deposit shall not bear interest unless required by applicable law.</w:t>
      </w:r>
    </w:p>
    <w:p>
      <w:pPr>
        <w:pStyle w:val="Heading2"/>
        <w:spacing w:after="120" w:before="240"/>
      </w:pPr>
      <w:r>
        <w:t xml:space="preserve">4.4 Reservation Fee Upon Denial of Gaming Approval</w:t>
      </w:r>
    </w:p>
    <w:p>
      <w:pPr>
        <w:spacing w:after="160"/>
      </w:pPr>
      <w:r>
        <w:t xml:space="preserve">Disposition of the Reservation Fee upon denial of Tenant's gaming application is governed exclusively by Section 2.4. The remaining Security Deposit shall not become due, and neither party shall have further obligation under this Lease except provisions that expressly survive termination.</w:t>
      </w:r>
    </w:p>
    <w:p>
      <w:pPr>
        <w:pStyle w:val="Heading2"/>
        <w:spacing w:after="120" w:before="240"/>
      </w:pPr>
      <w:r>
        <w:t xml:space="preserve">4.5 No Application to Final Rent</w:t>
      </w:r>
    </w:p>
    <w:p>
      <w:pPr>
        <w:spacing w:after="160"/>
      </w:pPr>
      <w:r>
        <w:t xml:space="preserve">The Security Deposit shall not be applied toward the final month's rent without the prior written consent of Landlord.</w:t>
      </w:r>
    </w:p>
    <w:p>
      <w:pPr>
        <w:pStyle w:val="Heading1"/>
        <w:spacing w:after="160" w:before="320"/>
      </w:pPr>
      <w:r>
        <w:t xml:space="preserve">ARTICLE 5: Permitted Use</w:t>
      </w:r>
    </w:p>
    <w:p>
      <w:pPr>
        <w:pStyle w:val="Heading2"/>
        <w:spacing w:after="120" w:before="240"/>
      </w:pPr>
      <w:r>
        <w:t xml:space="preserve">5.1 Authorized Use</w:t>
      </w:r>
    </w:p>
    <w:p>
      <w:pPr>
        <w:spacing w:after="160"/>
      </w:pPr>
      <w:r>
        <w:t xml:space="preserve">Tenant may use the Premises for any lawful purpose consistent with the mission of Common Good Network, Inc., including, without limitation:</w:t>
      </w:r>
    </w:p>
    <w:p>
      <w:pPr>
        <w:pStyle w:val="ListParagraph"/>
        <w:numPr>
          <w:ilvl w:val="0"/>
          <w:numId w:val="2"/>
        </w:numPr>
        <w:spacing w:after="80"/>
      </w:pPr>
      <w:r>
        <w:t xml:space="preserve">charitable gaming activities conducted in accordance with all applicable federal, state, and local laws;</w:t>
      </w:r>
    </w:p>
    <w:p>
      <w:pPr>
        <w:pStyle w:val="ListParagraph"/>
        <w:numPr>
          <w:ilvl w:val="0"/>
          <w:numId w:val="2"/>
        </w:numPr>
        <w:spacing w:after="80"/>
      </w:pPr>
      <w:r>
        <w:t xml:space="preserve">charitable fundraising activities;</w:t>
      </w:r>
    </w:p>
    <w:p>
      <w:pPr>
        <w:pStyle w:val="ListParagraph"/>
        <w:numPr>
          <w:ilvl w:val="0"/>
          <w:numId w:val="2"/>
        </w:numPr>
        <w:spacing w:after="80"/>
      </w:pPr>
      <w:r>
        <w:t xml:space="preserve">nonprofit administration;</w:t>
      </w:r>
    </w:p>
    <w:p>
      <w:pPr>
        <w:pStyle w:val="ListParagraph"/>
        <w:numPr>
          <w:ilvl w:val="0"/>
          <w:numId w:val="2"/>
        </w:numPr>
        <w:spacing w:after="80"/>
      </w:pPr>
      <w:r>
        <w:t xml:space="preserve">workforce development;</w:t>
      </w:r>
    </w:p>
    <w:p>
      <w:pPr>
        <w:pStyle w:val="ListParagraph"/>
        <w:numPr>
          <w:ilvl w:val="0"/>
          <w:numId w:val="2"/>
        </w:numPr>
        <w:spacing w:after="80"/>
      </w:pPr>
      <w:r>
        <w:t xml:space="preserve">education and training;</w:t>
      </w:r>
    </w:p>
    <w:p>
      <w:pPr>
        <w:pStyle w:val="ListParagraph"/>
        <w:numPr>
          <w:ilvl w:val="0"/>
          <w:numId w:val="2"/>
        </w:numPr>
        <w:spacing w:after="80"/>
      </w:pPr>
      <w:r>
        <w:t xml:space="preserve">counseling and support services;</w:t>
      </w:r>
    </w:p>
    <w:p>
      <w:pPr>
        <w:pStyle w:val="ListParagraph"/>
        <w:numPr>
          <w:ilvl w:val="0"/>
          <w:numId w:val="2"/>
        </w:numPr>
        <w:spacing w:after="80"/>
      </w:pPr>
      <w:r>
        <w:t xml:space="preserve">community outreach;</w:t>
      </w:r>
    </w:p>
    <w:p>
      <w:pPr>
        <w:pStyle w:val="ListParagraph"/>
        <w:numPr>
          <w:ilvl w:val="0"/>
          <w:numId w:val="2"/>
        </w:numPr>
        <w:spacing w:after="80"/>
      </w:pPr>
      <w:r>
        <w:t xml:space="preserve">volunteer coordination;</w:t>
      </w:r>
    </w:p>
    <w:p>
      <w:pPr>
        <w:pStyle w:val="ListParagraph"/>
        <w:numPr>
          <w:ilvl w:val="0"/>
          <w:numId w:val="2"/>
        </w:numPr>
        <w:spacing w:after="80"/>
      </w:pPr>
      <w:r>
        <w:t xml:space="preserve">meetings, seminars, and conferences;</w:t>
      </w:r>
    </w:p>
    <w:p>
      <w:pPr>
        <w:pStyle w:val="ListParagraph"/>
        <w:numPr>
          <w:ilvl w:val="0"/>
          <w:numId w:val="2"/>
        </w:numPr>
        <w:spacing w:after="80"/>
      </w:pPr>
      <w:r>
        <w:t xml:space="preserve">professional office operations; and</w:t>
      </w:r>
    </w:p>
    <w:p>
      <w:pPr>
        <w:pStyle w:val="ListParagraph"/>
        <w:numPr>
          <w:ilvl w:val="0"/>
          <w:numId w:val="2"/>
        </w:numPr>
        <w:spacing w:after="80"/>
      </w:pPr>
      <w:r>
        <w:t xml:space="preserve">other lawful nonprofit or community-based activities.</w:t>
      </w:r>
    </w:p>
    <w:p>
      <w:pPr>
        <w:spacing w:after="160"/>
      </w:pPr>
      <w:r>
        <w:t xml:space="preserve">Landlord acknowledges that charitable gaming is an intended and approved use of the Premises, provided Tenant maintains all licenses, permits, and regulatory approvals required by law.</w:t>
      </w:r>
    </w:p>
    <w:p>
      <w:pPr>
        <w:pStyle w:val="Heading2"/>
        <w:spacing w:after="120" w:before="240"/>
      </w:pPr>
      <w:r>
        <w:t xml:space="preserve">5.2 Compliance with Laws</w:t>
      </w:r>
    </w:p>
    <w:p>
      <w:pPr>
        <w:spacing w:after="160"/>
      </w:pPr>
      <w:r>
        <w:t xml:space="preserve">Tenant shall operate its business in compliance with all applicable federal, state, and local laws, ordinances, regulations, licensing requirements, and governmental orders. Tenant shall be solely responsible for obtaining and maintaining all licenses, permits, and approvals necessary for its operations.</w:t>
      </w:r>
    </w:p>
    <w:p>
      <w:pPr>
        <w:pStyle w:val="Heading2"/>
        <w:spacing w:after="120" w:before="240"/>
      </w:pPr>
      <w:r>
        <w:t xml:space="preserve">5.3 Good Standing</w:t>
      </w:r>
    </w:p>
    <w:p>
      <w:pPr>
        <w:spacing w:after="160"/>
      </w:pPr>
      <w:r>
        <w:t xml:space="preserve">Tenant shall maintain its legal existence as a Kentucky nonprofit corporation in good standing throughout the Lease Term. Upon reasonable written request by Landlord, Tenant shall provide evidence of:</w:t>
      </w:r>
    </w:p>
    <w:p>
      <w:pPr>
        <w:pStyle w:val="ListParagraph"/>
        <w:numPr>
          <w:ilvl w:val="0"/>
          <w:numId w:val="2"/>
        </w:numPr>
        <w:spacing w:after="80"/>
      </w:pPr>
      <w:r>
        <w:t xml:space="preserve">its current Kentucky good standing;</w:t>
      </w:r>
    </w:p>
    <w:p>
      <w:pPr>
        <w:pStyle w:val="ListParagraph"/>
        <w:numPr>
          <w:ilvl w:val="0"/>
          <w:numId w:val="2"/>
        </w:numPr>
        <w:spacing w:after="80"/>
      </w:pPr>
      <w:r>
        <w:t xml:space="preserve">proof of required insurance coverage; and</w:t>
      </w:r>
    </w:p>
    <w:p>
      <w:pPr>
        <w:pStyle w:val="ListParagraph"/>
        <w:numPr>
          <w:ilvl w:val="0"/>
          <w:numId w:val="2"/>
        </w:numPr>
        <w:spacing w:after="80"/>
      </w:pPr>
      <w:r>
        <w:t xml:space="preserve">any licenses or permits required for Tenant's authorized use of the Premises.</w:t>
      </w:r>
    </w:p>
    <w:p>
      <w:pPr>
        <w:spacing w:after="160"/>
      </w:pPr>
      <w:r>
        <w:t xml:space="preserve">Landlord shall not require Tenant to provide annual IRS Form 990 filings or other confidential financial information unless required by law or directly related to enforcing this Lease.</w:t>
      </w:r>
    </w:p>
    <w:p>
      <w:pPr>
        <w:pStyle w:val="Heading2"/>
        <w:spacing w:after="120" w:before="240"/>
      </w:pPr>
      <w:r>
        <w:t xml:space="preserve">5.4 Events and Programming</w:t>
      </w:r>
    </w:p>
    <w:p>
      <w:pPr>
        <w:spacing w:after="160"/>
      </w:pPr>
      <w:r>
        <w:t xml:space="preserve">Tenant may conduct charitable gaming, fundraising events, educational programming, community meetings, and similar activities, provided such activities:</w:t>
      </w:r>
    </w:p>
    <w:p>
      <w:pPr>
        <w:pStyle w:val="ListParagraph"/>
        <w:numPr>
          <w:ilvl w:val="0"/>
          <w:numId w:val="2"/>
        </w:numPr>
        <w:spacing w:after="80"/>
      </w:pPr>
      <w:r>
        <w:t xml:space="preserve">comply with applicable law;</w:t>
      </w:r>
    </w:p>
    <w:p>
      <w:pPr>
        <w:pStyle w:val="ListParagraph"/>
        <w:numPr>
          <w:ilvl w:val="0"/>
          <w:numId w:val="2"/>
        </w:numPr>
        <w:spacing w:after="80"/>
      </w:pPr>
      <w:r>
        <w:t xml:space="preserve">do not create an unreasonable nuisance to neighboring properties;</w:t>
      </w:r>
    </w:p>
    <w:p>
      <w:pPr>
        <w:pStyle w:val="ListParagraph"/>
        <w:numPr>
          <w:ilvl w:val="0"/>
          <w:numId w:val="2"/>
        </w:numPr>
        <w:spacing w:after="80"/>
      </w:pPr>
      <w:r>
        <w:t xml:space="preserve">comply with occupancy limits and applicable fire and safety regulations; and</w:t>
      </w:r>
    </w:p>
    <w:p>
      <w:pPr>
        <w:pStyle w:val="ListParagraph"/>
        <w:numPr>
          <w:ilvl w:val="0"/>
          <w:numId w:val="2"/>
        </w:numPr>
        <w:spacing w:after="80"/>
      </w:pPr>
      <w:r>
        <w:t xml:space="preserve">are conducted in a manner that does not materially interfere with other lawful occupants of the surrounding area.</w:t>
      </w:r>
    </w:p>
    <w:p>
      <w:pPr>
        <w:spacing w:after="160"/>
      </w:pPr>
      <w:r>
        <w:t xml:space="preserve">Landlord may adopt reasonable property rules relating to parking, safety, and common area use, provided such rules are applied uniformly and do not materially interfere with Tenant's permitted use of the Premises.</w:t>
      </w:r>
    </w:p>
    <w:p>
      <w:pPr>
        <w:pStyle w:val="Heading2"/>
        <w:spacing w:after="120" w:before="240"/>
      </w:pPr>
      <w:r>
        <w:t xml:space="preserve">5.5 Future Operations</w:t>
      </w:r>
    </w:p>
    <w:p>
      <w:pPr>
        <w:spacing w:after="160"/>
      </w:pPr>
      <w:r>
        <w:t xml:space="preserve">Tenant may expand or modify its nonprofit programs and services during the Lease Term without additional Landlord approval, provided such activities remain lawful and are substantially similar in character to the permitted uses described in this Article.</w:t>
      </w:r>
    </w:p>
    <w:p>
      <w:pPr>
        <w:spacing w:after="160"/>
      </w:pPr>
      <w:r>
        <w:t xml:space="preserve">Landlord's written approval shall be required only if Tenant proposes a material change in the nature of its operations that would reasonably increase the burden on the Property, materially affect insurance requirements, or require significant structural modifications to the Premises.</w:t>
      </w:r>
    </w:p>
    <w:p>
      <w:pPr>
        <w:pStyle w:val="Heading1"/>
        <w:spacing w:after="160" w:before="320"/>
      </w:pPr>
      <w:r>
        <w:t xml:space="preserve">ARTICLE 6: Modified Triple Net (NNN), CAM and Utilities</w:t>
      </w:r>
    </w:p>
    <w:p>
      <w:pPr>
        <w:pStyle w:val="Heading2"/>
        <w:spacing w:after="120" w:before="240"/>
      </w:pPr>
      <w:r>
        <w:t xml:space="preserve">6.1 Lease Type</w:t>
      </w:r>
    </w:p>
    <w:p>
      <w:pPr>
        <w:spacing w:after="160"/>
      </w:pPr>
      <w:r>
        <w:t xml:space="preserve">This Lease is a Modified Triple Net (Modified NNN) Lease. In addition to Base Rent, Tenant shall pay:</w:t>
      </w:r>
    </w:p>
    <w:p>
      <w:pPr>
        <w:pStyle w:val="ListParagraph"/>
        <w:numPr>
          <w:ilvl w:val="0"/>
          <w:numId w:val="2"/>
        </w:numPr>
        <w:spacing w:after="80"/>
      </w:pPr>
      <w:r>
        <w:t xml:space="preserve">electricity serving the Premises;</w:t>
      </w:r>
    </w:p>
    <w:p>
      <w:pPr>
        <w:pStyle w:val="ListParagraph"/>
        <w:numPr>
          <w:ilvl w:val="0"/>
          <w:numId w:val="2"/>
        </w:numPr>
        <w:spacing w:after="80"/>
      </w:pPr>
      <w:r>
        <w:t xml:space="preserve">natural gas;</w:t>
      </w:r>
    </w:p>
    <w:p>
      <w:pPr>
        <w:pStyle w:val="ListParagraph"/>
        <w:numPr>
          <w:ilvl w:val="0"/>
          <w:numId w:val="2"/>
        </w:numPr>
        <w:spacing w:after="80"/>
      </w:pPr>
      <w:r>
        <w:t xml:space="preserve">water and sewer service;</w:t>
      </w:r>
    </w:p>
    <w:p>
      <w:pPr>
        <w:pStyle w:val="ListParagraph"/>
        <w:numPr>
          <w:ilvl w:val="0"/>
          <w:numId w:val="2"/>
        </w:numPr>
        <w:spacing w:after="80"/>
      </w:pPr>
      <w:r>
        <w:t xml:space="preserve">internet and telecommunications services;</w:t>
      </w:r>
    </w:p>
    <w:p>
      <w:pPr>
        <w:pStyle w:val="ListParagraph"/>
        <w:numPr>
          <w:ilvl w:val="0"/>
          <w:numId w:val="2"/>
        </w:numPr>
        <w:spacing w:after="80"/>
      </w:pPr>
      <w:r>
        <w:t xml:space="preserve">trash collection;</w:t>
      </w:r>
    </w:p>
    <w:p>
      <w:pPr>
        <w:pStyle w:val="ListParagraph"/>
        <w:numPr>
          <w:ilvl w:val="0"/>
          <w:numId w:val="2"/>
        </w:numPr>
        <w:spacing w:after="80"/>
      </w:pPr>
      <w:r>
        <w:t xml:space="preserve">Tenant's proportionate share of real estate taxes;</w:t>
      </w:r>
    </w:p>
    <w:p>
      <w:pPr>
        <w:pStyle w:val="ListParagraph"/>
        <w:numPr>
          <w:ilvl w:val="0"/>
          <w:numId w:val="2"/>
        </w:numPr>
        <w:spacing w:after="80"/>
      </w:pPr>
      <w:r>
        <w:t xml:space="preserve">Tenant's proportionate share of building insurance premiums; and</w:t>
      </w:r>
    </w:p>
    <w:p>
      <w:pPr>
        <w:pStyle w:val="ListParagraph"/>
        <w:numPr>
          <w:ilvl w:val="0"/>
          <w:numId w:val="2"/>
        </w:numPr>
        <w:spacing w:after="80"/>
      </w:pPr>
      <w:r>
        <w:t xml:space="preserve">Tenant's proportionate share of Common Area Maintenance ("CAM") expenses as defined in this Article.</w:t>
      </w:r>
    </w:p>
    <w:p>
      <w:pPr>
        <w:spacing w:after="160"/>
      </w:pPr>
      <w:r>
        <w:t xml:space="preserve">Tenant shall not be responsible for any expense not specifically identified in this Lease.</w:t>
      </w:r>
    </w:p>
    <w:p>
      <w:pPr>
        <w:pStyle w:val="Heading2"/>
        <w:spacing w:after="120" w:before="240"/>
      </w:pPr>
      <w:r>
        <w:t xml:space="preserve">6.2 Common Area Maintenance (CAM)</w:t>
      </w:r>
    </w:p>
    <w:p>
      <w:pPr>
        <w:spacing w:after="160"/>
      </w:pPr>
      <w:r>
        <w:t xml:space="preserve">CAM expenses shall be limited to the reasonable cost of maintaining the common areas of the Property, including:</w:t>
      </w:r>
    </w:p>
    <w:p>
      <w:pPr>
        <w:pStyle w:val="ListParagraph"/>
        <w:numPr>
          <w:ilvl w:val="0"/>
          <w:numId w:val="2"/>
        </w:numPr>
        <w:spacing w:after="80"/>
      </w:pPr>
      <w:r>
        <w:t xml:space="preserve">landscaping;</w:t>
      </w:r>
    </w:p>
    <w:p>
      <w:pPr>
        <w:pStyle w:val="ListParagraph"/>
        <w:numPr>
          <w:ilvl w:val="0"/>
          <w:numId w:val="2"/>
        </w:numPr>
        <w:spacing w:after="80"/>
      </w:pPr>
      <w:r>
        <w:t xml:space="preserve">lawn maintenance;</w:t>
      </w:r>
    </w:p>
    <w:p>
      <w:pPr>
        <w:pStyle w:val="ListParagraph"/>
        <w:numPr>
          <w:ilvl w:val="0"/>
          <w:numId w:val="2"/>
        </w:numPr>
        <w:spacing w:after="80"/>
      </w:pPr>
      <w:r>
        <w:t xml:space="preserve">snow and ice removal;</w:t>
      </w:r>
    </w:p>
    <w:p>
      <w:pPr>
        <w:pStyle w:val="ListParagraph"/>
        <w:numPr>
          <w:ilvl w:val="0"/>
          <w:numId w:val="2"/>
        </w:numPr>
        <w:spacing w:after="80"/>
      </w:pPr>
      <w:r>
        <w:t xml:space="preserve">parking lot sweeping;</w:t>
      </w:r>
    </w:p>
    <w:p>
      <w:pPr>
        <w:pStyle w:val="ListParagraph"/>
        <w:numPr>
          <w:ilvl w:val="0"/>
          <w:numId w:val="2"/>
        </w:numPr>
        <w:spacing w:after="80"/>
      </w:pPr>
      <w:r>
        <w:t xml:space="preserve">parking lot striping;</w:t>
      </w:r>
    </w:p>
    <w:p>
      <w:pPr>
        <w:pStyle w:val="ListParagraph"/>
        <w:numPr>
          <w:ilvl w:val="0"/>
          <w:numId w:val="2"/>
        </w:numPr>
        <w:spacing w:after="80"/>
      </w:pPr>
      <w:r>
        <w:t xml:space="preserve">exterior lighting;</w:t>
      </w:r>
    </w:p>
    <w:p>
      <w:pPr>
        <w:pStyle w:val="ListParagraph"/>
        <w:numPr>
          <w:ilvl w:val="0"/>
          <w:numId w:val="2"/>
        </w:numPr>
        <w:spacing w:after="80"/>
      </w:pPr>
      <w:r>
        <w:t xml:space="preserve">sidewalks;</w:t>
      </w:r>
    </w:p>
    <w:p>
      <w:pPr>
        <w:pStyle w:val="ListParagraph"/>
        <w:numPr>
          <w:ilvl w:val="0"/>
          <w:numId w:val="2"/>
        </w:numPr>
        <w:spacing w:after="80"/>
      </w:pPr>
      <w:r>
        <w:t xml:space="preserve">dumpster service;</w:t>
      </w:r>
    </w:p>
    <w:p>
      <w:pPr>
        <w:pStyle w:val="ListParagraph"/>
        <w:numPr>
          <w:ilvl w:val="0"/>
          <w:numId w:val="2"/>
        </w:numPr>
        <w:spacing w:after="80"/>
      </w:pPr>
      <w:r>
        <w:t xml:space="preserve">exterior pest control;</w:t>
      </w:r>
    </w:p>
    <w:p>
      <w:pPr>
        <w:pStyle w:val="ListParagraph"/>
        <w:numPr>
          <w:ilvl w:val="0"/>
          <w:numId w:val="2"/>
        </w:numPr>
        <w:spacing w:after="80"/>
      </w:pPr>
      <w:r>
        <w:t xml:space="preserve">routine maintenance of common exterior areas.</w:t>
      </w:r>
    </w:p>
    <w:p>
      <w:pPr>
        <w:pStyle w:val="Heading2"/>
        <w:spacing w:after="120" w:before="240"/>
      </w:pPr>
      <w:r>
        <w:t xml:space="preserve">6.3 Excluded Expenses</w:t>
      </w:r>
    </w:p>
    <w:p>
      <w:pPr>
        <w:spacing w:after="160"/>
      </w:pPr>
      <w:r>
        <w:t xml:space="preserve">The following expenses shall not be included in CAM or otherwise charged to Tenant:</w:t>
      </w:r>
    </w:p>
    <w:p>
      <w:pPr>
        <w:pStyle w:val="ListParagraph"/>
        <w:numPr>
          <w:ilvl w:val="0"/>
          <w:numId w:val="2"/>
        </w:numPr>
        <w:spacing w:after="80"/>
      </w:pPr>
      <w:r>
        <w:t xml:space="preserve">roof replacement;</w:t>
      </w:r>
    </w:p>
    <w:p>
      <w:pPr>
        <w:pStyle w:val="ListParagraph"/>
        <w:numPr>
          <w:ilvl w:val="0"/>
          <w:numId w:val="2"/>
        </w:numPr>
        <w:spacing w:after="80"/>
      </w:pPr>
      <w:r>
        <w:t xml:space="preserve">structural repairs;</w:t>
      </w:r>
    </w:p>
    <w:p>
      <w:pPr>
        <w:pStyle w:val="ListParagraph"/>
        <w:numPr>
          <w:ilvl w:val="0"/>
          <w:numId w:val="2"/>
        </w:numPr>
        <w:spacing w:after="80"/>
      </w:pPr>
      <w:r>
        <w:t xml:space="preserve">foundation repairs;</w:t>
      </w:r>
    </w:p>
    <w:p>
      <w:pPr>
        <w:pStyle w:val="ListParagraph"/>
        <w:numPr>
          <w:ilvl w:val="0"/>
          <w:numId w:val="2"/>
        </w:numPr>
        <w:spacing w:after="80"/>
      </w:pPr>
      <w:r>
        <w:t xml:space="preserve">HVAC replacement;</w:t>
      </w:r>
    </w:p>
    <w:p>
      <w:pPr>
        <w:pStyle w:val="ListParagraph"/>
        <w:numPr>
          <w:ilvl w:val="0"/>
          <w:numId w:val="2"/>
        </w:numPr>
        <w:spacing w:after="80"/>
      </w:pPr>
      <w:r>
        <w:t xml:space="preserve">capital improvements;</w:t>
      </w:r>
    </w:p>
    <w:p>
      <w:pPr>
        <w:pStyle w:val="ListParagraph"/>
        <w:numPr>
          <w:ilvl w:val="0"/>
          <w:numId w:val="2"/>
        </w:numPr>
        <w:spacing w:after="80"/>
      </w:pPr>
      <w:r>
        <w:t xml:space="preserve">building additions or expansions;</w:t>
      </w:r>
    </w:p>
    <w:p>
      <w:pPr>
        <w:pStyle w:val="ListParagraph"/>
        <w:numPr>
          <w:ilvl w:val="0"/>
          <w:numId w:val="2"/>
        </w:numPr>
        <w:spacing w:after="80"/>
      </w:pPr>
      <w:r>
        <w:t xml:space="preserve">mortgage payments;</w:t>
      </w:r>
    </w:p>
    <w:p>
      <w:pPr>
        <w:pStyle w:val="ListParagraph"/>
        <w:numPr>
          <w:ilvl w:val="0"/>
          <w:numId w:val="2"/>
        </w:numPr>
        <w:spacing w:after="80"/>
      </w:pPr>
      <w:r>
        <w:t xml:space="preserve">loan interest;</w:t>
      </w:r>
    </w:p>
    <w:p>
      <w:pPr>
        <w:pStyle w:val="ListParagraph"/>
        <w:numPr>
          <w:ilvl w:val="0"/>
          <w:numId w:val="2"/>
        </w:numPr>
        <w:spacing w:after="80"/>
      </w:pPr>
      <w:r>
        <w:t xml:space="preserve">refinancing costs;</w:t>
      </w:r>
    </w:p>
    <w:p>
      <w:pPr>
        <w:pStyle w:val="ListParagraph"/>
        <w:numPr>
          <w:ilvl w:val="0"/>
          <w:numId w:val="2"/>
        </w:numPr>
        <w:spacing w:after="80"/>
      </w:pPr>
      <w:r>
        <w:t xml:space="preserve">depreciation;</w:t>
      </w:r>
    </w:p>
    <w:p>
      <w:pPr>
        <w:pStyle w:val="ListParagraph"/>
        <w:numPr>
          <w:ilvl w:val="0"/>
          <w:numId w:val="2"/>
        </w:numPr>
        <w:spacing w:after="80"/>
      </w:pPr>
      <w:r>
        <w:t xml:space="preserve">Landlord's income taxes;</w:t>
      </w:r>
    </w:p>
    <w:p>
      <w:pPr>
        <w:pStyle w:val="ListParagraph"/>
        <w:numPr>
          <w:ilvl w:val="0"/>
          <w:numId w:val="2"/>
        </w:numPr>
        <w:spacing w:after="80"/>
      </w:pPr>
      <w:r>
        <w:t xml:space="preserve">accounting fees unrelated to the Property;</w:t>
      </w:r>
    </w:p>
    <w:p>
      <w:pPr>
        <w:pStyle w:val="ListParagraph"/>
        <w:numPr>
          <w:ilvl w:val="0"/>
          <w:numId w:val="2"/>
        </w:numPr>
        <w:spacing w:after="80"/>
      </w:pPr>
      <w:r>
        <w:t xml:space="preserve">legal fees unrelated to Tenant;</w:t>
      </w:r>
    </w:p>
    <w:p>
      <w:pPr>
        <w:pStyle w:val="ListParagraph"/>
        <w:numPr>
          <w:ilvl w:val="0"/>
          <w:numId w:val="2"/>
        </w:numPr>
        <w:spacing w:after="80"/>
      </w:pPr>
      <w:r>
        <w:t xml:space="preserve">leasing commissions;</w:t>
      </w:r>
    </w:p>
    <w:p>
      <w:pPr>
        <w:pStyle w:val="ListParagraph"/>
        <w:numPr>
          <w:ilvl w:val="0"/>
          <w:numId w:val="2"/>
        </w:numPr>
        <w:spacing w:after="80"/>
      </w:pPr>
      <w:r>
        <w:t xml:space="preserve">property management fees;</w:t>
      </w:r>
    </w:p>
    <w:p>
      <w:pPr>
        <w:pStyle w:val="ListParagraph"/>
        <w:numPr>
          <w:ilvl w:val="0"/>
          <w:numId w:val="2"/>
        </w:numPr>
        <w:spacing w:after="80"/>
      </w:pPr>
      <w:r>
        <w:t xml:space="preserve">administrative markups;</w:t>
      </w:r>
    </w:p>
    <w:p>
      <w:pPr>
        <w:pStyle w:val="ListParagraph"/>
        <w:numPr>
          <w:ilvl w:val="0"/>
          <w:numId w:val="2"/>
        </w:numPr>
        <w:spacing w:after="80"/>
      </w:pPr>
      <w:r>
        <w:t xml:space="preserve">Landlord overhead;</w:t>
      </w:r>
    </w:p>
    <w:p>
      <w:pPr>
        <w:pStyle w:val="ListParagraph"/>
        <w:numPr>
          <w:ilvl w:val="0"/>
          <w:numId w:val="2"/>
        </w:numPr>
        <w:spacing w:after="80"/>
      </w:pPr>
      <w:r>
        <w:t xml:space="preserve">costs incurred to remedy pre-existing building defects;</w:t>
      </w:r>
    </w:p>
    <w:p>
      <w:pPr>
        <w:pStyle w:val="ListParagraph"/>
        <w:numPr>
          <w:ilvl w:val="0"/>
          <w:numId w:val="2"/>
        </w:numPr>
        <w:spacing w:after="80"/>
      </w:pPr>
      <w:r>
        <w:t xml:space="preserve">environmental remediation not caused by Tenant.</w:t>
      </w:r>
    </w:p>
    <w:p>
      <w:pPr>
        <w:pStyle w:val="Heading2"/>
        <w:spacing w:after="120" w:before="240"/>
      </w:pPr>
      <w:r>
        <w:t xml:space="preserve">6.4 Documentation and Reconciliation</w:t>
      </w:r>
    </w:p>
    <w:p>
      <w:pPr>
        <w:spacing w:after="160"/>
      </w:pPr>
      <w:r>
        <w:t xml:space="preserve">Landlord shall provide Tenant with an annual statement detailing real estate taxes, insurance premiums, and CAM expenses. Upon reasonable written notice, Tenant may inspect invoices and supporting documentation relating to reimbursable expenses once each calendar year.</w:t>
      </w:r>
    </w:p>
    <w:p>
      <w:pPr>
        <w:shd w:fill="FFF3F3" w:val="clear"/>
        <w:spacing w:after="160" w:before="80"/>
      </w:pPr>
      <w:r>
        <w:rPr>
          <w:i/>
          <w:iCs/>
          <w:color w:val="B00000"/>
        </w:rPr>
        <w:t xml:space="preserve">REVIEW NOTE: Landlord's current property insurance (State Farm Businessowners policy, effective 6/30/2026) totals $3,969.78/year. At Tenant's 1,700 SF against the Property's 2,500 SF gross leasable area (68%), Tenant's proportionate share under this Section would be approximately $2,699/year ($225/month) if the full premium is passed through - use this to sanity-check any invoice Landlord submits under this Section.</w:t>
      </w:r>
    </w:p>
    <w:p>
      <w:pPr>
        <w:pStyle w:val="Heading2"/>
        <w:spacing w:after="120" w:before="240"/>
      </w:pPr>
      <w:r>
        <w:t xml:space="preserve">6.5 Annual CAM Increase</w:t>
      </w:r>
    </w:p>
    <w:p>
      <w:pPr>
        <w:spacing w:after="160"/>
      </w:pPr>
      <w:r>
        <w:t xml:space="preserve">Routine CAM expenses shall not increase by more than five percent (5%) during any calendar year, excluding documented increases in property taxes or insurance premiums beyond Landlord's reasonable control.</w:t>
      </w:r>
    </w:p>
    <w:p>
      <w:pPr>
        <w:pStyle w:val="Heading2"/>
        <w:spacing w:after="120" w:before="240"/>
      </w:pPr>
      <w:r>
        <w:t xml:space="preserve">6.6 Utilities</w:t>
      </w:r>
    </w:p>
    <w:p>
      <w:pPr>
        <w:spacing w:after="160"/>
      </w:pPr>
      <w:r>
        <w:t xml:space="preserve">Tenant shall establish and maintain utility accounts serving the Premises whenever separately metered. If utilities are not separately metered, Landlord shall allocate costs using a commercially reasonable method based upon the Premises' proportionate share of the Property.</w:t>
      </w:r>
    </w:p>
    <w:p>
      <w:pPr>
        <w:pStyle w:val="Heading2"/>
        <w:spacing w:after="120" w:before="240"/>
      </w:pPr>
      <w:r>
        <w:t xml:space="preserve">6.7 Utility Interruptions</w:t>
      </w:r>
    </w:p>
    <w:p>
      <w:pPr>
        <w:spacing w:after="160"/>
      </w:pPr>
      <w:r>
        <w:t xml:space="preserve">Landlord shall not be liable for temporary interruptions of utility service caused by circumstances beyond Landlord's reasonable control. If a utility interruption caused by Landlord's negligence renders the Premises unusable for more than three (3) consecutive business days, Base Rent shall be equitably abated until the Premises are again reasonably usable.</w:t>
      </w:r>
    </w:p>
    <w:p>
      <w:pPr>
        <w:pStyle w:val="Heading1"/>
        <w:spacing w:after="160" w:before="320"/>
      </w:pPr>
      <w:r>
        <w:t xml:space="preserve">ARTICLE 7: Maintenance, Repairs, and Condition of Premises</w:t>
      </w:r>
    </w:p>
    <w:p>
      <w:pPr>
        <w:pStyle w:val="Heading2"/>
        <w:spacing w:after="120" w:before="240"/>
      </w:pPr>
      <w:r>
        <w:t xml:space="preserve">7.1 Tenant Responsibilities</w:t>
      </w:r>
    </w:p>
    <w:p>
      <w:pPr>
        <w:spacing w:after="160"/>
      </w:pPr>
      <w:r>
        <w:t xml:space="preserve">Tenant shall, at its expense, maintain the interior of the Premises in a clean, safe, and sanitary condition. Tenant shall be responsible for:</w:t>
      </w:r>
    </w:p>
    <w:p>
      <w:pPr>
        <w:pStyle w:val="ListParagraph"/>
        <w:numPr>
          <w:ilvl w:val="0"/>
          <w:numId w:val="2"/>
        </w:numPr>
        <w:spacing w:after="80"/>
      </w:pPr>
      <w:r>
        <w:t xml:space="preserve">interior paint;</w:t>
      </w:r>
    </w:p>
    <w:p>
      <w:pPr>
        <w:pStyle w:val="ListParagraph"/>
        <w:numPr>
          <w:ilvl w:val="0"/>
          <w:numId w:val="2"/>
        </w:numPr>
        <w:spacing w:after="80"/>
      </w:pPr>
      <w:r>
        <w:t xml:space="preserve">flooring;</w:t>
      </w:r>
    </w:p>
    <w:p>
      <w:pPr>
        <w:pStyle w:val="ListParagraph"/>
        <w:numPr>
          <w:ilvl w:val="0"/>
          <w:numId w:val="2"/>
        </w:numPr>
        <w:spacing w:after="80"/>
      </w:pPr>
      <w:r>
        <w:t xml:space="preserve">ceiling tiles;</w:t>
      </w:r>
    </w:p>
    <w:p>
      <w:pPr>
        <w:pStyle w:val="ListParagraph"/>
        <w:numPr>
          <w:ilvl w:val="0"/>
          <w:numId w:val="2"/>
        </w:numPr>
        <w:spacing w:after="80"/>
      </w:pPr>
      <w:r>
        <w:t xml:space="preserve">interior doors;</w:t>
      </w:r>
    </w:p>
    <w:p>
      <w:pPr>
        <w:pStyle w:val="ListParagraph"/>
        <w:numPr>
          <w:ilvl w:val="0"/>
          <w:numId w:val="2"/>
        </w:numPr>
        <w:spacing w:after="80"/>
      </w:pPr>
      <w:r>
        <w:t xml:space="preserve">locks and keys;</w:t>
      </w:r>
    </w:p>
    <w:p>
      <w:pPr>
        <w:pStyle w:val="ListParagraph"/>
        <w:numPr>
          <w:ilvl w:val="0"/>
          <w:numId w:val="2"/>
        </w:numPr>
        <w:spacing w:after="80"/>
      </w:pPr>
      <w:r>
        <w:t xml:space="preserve">interior plumbing fixtures;</w:t>
      </w:r>
    </w:p>
    <w:p>
      <w:pPr>
        <w:pStyle w:val="ListParagraph"/>
        <w:numPr>
          <w:ilvl w:val="0"/>
          <w:numId w:val="2"/>
        </w:numPr>
        <w:spacing w:after="80"/>
      </w:pPr>
      <w:r>
        <w:t xml:space="preserve">interior electrical fixtures;</w:t>
      </w:r>
    </w:p>
    <w:p>
      <w:pPr>
        <w:pStyle w:val="ListParagraph"/>
        <w:numPr>
          <w:ilvl w:val="0"/>
          <w:numId w:val="2"/>
        </w:numPr>
        <w:spacing w:after="80"/>
      </w:pPr>
      <w:r>
        <w:t xml:space="preserve">light bulbs;</w:t>
      </w:r>
    </w:p>
    <w:p>
      <w:pPr>
        <w:pStyle w:val="ListParagraph"/>
        <w:numPr>
          <w:ilvl w:val="0"/>
          <w:numId w:val="2"/>
        </w:numPr>
        <w:spacing w:after="80"/>
      </w:pPr>
      <w:r>
        <w:t xml:space="preserve">routine janitorial services;</w:t>
      </w:r>
    </w:p>
    <w:p>
      <w:pPr>
        <w:pStyle w:val="ListParagraph"/>
        <w:numPr>
          <w:ilvl w:val="0"/>
          <w:numId w:val="2"/>
        </w:numPr>
        <w:spacing w:after="80"/>
      </w:pPr>
      <w:r>
        <w:t xml:space="preserve">replacement of HVAC filters in accordance with manufacturer recommendations;</w:t>
      </w:r>
    </w:p>
    <w:p>
      <w:pPr>
        <w:pStyle w:val="ListParagraph"/>
        <w:numPr>
          <w:ilvl w:val="0"/>
          <w:numId w:val="2"/>
        </w:numPr>
        <w:spacing w:after="80"/>
      </w:pPr>
      <w:r>
        <w:t xml:space="preserve">damage caused by Tenant, its employees, contractors, volunteers, or guests.</w:t>
      </w:r>
    </w:p>
    <w:p>
      <w:pPr>
        <w:spacing w:after="160"/>
      </w:pPr>
      <w:r>
        <w:t xml:space="preserve">Tenant shall promptly notify Landlord of any condition requiring structural or major building repairs.</w:t>
      </w:r>
    </w:p>
    <w:p>
      <w:pPr>
        <w:pStyle w:val="Heading2"/>
        <w:spacing w:after="120" w:before="240"/>
      </w:pPr>
      <w:r>
        <w:t xml:space="preserve">7.2 Landlord Responsibilities</w:t>
      </w:r>
    </w:p>
    <w:p>
      <w:pPr>
        <w:spacing w:after="160"/>
      </w:pPr>
      <w:r>
        <w:t xml:space="preserve">Landlord shall maintain, repair, and replace, at Landlord's expense:</w:t>
      </w:r>
    </w:p>
    <w:p>
      <w:pPr>
        <w:pStyle w:val="ListParagraph"/>
        <w:numPr>
          <w:ilvl w:val="0"/>
          <w:numId w:val="2"/>
        </w:numPr>
        <w:spacing w:after="80"/>
      </w:pPr>
      <w:r>
        <w:t xml:space="preserve">roof;</w:t>
      </w:r>
    </w:p>
    <w:p>
      <w:pPr>
        <w:pStyle w:val="ListParagraph"/>
        <w:numPr>
          <w:ilvl w:val="0"/>
          <w:numId w:val="2"/>
        </w:numPr>
        <w:spacing w:after="80"/>
      </w:pPr>
      <w:r>
        <w:t xml:space="preserve">foundation;</w:t>
      </w:r>
    </w:p>
    <w:p>
      <w:pPr>
        <w:pStyle w:val="ListParagraph"/>
        <w:numPr>
          <w:ilvl w:val="0"/>
          <w:numId w:val="2"/>
        </w:numPr>
        <w:spacing w:after="80"/>
      </w:pPr>
      <w:r>
        <w:t xml:space="preserve">structural components;</w:t>
      </w:r>
    </w:p>
    <w:p>
      <w:pPr>
        <w:pStyle w:val="ListParagraph"/>
        <w:numPr>
          <w:ilvl w:val="0"/>
          <w:numId w:val="2"/>
        </w:numPr>
        <w:spacing w:after="80"/>
      </w:pPr>
      <w:r>
        <w:t xml:space="preserve">exterior walls;</w:t>
      </w:r>
    </w:p>
    <w:p>
      <w:pPr>
        <w:pStyle w:val="ListParagraph"/>
        <w:numPr>
          <w:ilvl w:val="0"/>
          <w:numId w:val="2"/>
        </w:numPr>
        <w:spacing w:after="80"/>
      </w:pPr>
      <w:r>
        <w:t xml:space="preserve">building envelope;</w:t>
      </w:r>
    </w:p>
    <w:p>
      <w:pPr>
        <w:pStyle w:val="ListParagraph"/>
        <w:numPr>
          <w:ilvl w:val="0"/>
          <w:numId w:val="2"/>
        </w:numPr>
        <w:spacing w:after="80"/>
      </w:pPr>
      <w:r>
        <w:t xml:space="preserve">major plumbing systems;</w:t>
      </w:r>
    </w:p>
    <w:p>
      <w:pPr>
        <w:pStyle w:val="ListParagraph"/>
        <w:numPr>
          <w:ilvl w:val="0"/>
          <w:numId w:val="2"/>
        </w:numPr>
        <w:spacing w:after="80"/>
      </w:pPr>
      <w:r>
        <w:t xml:space="preserve">main electrical service;</w:t>
      </w:r>
    </w:p>
    <w:p>
      <w:pPr>
        <w:pStyle w:val="ListParagraph"/>
        <w:numPr>
          <w:ilvl w:val="0"/>
          <w:numId w:val="2"/>
        </w:numPr>
        <w:spacing w:after="80"/>
      </w:pPr>
      <w:r>
        <w:t xml:space="preserve">drainage systems;</w:t>
      </w:r>
    </w:p>
    <w:p>
      <w:pPr>
        <w:pStyle w:val="ListParagraph"/>
        <w:numPr>
          <w:ilvl w:val="0"/>
          <w:numId w:val="2"/>
        </w:numPr>
        <w:spacing w:after="80"/>
      </w:pPr>
      <w:r>
        <w:t xml:space="preserve">parking lot;</w:t>
      </w:r>
    </w:p>
    <w:p>
      <w:pPr>
        <w:pStyle w:val="ListParagraph"/>
        <w:numPr>
          <w:ilvl w:val="0"/>
          <w:numId w:val="2"/>
        </w:numPr>
        <w:spacing w:after="80"/>
      </w:pPr>
      <w:r>
        <w:t xml:space="preserve">sidewalks;</w:t>
      </w:r>
    </w:p>
    <w:p>
      <w:pPr>
        <w:pStyle w:val="ListParagraph"/>
        <w:numPr>
          <w:ilvl w:val="0"/>
          <w:numId w:val="2"/>
        </w:numPr>
        <w:spacing w:after="80"/>
      </w:pPr>
      <w:r>
        <w:t xml:space="preserve">exterior lighting serving common areas;</w:t>
      </w:r>
    </w:p>
    <w:p>
      <w:pPr>
        <w:pStyle w:val="ListParagraph"/>
        <w:numPr>
          <w:ilvl w:val="0"/>
          <w:numId w:val="2"/>
        </w:numPr>
        <w:spacing w:after="80"/>
      </w:pPr>
      <w:r>
        <w:t xml:space="preserve">HVAC equipment and replacement, except where damage results from Tenant's negligence or misuse.</w:t>
      </w:r>
    </w:p>
    <w:p>
      <w:pPr>
        <w:pStyle w:val="Heading2"/>
        <w:spacing w:after="120" w:before="240"/>
      </w:pPr>
      <w:r>
        <w:t xml:space="preserve">7.3 Preventive Maintenance</w:t>
      </w:r>
    </w:p>
    <w:p>
      <w:pPr>
        <w:spacing w:after="160"/>
      </w:pPr>
      <w:r>
        <w:t xml:space="preserve">Tenant shall replace HVAC filters as recommended, promptly report mechanical issues, and avoid misuse of building systems. Landlord shall be responsible for all normal repairs resulting from ordinary wear and tear.</w:t>
      </w:r>
    </w:p>
    <w:p>
      <w:pPr>
        <w:pStyle w:val="Heading2"/>
        <w:spacing w:after="120" w:before="240"/>
      </w:pPr>
      <w:r>
        <w:t xml:space="preserve">7.4 Alteration of Building Systems</w:t>
      </w:r>
    </w:p>
    <w:p>
      <w:pPr>
        <w:spacing w:after="160"/>
      </w:pPr>
      <w:r>
        <w:t xml:space="preserve">Tenant shall not modify structural components, plumbing mains, electrical service, roof, or HVAC systems without Landlord's prior written approval, which shall not be unreasonably withheld, conditioned, or delayed.</w:t>
      </w:r>
    </w:p>
    <w:p>
      <w:pPr>
        <w:pStyle w:val="Heading2"/>
        <w:spacing w:after="120" w:before="240"/>
      </w:pPr>
      <w:r>
        <w:t xml:space="preserve">7.5 Property Inspections</w:t>
      </w:r>
    </w:p>
    <w:p>
      <w:pPr>
        <w:spacing w:after="160"/>
      </w:pPr>
      <w:r>
        <w:t xml:space="preserve">Landlord may inspect the Premises upon at least twenty-four (24) hours' prior notice during normal business hours, except in the event of an emergency requiring immediate access. Tenant shall cooperate with reasonable inspections and shall promptly address any maintenance issue for which Tenant is responsible under this Lease.</w:t>
      </w:r>
    </w:p>
    <w:p>
      <w:pPr>
        <w:pStyle w:val="Heading2"/>
        <w:spacing w:after="120" w:before="240"/>
      </w:pPr>
      <w:r>
        <w:t xml:space="preserve">7.6 Damage Caused by Tenant</w:t>
      </w:r>
    </w:p>
    <w:p>
      <w:pPr>
        <w:spacing w:after="160"/>
      </w:pPr>
      <w:r>
        <w:t xml:space="preserve">Tenant shall promptly repair any damage caused by the negligence or intentional acts of Tenant or Tenant's employees, volunteers, contractors, or invitees. Normal wear and tear shall not constitute damage.</w:t>
      </w:r>
    </w:p>
    <w:p>
      <w:pPr>
        <w:pStyle w:val="Heading2"/>
        <w:spacing w:after="120" w:before="240"/>
      </w:pPr>
      <w:r>
        <w:t xml:space="preserve">7.7 Building Condition</w:t>
      </w:r>
    </w:p>
    <w:p>
      <w:pPr>
        <w:spacing w:after="160"/>
      </w:pPr>
      <w:r>
        <w:t xml:space="preserve">Throughout the Lease Term, Landlord shall maintain the Premises in compliance with applicable building codes affecting the structural integrity and basic operation of the Property. Nothing in this Lease shall require Tenant to pay for capital replacements or deferred maintenance that existed before the Commencement Date.</w:t>
      </w:r>
    </w:p>
    <w:p>
      <w:pPr>
        <w:pStyle w:val="Heading1"/>
        <w:spacing w:after="160" w:before="320"/>
      </w:pPr>
      <w:r>
        <w:t xml:space="preserve">ARTICLE 8: Alterations, Improvements &amp; Signage</w:t>
      </w:r>
    </w:p>
    <w:p>
      <w:pPr>
        <w:pStyle w:val="Heading2"/>
        <w:spacing w:after="120" w:before="240"/>
      </w:pPr>
      <w:r>
        <w:t xml:space="preserve">8.1 Alterations and Improvements</w:t>
      </w:r>
    </w:p>
    <w:p>
      <w:pPr>
        <w:spacing w:after="160"/>
      </w:pPr>
      <w:r>
        <w:t xml:space="preserve">Tenant may make non-structural alterations, cosmetic improvements, and interior modifications to the Premises, provided such work complies with all applicable laws, codes, and permitting requirements; is performed in a good and workmanlike manner; and does not impair the structural integrity or major building systems of the Property.</w:t>
      </w:r>
    </w:p>
    <w:p>
      <w:pPr>
        <w:spacing w:after="160"/>
      </w:pPr>
      <w:r>
        <w:t xml:space="preserve">Structural alterations or modifications affecting the exterior of the Building shall require Landlord's prior written consent, which shall not be unreasonably withheld, conditioned, or delayed.</w:t>
      </w:r>
    </w:p>
    <w:p>
      <w:pPr>
        <w:pStyle w:val="Heading2"/>
        <w:spacing w:after="120" w:before="240"/>
      </w:pPr>
      <w:r>
        <w:t xml:space="preserve">8.2 Tenant Improvements</w:t>
      </w:r>
    </w:p>
    <w:p>
      <w:pPr>
        <w:spacing w:after="160"/>
      </w:pPr>
      <w:r>
        <w:t xml:space="preserve">Tenant may install flooring, paint, cabinetry, counters, lighting, security systems, surveillance equipment, networking equipment, furniture, gaming equipment, displays, shelving, and other fixtures necessary for its charitable gaming and nonprofit operations. Unless otherwise agreed in writing:</w:t>
      </w:r>
    </w:p>
    <w:p>
      <w:pPr>
        <w:pStyle w:val="ListParagraph"/>
        <w:numPr>
          <w:ilvl w:val="0"/>
          <w:numId w:val="2"/>
        </w:numPr>
        <w:spacing w:after="80"/>
      </w:pPr>
      <w:r>
        <w:t xml:space="preserve">Tenant-owned trade fixtures, furniture, equipment, gaming devices, technology, and personal property shall remain the property of Tenant.</w:t>
      </w:r>
    </w:p>
    <w:p>
      <w:pPr>
        <w:pStyle w:val="ListParagraph"/>
        <w:numPr>
          <w:ilvl w:val="0"/>
          <w:numId w:val="2"/>
        </w:numPr>
        <w:spacing w:after="80"/>
      </w:pPr>
      <w:r>
        <w:t xml:space="preserve">Permanent improvements attached to the Building shall become the property of Landlord upon expiration or earlier termination of this Lease unless Landlord requires their removal.</w:t>
      </w:r>
    </w:p>
    <w:p>
      <w:pPr>
        <w:spacing w:after="160"/>
      </w:pPr>
      <w:r>
        <w:t xml:space="preserve">Landlord shall notify Tenant of any required removals at least thirty (30) days before the Lease expires.</w:t>
      </w:r>
    </w:p>
    <w:p>
      <w:pPr>
        <w:pStyle w:val="Heading2"/>
        <w:spacing w:after="120" w:before="240"/>
      </w:pPr>
      <w:r>
        <w:t xml:space="preserve">8.3 Signage</w:t>
      </w:r>
    </w:p>
    <w:p>
      <w:pPr>
        <w:spacing w:after="160"/>
      </w:pPr>
      <w:r>
        <w:t xml:space="preserve">Tenant may install professionally designed exterior building signage, monument signage (if available), window graphics, and directional signage identifying its business and charitable gaming operations. All signage shall comply with applicable laws and local ordinances; be professionally installed; and receive Landlord's prior written approval, which shall not be unreasonably withheld, conditioned, or delayed.</w:t>
      </w:r>
    </w:p>
    <w:p>
      <w:pPr>
        <w:spacing w:after="160"/>
      </w:pPr>
      <w:r>
        <w:t xml:space="preserve">Tenant shall be responsible for maintaining its signage in good condition throughout the Lease Term. Upon expiration or termination of this Lease, Tenant shall remove its signage and repair any damage caused by its removal.</w:t>
      </w:r>
    </w:p>
    <w:p>
      <w:pPr>
        <w:pStyle w:val="Heading2"/>
        <w:spacing w:after="120" w:before="240"/>
      </w:pPr>
      <w:r>
        <w:t xml:space="preserve">8.4 Technology and Security Systems</w:t>
      </w:r>
    </w:p>
    <w:p>
      <w:pPr>
        <w:spacing w:after="160"/>
      </w:pPr>
      <w:r>
        <w:t xml:space="preserve">Tenant may install security cameras, alarm systems, access control systems, computer and network cabling, telecommunications equipment, audio/visual equipment, and gaming-related technology required by Kentucky regulators. Installation shall be performed in a professional manner and shall not damage the structural components of the Building.</w:t>
      </w:r>
    </w:p>
    <w:p>
      <w:pPr>
        <w:pStyle w:val="Heading2"/>
        <w:spacing w:after="120" w:before="240"/>
      </w:pPr>
      <w:r>
        <w:t xml:space="preserve">8.5 Restoration</w:t>
      </w:r>
    </w:p>
    <w:p>
      <w:pPr>
        <w:spacing w:after="160"/>
      </w:pPr>
      <w:r>
        <w:t xml:space="preserve">Except for ordinary wear and tear and improvements Landlord elects to retain, Tenant shall repair any damage caused by the removal of Tenant's personal property, equipment, trade fixtures, or signage. Tenant shall not be required to restore improvements that Landlord has agreed to keep.</w:t>
      </w:r>
    </w:p>
    <w:p>
      <w:pPr>
        <w:pStyle w:val="Heading1"/>
        <w:spacing w:after="160" w:before="320"/>
      </w:pPr>
      <w:r>
        <w:t xml:space="preserve">ARTICLE 9: Insurance</w:t>
      </w:r>
    </w:p>
    <w:p>
      <w:pPr>
        <w:pStyle w:val="Heading2"/>
        <w:spacing w:after="120" w:before="240"/>
      </w:pPr>
      <w:r>
        <w:t xml:space="preserve">9.1 Tenant Insurance</w:t>
      </w:r>
    </w:p>
    <w:p>
      <w:pPr>
        <w:spacing w:after="160"/>
      </w:pPr>
      <w:r>
        <w:t xml:space="preserve">Throughout the Lease Term, Tenant shall maintain the following insurance coverage with insurers authorized to conduct business in the Commonwealth of Kentucky:</w:t>
      </w:r>
    </w:p>
    <w:p>
      <w:pPr>
        <w:spacing w:after="160"/>
      </w:pPr>
      <w:r>
        <w:rPr>
          <w:b/>
          <w:bCs/>
        </w:rPr>
        <w:t xml:space="preserve">Commercial General Liability Insurance</w:t>
      </w:r>
    </w:p>
    <w:p>
      <w:pPr>
        <w:pStyle w:val="ListParagraph"/>
        <w:numPr>
          <w:ilvl w:val="0"/>
          <w:numId w:val="2"/>
        </w:numPr>
        <w:spacing w:after="80"/>
      </w:pPr>
      <w:r>
        <w:t xml:space="preserve">$1,000,000 per occurrence</w:t>
      </w:r>
    </w:p>
    <w:p>
      <w:pPr>
        <w:pStyle w:val="ListParagraph"/>
        <w:numPr>
          <w:ilvl w:val="0"/>
          <w:numId w:val="2"/>
        </w:numPr>
        <w:spacing w:after="80"/>
      </w:pPr>
      <w:r>
        <w:t xml:space="preserve">$2,000,000 general aggregate</w:t>
      </w:r>
    </w:p>
    <w:p>
      <w:pPr>
        <w:spacing w:after="160"/>
      </w:pPr>
      <w:r>
        <w:rPr>
          <w:b/>
          <w:bCs/>
        </w:rPr>
        <w:t xml:space="preserve">Workers' Compensation Insurance</w:t>
      </w:r>
    </w:p>
    <w:p>
      <w:pPr>
        <w:spacing w:after="160"/>
      </w:pPr>
      <w:r>
        <w:t xml:space="preserve">As required by Kentucky law, if Tenant has employees subject to such coverage.</w:t>
      </w:r>
    </w:p>
    <w:p>
      <w:pPr>
        <w:spacing w:after="160"/>
      </w:pPr>
      <w:r>
        <w:rPr>
          <w:b/>
          <w:bCs/>
        </w:rPr>
        <w:t xml:space="preserve">Business Personal Property Insurance</w:t>
      </w:r>
    </w:p>
    <w:p>
      <w:pPr>
        <w:spacing w:after="160"/>
      </w:pPr>
      <w:r>
        <w:t xml:space="preserve">Coverage for Tenant's furniture, equipment, gaming devices, inventory, computers, fixtures, and other personal property located within the Premises.</w:t>
      </w:r>
    </w:p>
    <w:p>
      <w:pPr>
        <w:pStyle w:val="Heading2"/>
        <w:spacing w:after="120" w:before="240"/>
      </w:pPr>
      <w:r>
        <w:t xml:space="preserve">9.2 Evidence of Insurance</w:t>
      </w:r>
    </w:p>
    <w:p>
      <w:pPr>
        <w:spacing w:after="160"/>
      </w:pPr>
      <w:r>
        <w:t xml:space="preserve">Prior to the Commencement Date and upon each policy renewal, Tenant shall provide Landlord with a Certificate of Insurance evidencing the required coverage. Upon reasonable request, Tenant shall provide updated certificates throughout the Lease Term.</w:t>
      </w:r>
    </w:p>
    <w:p>
      <w:pPr>
        <w:spacing w:after="160"/>
      </w:pPr>
      <w:r>
        <w:t xml:space="preserve">Landlord may be named as an Additional Insured on Tenant's Commercial General Liability policy when such status is available under Tenant's policy.</w:t>
      </w:r>
    </w:p>
    <w:p>
      <w:pPr>
        <w:spacing w:after="160"/>
      </w:pPr>
      <w:r>
        <w:t xml:space="preserve">Failure to maintain the required insurance after written notice and a reasonable opportunity to cure shall constitute a default under this Lease.</w:t>
      </w:r>
    </w:p>
    <w:p>
      <w:pPr>
        <w:pStyle w:val="Heading2"/>
        <w:spacing w:after="120" w:before="240"/>
      </w:pPr>
      <w:r>
        <w:t xml:space="preserve">9.3 Landlord Insurance</w:t>
      </w:r>
    </w:p>
    <w:p>
      <w:pPr>
        <w:spacing w:after="160"/>
      </w:pPr>
      <w:r>
        <w:t xml:space="preserve">Throughout the Lease Term, Landlord shall maintain commercial property insurance covering the Building against loss or damage from fire and other customary hazards. Landlord shall also maintain liability insurance covering the common areas of the Property.</w:t>
      </w:r>
    </w:p>
    <w:p>
      <w:pPr>
        <w:spacing w:after="160"/>
      </w:pPr>
      <w:r>
        <w:t xml:space="preserve">If Tenant reimburses Landlord for any portion of the building insurance premium under this Lease, Landlord shall provide reasonable documentation supporting the amount charged.</w:t>
      </w:r>
    </w:p>
    <w:p>
      <w:pPr>
        <w:pStyle w:val="Heading2"/>
        <w:spacing w:after="120" w:before="240"/>
      </w:pPr>
      <w:r>
        <w:t xml:space="preserve">9.4 Waiver of Subrogation</w:t>
      </w:r>
    </w:p>
    <w:p>
      <w:pPr>
        <w:spacing w:after="160"/>
      </w:pPr>
      <w:r>
        <w:t xml:space="preserve">To the extent permitted by each party's insurance policies, Landlord and Tenant each waive any right of recovery against the other for losses covered by insurance. Neither party shall be required to obtain a waiver if doing so would materially increase the cost of insurance or render coverage unavailable.</w:t>
      </w:r>
    </w:p>
    <w:p>
      <w:pPr>
        <w:pStyle w:val="Heading2"/>
        <w:spacing w:after="120" w:before="240"/>
      </w:pPr>
      <w:r>
        <w:t xml:space="preserve">9.5 Claims and Losses</w:t>
      </w:r>
    </w:p>
    <w:p>
      <w:pPr>
        <w:spacing w:after="160"/>
      </w:pPr>
      <w:r>
        <w:t xml:space="preserve">Each party shall promptly notify the other of any occurrence, accident, casualty, or claim that could reasonably affect the Premises or result in a claim under this Lease. Each party agrees to cooperate in the investigation and adjustment of insured losses.</w:t>
      </w:r>
    </w:p>
    <w:p>
      <w:pPr>
        <w:pStyle w:val="Heading2"/>
        <w:spacing w:after="120" w:before="240"/>
      </w:pPr>
      <w:r>
        <w:t xml:space="preserve">9.6 No Limitation of Liability</w:t>
      </w:r>
    </w:p>
    <w:p>
      <w:pPr>
        <w:spacing w:after="160"/>
      </w:pPr>
      <w:r>
        <w:t xml:space="preserve">The insurance requirements contained in this Article establish minimum coverage requirements only and shall not limit either party's responsibility for its own negligent or wrongful acts.</w:t>
      </w:r>
    </w:p>
    <w:p>
      <w:pPr>
        <w:pStyle w:val="Heading1"/>
        <w:spacing w:after="160" w:before="320"/>
      </w:pPr>
      <w:r>
        <w:t xml:space="preserve">ARTICLE 10: Law and Compliance</w:t>
      </w:r>
    </w:p>
    <w:p>
      <w:pPr>
        <w:pStyle w:val="Heading2"/>
        <w:spacing w:after="120" w:before="240"/>
      </w:pPr>
      <w:r>
        <w:t xml:space="preserve">10.1 Compliance with Laws</w:t>
      </w:r>
    </w:p>
    <w:p>
      <w:pPr>
        <w:spacing w:after="160"/>
      </w:pPr>
      <w:r>
        <w:t xml:space="preserve">Tenant shall, at its expense, comply with all applicable federal, state, and local laws, ordinances, regulations, licensing requirements, and governmental orders relating to Tenant's business operations and use of the Premises.</w:t>
      </w:r>
    </w:p>
    <w:p>
      <w:pPr>
        <w:spacing w:after="160"/>
      </w:pPr>
      <w:r>
        <w:t xml:space="preserve">Landlord shall comply with all applicable laws relating to the ownership, structural condition, and maintenance of the Building and common areas. Neither party shall knowingly take any action that would cause the other party to violate applicable law.</w:t>
      </w:r>
    </w:p>
    <w:p>
      <w:pPr>
        <w:pStyle w:val="Heading2"/>
        <w:spacing w:after="120" w:before="240"/>
      </w:pPr>
      <w:r>
        <w:t xml:space="preserve">10.2 Charitable Gaming Licensing</w:t>
      </w:r>
    </w:p>
    <w:p>
      <w:pPr>
        <w:spacing w:after="160"/>
      </w:pPr>
      <w:r>
        <w:t xml:space="preserve">Tenant shall be solely responsible for obtaining and maintaining all licenses, permits, approvals, and registrations required to conduct charitable gaming and other authorized activities within the Premises.</w:t>
      </w:r>
    </w:p>
    <w:p>
      <w:pPr>
        <w:spacing w:after="160"/>
      </w:pPr>
      <w:r>
        <w:t xml:space="preserve">Landlord agrees to reasonably cooperate with Tenant's licensing process by:</w:t>
      </w:r>
    </w:p>
    <w:p>
      <w:pPr>
        <w:pStyle w:val="ListParagraph"/>
        <w:numPr>
          <w:ilvl w:val="0"/>
          <w:numId w:val="2"/>
        </w:numPr>
        <w:spacing w:after="80"/>
      </w:pPr>
      <w:r>
        <w:t xml:space="preserve">permitting reasonable access for inspections;</w:t>
      </w:r>
    </w:p>
    <w:p>
      <w:pPr>
        <w:pStyle w:val="ListParagraph"/>
        <w:numPr>
          <w:ilvl w:val="0"/>
          <w:numId w:val="2"/>
        </w:numPr>
        <w:spacing w:after="80"/>
      </w:pPr>
      <w:r>
        <w:t xml:space="preserve">executing property-owner acknowledgments or certifications reasonably required by licensing authorities;</w:t>
      </w:r>
    </w:p>
    <w:p>
      <w:pPr>
        <w:pStyle w:val="ListParagraph"/>
        <w:numPr>
          <w:ilvl w:val="0"/>
          <w:numId w:val="2"/>
        </w:numPr>
        <w:spacing w:after="80"/>
      </w:pPr>
      <w:r>
        <w:t xml:space="preserve">providing documentation relating to ownership of the Property when reasonably requested; and</w:t>
      </w:r>
    </w:p>
    <w:p>
      <w:pPr>
        <w:pStyle w:val="ListParagraph"/>
        <w:numPr>
          <w:ilvl w:val="0"/>
          <w:numId w:val="2"/>
        </w:numPr>
        <w:spacing w:after="80"/>
      </w:pPr>
      <w:r>
        <w:t xml:space="preserve">taking no action that would unreasonably interfere with Tenant's licensing process.</w:t>
      </w:r>
    </w:p>
    <w:p>
      <w:pPr>
        <w:spacing w:after="160"/>
      </w:pPr>
      <w:r>
        <w:t xml:space="preserve">Landlord shall not be required to incur any material expense or assume any liability in connection with Tenant's licensing activities unless separately agreed in writing.</w:t>
      </w:r>
    </w:p>
    <w:p>
      <w:pPr>
        <w:pStyle w:val="Heading2"/>
        <w:spacing w:after="120" w:before="240"/>
      </w:pPr>
      <w:r>
        <w:t xml:space="preserve">10.3 Americans with Disabilities Act (ADA)</w:t>
      </w:r>
    </w:p>
    <w:p>
      <w:pPr>
        <w:spacing w:after="160"/>
      </w:pPr>
      <w:r>
        <w:t xml:space="preserve">Landlord shall be responsible for maintaining the Building's structural elements and common areas in compliance with applicable accessibility requirements. Tenant shall be responsible for ADA compliance resulting from:</w:t>
      </w:r>
    </w:p>
    <w:p>
      <w:pPr>
        <w:pStyle w:val="ListParagraph"/>
        <w:numPr>
          <w:ilvl w:val="0"/>
          <w:numId w:val="2"/>
        </w:numPr>
        <w:spacing w:after="80"/>
      </w:pPr>
      <w:r>
        <w:t xml:space="preserve">Tenant's operations;</w:t>
      </w:r>
    </w:p>
    <w:p>
      <w:pPr>
        <w:pStyle w:val="ListParagraph"/>
        <w:numPr>
          <w:ilvl w:val="0"/>
          <w:numId w:val="2"/>
        </w:numPr>
        <w:spacing w:after="80"/>
      </w:pPr>
      <w:r>
        <w:t xml:space="preserve">furniture and equipment placement;</w:t>
      </w:r>
    </w:p>
    <w:p>
      <w:pPr>
        <w:pStyle w:val="ListParagraph"/>
        <w:numPr>
          <w:ilvl w:val="0"/>
          <w:numId w:val="2"/>
        </w:numPr>
        <w:spacing w:after="80"/>
      </w:pPr>
      <w:r>
        <w:t xml:space="preserve">interior improvements installed by Tenant;</w:t>
      </w:r>
    </w:p>
    <w:p>
      <w:pPr>
        <w:pStyle w:val="ListParagraph"/>
        <w:numPr>
          <w:ilvl w:val="0"/>
          <w:numId w:val="2"/>
        </w:numPr>
        <w:spacing w:after="80"/>
      </w:pPr>
      <w:r>
        <w:t xml:space="preserve">programs and services offered by Tenant; and</w:t>
      </w:r>
    </w:p>
    <w:p>
      <w:pPr>
        <w:pStyle w:val="ListParagraph"/>
        <w:numPr>
          <w:ilvl w:val="0"/>
          <w:numId w:val="2"/>
        </w:numPr>
        <w:spacing w:after="80"/>
      </w:pPr>
      <w:r>
        <w:t xml:space="preserve">accommodations required for Tenant's employees, volunteers, or patrons.</w:t>
      </w:r>
    </w:p>
    <w:p>
      <w:pPr>
        <w:pStyle w:val="Heading2"/>
        <w:spacing w:after="120" w:before="240"/>
      </w:pPr>
      <w:r>
        <w:t xml:space="preserve">10.4 Fire and Life Safety</w:t>
      </w:r>
    </w:p>
    <w:p>
      <w:pPr>
        <w:spacing w:after="160"/>
      </w:pPr>
      <w:r>
        <w:t xml:space="preserve">Tenant shall maintain all fire extinguishers and safety equipment required for its operations; keep exits and exit corridors free from obstruction; comply with occupancy limits established by applicable law; and immediately notify Landlord of any condition affecting life safety within the Building.</w:t>
      </w:r>
    </w:p>
    <w:p>
      <w:pPr>
        <w:spacing w:after="160"/>
      </w:pPr>
      <w:r>
        <w:t xml:space="preserve">Landlord shall maintain all building fire protection systems serving the Property, including any systems required for the Building's continued occupancy.</w:t>
      </w:r>
    </w:p>
    <w:p>
      <w:pPr>
        <w:pStyle w:val="Heading2"/>
        <w:spacing w:after="120" w:before="240"/>
      </w:pPr>
      <w:r>
        <w:t xml:space="preserve">10.5 Security</w:t>
      </w:r>
    </w:p>
    <w:p>
      <w:pPr>
        <w:spacing w:after="160"/>
      </w:pPr>
      <w:r>
        <w:t xml:space="preserve">Tenant shall be responsible for securing the Premises during non-business hours and may install reasonable security systems, cameras, alarms, and access control equipment in accordance with Article 8. Landlord shall maintain reasonable exterior lighting serving the common areas of the Property.</w:t>
      </w:r>
    </w:p>
    <w:p>
      <w:pPr>
        <w:pStyle w:val="Heading2"/>
        <w:spacing w:after="120" w:before="240"/>
      </w:pPr>
      <w:r>
        <w:t xml:space="preserve">10.6 Regulatory Inspections</w:t>
      </w:r>
    </w:p>
    <w:p>
      <w:pPr>
        <w:spacing w:after="160"/>
      </w:pPr>
      <w:r>
        <w:t xml:space="preserve">Tenant shall permit inspections of the Premises by governmental agencies having jurisdiction over Tenant's operations. Landlord shall be provided reasonable notice of any inspection that may require Landlord's participation or access to building systems. Each party shall promptly correct any violation for which it is responsible under this Lease.</w:t>
      </w:r>
    </w:p>
    <w:p>
      <w:pPr>
        <w:pStyle w:val="Heading1"/>
        <w:spacing w:after="160" w:before="320"/>
      </w:pPr>
      <w:r>
        <w:t xml:space="preserve">ARTICLE 11: Default and Remedies</w:t>
      </w:r>
    </w:p>
    <w:p>
      <w:pPr>
        <w:pStyle w:val="Heading2"/>
        <w:spacing w:after="120" w:before="240"/>
      </w:pPr>
      <w:r>
        <w:t xml:space="preserve">11.1 Tenant Default</w:t>
      </w:r>
    </w:p>
    <w:p>
      <w:pPr>
        <w:spacing w:after="160"/>
      </w:pPr>
      <w:r>
        <w:t xml:space="preserve">Tenant shall be in default only if Tenant:</w:t>
      </w:r>
    </w:p>
    <w:p>
      <w:pPr>
        <w:pStyle w:val="ListParagraph"/>
        <w:numPr>
          <w:ilvl w:val="0"/>
          <w:numId w:val="2"/>
        </w:numPr>
        <w:spacing w:after="80"/>
      </w:pPr>
      <w:r>
        <w:t xml:space="preserve">fails to pay Rent when due and such failure continues for ten (10) days after written notice; or</w:t>
      </w:r>
    </w:p>
    <w:p>
      <w:pPr>
        <w:pStyle w:val="ListParagraph"/>
        <w:numPr>
          <w:ilvl w:val="0"/>
          <w:numId w:val="2"/>
        </w:numPr>
        <w:spacing w:after="80"/>
      </w:pPr>
      <w:r>
        <w:t xml:space="preserve">materially violates another provision of this Lease and fails to cure within thirty (30) days after written notice, provided that if the default cannot reasonably be cured within thirty (30) days, Tenant shall not be in default so long as it promptly begins and diligently pursues the cure.</w:t>
      </w:r>
    </w:p>
    <w:p>
      <w:pPr>
        <w:pStyle w:val="Heading2"/>
        <w:spacing w:after="120" w:before="240"/>
      </w:pPr>
      <w:r>
        <w:t xml:space="preserve">11.2 Landlord Default</w:t>
      </w:r>
    </w:p>
    <w:p>
      <w:pPr>
        <w:spacing w:after="160"/>
      </w:pPr>
      <w:r>
        <w:t xml:space="preserve">Landlord shall be in default if Landlord materially fails to perform its obligations under this Lease and does not cure such failure within thirty (30) days after receiving written notice from Tenant.</w:t>
      </w:r>
    </w:p>
    <w:p>
      <w:pPr>
        <w:pStyle w:val="Heading2"/>
        <w:spacing w:after="120" w:before="240"/>
      </w:pPr>
      <w:r>
        <w:t xml:space="preserve">11.3 Landlord's Remedies</w:t>
      </w:r>
    </w:p>
    <w:p>
      <w:pPr>
        <w:spacing w:after="160"/>
      </w:pPr>
      <w:r>
        <w:t xml:space="preserve">Upon an uncured Tenant default, Landlord may, in addition to any other remedy available at law or in equity:</w:t>
      </w:r>
    </w:p>
    <w:p>
      <w:pPr>
        <w:pStyle w:val="ListParagraph"/>
        <w:numPr>
          <w:ilvl w:val="0"/>
          <w:numId w:val="2"/>
        </w:numPr>
        <w:spacing w:after="80"/>
      </w:pPr>
      <w:r>
        <w:t xml:space="preserve">terminate this Lease by written notice and recover possession of the Premises;</w:t>
      </w:r>
    </w:p>
    <w:p>
      <w:pPr>
        <w:pStyle w:val="ListParagraph"/>
        <w:numPr>
          <w:ilvl w:val="0"/>
          <w:numId w:val="2"/>
        </w:numPr>
        <w:spacing w:after="80"/>
      </w:pPr>
      <w:r>
        <w:t xml:space="preserve">re-enter and relet the Premises on Tenant's behalf, applying net proceeds against amounts owed by Tenant;</w:t>
      </w:r>
    </w:p>
    <w:p>
      <w:pPr>
        <w:pStyle w:val="ListParagraph"/>
        <w:numPr>
          <w:ilvl w:val="0"/>
          <w:numId w:val="2"/>
        </w:numPr>
        <w:spacing w:after="80"/>
      </w:pPr>
      <w:r>
        <w:t xml:space="preserve">recover unpaid Rent and other amounts due through the date of termination or reletting; and</w:t>
      </w:r>
    </w:p>
    <w:p>
      <w:pPr>
        <w:pStyle w:val="ListParagraph"/>
        <w:numPr>
          <w:ilvl w:val="0"/>
          <w:numId w:val="2"/>
        </w:numPr>
        <w:spacing w:after="80"/>
      </w:pPr>
      <w:r>
        <w:t xml:space="preserve">recover reasonable costs of enforcement, including reasonable attorneys' fees, to the extent permitted by law.</w:t>
      </w:r>
    </w:p>
    <w:p>
      <w:pPr>
        <w:spacing w:after="160"/>
      </w:pPr>
      <w:r>
        <w:t xml:space="preserve">Landlord shall use commercially reasonable efforts to mitigate its damages.</w:t>
      </w:r>
    </w:p>
    <w:p>
      <w:pPr>
        <w:pStyle w:val="Heading2"/>
        <w:spacing w:after="120" w:before="240"/>
      </w:pPr>
      <w:r>
        <w:t xml:space="preserve">11.4 Tenant's Remedies</w:t>
      </w:r>
    </w:p>
    <w:p>
      <w:pPr>
        <w:spacing w:after="160"/>
      </w:pPr>
      <w:r>
        <w:t xml:space="preserve">Upon an uncured Landlord default, Tenant may, in addition to any other remedy available at law or in equity:</w:t>
      </w:r>
    </w:p>
    <w:p>
      <w:pPr>
        <w:pStyle w:val="ListParagraph"/>
        <w:numPr>
          <w:ilvl w:val="0"/>
          <w:numId w:val="2"/>
        </w:numPr>
        <w:spacing w:after="80"/>
      </w:pPr>
      <w:r>
        <w:t xml:space="preserve">terminate this Lease by written notice;</w:t>
      </w:r>
    </w:p>
    <w:p>
      <w:pPr>
        <w:pStyle w:val="ListParagraph"/>
        <w:numPr>
          <w:ilvl w:val="0"/>
          <w:numId w:val="2"/>
        </w:numPr>
        <w:spacing w:after="80"/>
      </w:pPr>
      <w:r>
        <w:t xml:space="preserve">cure the default on Landlord's behalf after providing Landlord an additional ten (10) days' written notice of Tenant's intent to self-help, and offset the reasonable, documented cost of such cure against subsequent Rent; and</w:t>
      </w:r>
    </w:p>
    <w:p>
      <w:pPr>
        <w:pStyle w:val="ListParagraph"/>
        <w:numPr>
          <w:ilvl w:val="0"/>
          <w:numId w:val="2"/>
        </w:numPr>
        <w:spacing w:after="80"/>
      </w:pPr>
      <w:r>
        <w:t xml:space="preserve">pursue equitable relief where damages would be an inadequate remedy.</w:t>
      </w:r>
    </w:p>
    <w:p>
      <w:pPr>
        <w:shd w:fill="FFF3F3" w:val="clear"/>
        <w:spacing w:after="160" w:before="80"/>
      </w:pPr>
      <w:r>
        <w:rPr>
          <w:i/>
          <w:iCs/>
          <w:color w:val="B00000"/>
        </w:rPr>
        <w:t xml:space="preserve">REVIEW NOTE: This Remedies subsection (11.3–11.4) was not present in the original draft and has been added to give the newly-titled Article 11 substantive content consistent with standard commercial lease practice. Confirm the remedy scope and self-help/offset mechanic in 11.4 is acceptable before execution.</w:t>
      </w:r>
    </w:p>
    <w:p>
      <w:pPr>
        <w:pStyle w:val="Heading1"/>
        <w:spacing w:after="160" w:before="320"/>
      </w:pPr>
      <w:r>
        <w:t xml:space="preserve">ARTICLE 12: Surrender of Premises</w:t>
      </w:r>
    </w:p>
    <w:p>
      <w:pPr>
        <w:pStyle w:val="Heading2"/>
        <w:spacing w:after="120" w:before="240"/>
      </w:pPr>
      <w:r>
        <w:t xml:space="preserve">12.1 Surrender</w:t>
      </w:r>
    </w:p>
    <w:p>
      <w:pPr>
        <w:spacing w:after="160"/>
      </w:pPr>
      <w:r>
        <w:t xml:space="preserve">Upon expiration or earlier termination of this Lease, Tenant shall surrender the Premises to Landlord broom-clean and in the condition required under Article 7, ordinary wear and tear and permitted alterations excepted, and shall remove Tenant's trade fixtures and personal property in accordance with Article 8.</w:t>
      </w:r>
    </w:p>
    <w:p>
      <w:pPr>
        <w:pStyle w:val="Heading2"/>
        <w:spacing w:after="120" w:before="240"/>
      </w:pPr>
      <w:r>
        <w:t xml:space="preserve">12.2 Holdover</w:t>
      </w:r>
    </w:p>
    <w:p>
      <w:pPr>
        <w:spacing w:after="160"/>
      </w:pPr>
      <w:r>
        <w:t xml:space="preserve">If Tenant remains in possession after expiration or termination without Landlord's written consent, Tenant shall be a month-to-month tenant at 125% of the final month's Base Rent, and shall otherwise remain subject to the terms of this Lease. Nothing in this Section authorizes Tenant to hold over.</w:t>
      </w:r>
    </w:p>
    <w:p>
      <w:pPr>
        <w:pStyle w:val="Heading2"/>
        <w:spacing w:after="120" w:before="240"/>
      </w:pPr>
      <w:r>
        <w:t xml:space="preserve">12.3 Damage or Destruction</w:t>
      </w:r>
    </w:p>
    <w:p>
      <w:pPr>
        <w:spacing w:after="160"/>
      </w:pPr>
      <w:r>
        <w:t xml:space="preserve">If the Premises are damaged by fire, storm, or other casualty, Landlord shall promptly determine whether the Premises can reasonably be restored.</w:t>
      </w:r>
    </w:p>
    <w:p>
      <w:pPr>
        <w:pStyle w:val="ListParagraph"/>
        <w:numPr>
          <w:ilvl w:val="0"/>
          <w:numId w:val="2"/>
        </w:numPr>
        <w:spacing w:after="80"/>
      </w:pPr>
      <w:r>
        <w:t xml:space="preserve">If restoration can be completed within 180 days, Landlord shall repair the Premises and Base Rent shall be equitably reduced during the period Tenant cannot reasonably use the Premises.</w:t>
      </w:r>
    </w:p>
    <w:p>
      <w:pPr>
        <w:pStyle w:val="ListParagraph"/>
        <w:numPr>
          <w:ilvl w:val="0"/>
          <w:numId w:val="2"/>
        </w:numPr>
        <w:spacing w:after="80"/>
      </w:pPr>
      <w:r>
        <w:t xml:space="preserve">If restoration cannot reasonably be completed within 180 days, either party may terminate this Lease by written notice.</w:t>
      </w:r>
    </w:p>
    <w:p>
      <w:pPr>
        <w:shd w:fill="FFF3F3" w:val="clear"/>
        <w:spacing w:after="160" w:before="80"/>
      </w:pPr>
      <w:r>
        <w:rPr>
          <w:i/>
          <w:iCs/>
          <w:color w:val="B00000"/>
        </w:rPr>
        <w:t xml:space="preserve">REVIEW NOTE: The original standalone 'Damage or Destruction' article has been folded into this Article as Section 12.3, consistent with the reorganization notes' instruction to merge it with related surrender/condition provisions rather than carry it as a separate article.</w:t>
      </w:r>
    </w:p>
    <w:p>
      <w:pPr>
        <w:pStyle w:val="Heading1"/>
        <w:spacing w:after="160" w:before="320"/>
      </w:pPr>
      <w:r>
        <w:t xml:space="preserve">ARTICLE 13: General Provisions</w:t>
      </w:r>
    </w:p>
    <w:p>
      <w:pPr>
        <w:pStyle w:val="Heading2"/>
        <w:spacing w:after="120" w:before="240"/>
      </w:pPr>
      <w:r>
        <w:t xml:space="preserve">13.1 Notices</w:t>
      </w:r>
    </w:p>
    <w:p>
      <w:pPr>
        <w:spacing w:after="160"/>
      </w:pPr>
      <w:r>
        <w:t xml:space="preserve">All notices required under this Lease shall be in writing and delivered by personal delivery; nationally recognized overnight courier; certified U.S. Mail, return receipt requested; or electronic mail followed by one of the above methods. Notices shall be sent to the addresses designated by each party. Either party may change its notice address by written notice.</w:t>
      </w:r>
    </w:p>
    <w:p>
      <w:pPr>
        <w:pStyle w:val="Heading2"/>
        <w:spacing w:after="120" w:before="240"/>
      </w:pPr>
      <w:r>
        <w:t xml:space="preserve">13.2 Governing Law</w:t>
      </w:r>
    </w:p>
    <w:p>
      <w:pPr>
        <w:spacing w:after="160"/>
      </w:pPr>
      <w:r>
        <w:t xml:space="preserve">This Lease shall be governed by the laws of the Commonwealth of Kentucky.</w:t>
      </w:r>
    </w:p>
    <w:p>
      <w:pPr>
        <w:pStyle w:val="Heading2"/>
        <w:spacing w:after="120" w:before="240"/>
      </w:pPr>
      <w:r>
        <w:t xml:space="preserve">13.3 Entire Agreement</w:t>
      </w:r>
    </w:p>
    <w:p>
      <w:pPr>
        <w:spacing w:after="160"/>
      </w:pPr>
      <w:r>
        <w:t xml:space="preserve">This Lease constitutes the entire agreement between the parties and supersedes all prior discussions or understandings concerning the Premises.</w:t>
      </w:r>
    </w:p>
    <w:p>
      <w:pPr>
        <w:pStyle w:val="Heading2"/>
        <w:spacing w:after="120" w:before="240"/>
      </w:pPr>
      <w:r>
        <w:t xml:space="preserve">13.4 Amendments</w:t>
      </w:r>
    </w:p>
    <w:p>
      <w:pPr>
        <w:spacing w:after="160"/>
      </w:pPr>
      <w:r>
        <w:t xml:space="preserve">Any amendment to this Lease must be in writing and signed by both parties.</w:t>
      </w:r>
    </w:p>
    <w:p>
      <w:pPr>
        <w:pStyle w:val="Heading2"/>
        <w:spacing w:after="120" w:before="240"/>
      </w:pPr>
      <w:r>
        <w:t xml:space="preserve">13.5 Electronic Signatures</w:t>
      </w:r>
    </w:p>
    <w:p>
      <w:pPr>
        <w:spacing w:after="160"/>
      </w:pPr>
      <w:r>
        <w:t xml:space="preserve">Electronic signatures shall have the same force and effect as original signatures.</w:t>
      </w:r>
    </w:p>
    <w:p>
      <w:pPr>
        <w:pStyle w:val="Heading2"/>
        <w:spacing w:after="120" w:before="240"/>
      </w:pPr>
      <w:r>
        <w:t xml:space="preserve">13.6 Severability</w:t>
      </w:r>
    </w:p>
    <w:p>
      <w:pPr>
        <w:spacing w:after="160"/>
      </w:pPr>
      <w:r>
        <w:t xml:space="preserve">If any provision of this Lease is held unenforceable, the remaining provisions shall remain in full force and effect.</w:t>
      </w:r>
    </w:p>
    <w:p>
      <w:pPr>
        <w:pStyle w:val="Heading2"/>
        <w:spacing w:after="120" w:before="240"/>
      </w:pPr>
      <w:r>
        <w:t xml:space="preserve">13.7 No Waiver</w:t>
      </w:r>
    </w:p>
    <w:p>
      <w:pPr>
        <w:spacing w:after="160"/>
      </w:pPr>
      <w:r>
        <w:t xml:space="preserve">A party's failure to enforce any provision of this Lease shall not constitute a waiver of that provision or any future enforcement rights.</w:t>
      </w:r>
    </w:p>
    <w:p>
      <w:pPr>
        <w:pStyle w:val="Heading2"/>
        <w:spacing w:after="120" w:before="240"/>
      </w:pPr>
      <w:r>
        <w:t xml:space="preserve">13.8 Quiet Enjoyment</w:t>
      </w:r>
    </w:p>
    <w:p>
      <w:pPr>
        <w:spacing w:after="160"/>
      </w:pPr>
      <w:r>
        <w:t xml:space="preserve">Provided Tenant is not in uncured default, Tenant shall peaceably and quietly hold and enjoy the Premises throughout the Lease Term without disturbance from Landlord or anyone claiming through Landlord.</w:t>
      </w:r>
    </w:p>
    <w:p>
      <w:pPr>
        <w:shd w:fill="FFF3F3" w:val="clear"/>
        <w:spacing w:after="160" w:before="80"/>
      </w:pPr>
      <w:r>
        <w:rPr>
          <w:i/>
          <w:iCs/>
          <w:color w:val="B00000"/>
        </w:rPr>
        <w:t xml:space="preserve">REVIEW NOTE: Quiet Enjoyment was listed in the reorganization notes as a required subsection of General Provisions but had no corresponding text in the original draft. Standard language has been added above; have counsel confirm it matches the parties' intent.</w:t>
      </w:r>
    </w:p>
    <w:p>
      <w:pPr>
        <w:pStyle w:val="Heading2"/>
        <w:spacing w:after="120" w:before="240"/>
      </w:pPr>
      <w:r>
        <w:t xml:space="preserve">13.9 Assignment and Subleasing</w:t>
      </w:r>
    </w:p>
    <w:p>
      <w:pPr>
        <w:spacing w:after="160"/>
      </w:pPr>
      <w:r>
        <w:t xml:space="preserve">Tenant shall not assign this Lease or sublease the Premises without Landlord's prior written consent. Such consent shall not be unreasonably withheld, conditioned, or delayed.</w:t>
      </w:r>
    </w:p>
    <w:p>
      <w:pPr>
        <w:spacing w:after="160"/>
      </w:pPr>
      <w:r>
        <w:t xml:space="preserve">Landlord agrees that assignment to a successor nonprofit; an affiliated nonprofit; a merged organization; or a successor entity acquiring substantially all of Tenant's operations shall be considered reasonable unless the proposed assignee is financially incapable of performing this Lease.</w:t>
      </w:r>
    </w:p>
    <w:p>
      <w:pPr>
        <w:pStyle w:val="Heading1"/>
        <w:spacing w:after="160" w:before="320"/>
      </w:pPr>
      <w:r>
        <w:t xml:space="preserve">ARTICLE 14: Special Provisions</w:t>
      </w:r>
    </w:p>
    <w:p>
      <w:pPr>
        <w:pStyle w:val="Heading2"/>
        <w:spacing w:after="120" w:before="240"/>
      </w:pPr>
      <w:r>
        <w:t xml:space="preserve">14.1 Gaming Cooperation</w:t>
      </w:r>
    </w:p>
    <w:p>
      <w:pPr>
        <w:spacing w:after="160"/>
      </w:pPr>
      <w:r>
        <w:t xml:space="preserve">Landlord's cooperation obligations with respect to Tenant's charitable gaming licensing process are set forth in Section 10.2 and are incorporated here by reference.</w:t>
      </w:r>
    </w:p>
    <w:p>
      <w:pPr>
        <w:pStyle w:val="Heading2"/>
        <w:spacing w:after="120" w:before="240"/>
      </w:pPr>
      <w:r>
        <w:t xml:space="preserve">14.2 Right of First Refusal</w:t>
      </w:r>
    </w:p>
    <w:p>
      <w:pPr>
        <w:spacing w:after="160"/>
      </w:pPr>
      <w:r>
        <w:t xml:space="preserve">Tenant shall have a right of first refusal to lease any adjacent space that becomes available during the Lease Term, on substantially the same terms Landlord is prepared to accept from a bona fide third-party offer.</w:t>
      </w:r>
    </w:p>
    <w:p>
      <w:pPr>
        <w:shd w:fill="FFF3F3" w:val="clear"/>
        <w:spacing w:after="160" w:before="80"/>
      </w:pPr>
      <w:r>
        <w:rPr>
          <w:i/>
          <w:iCs/>
          <w:color w:val="B00000"/>
        </w:rPr>
        <w:t xml:space="preserve">REVIEW NOTE: The original draft (Article 16, item 2) granted a "Right of First Opportunity," which the reorganization notes retitled "Right of First Refusal." These are legally distinct: a Right of First Opportunity generally lets Tenant negotiate before the space is marketed, while a Right of First Refusal only lets Tenant match a third-party offer already on the table. This has been drafted as a Right of First Refusal per the reorganization notes' heading, but confirm with counsel and Landlord which mechanism was actually intended before execution — the choice materially affects Tenant's expansion leverage.</w:t>
      </w:r>
    </w:p>
    <w:p>
      <w:pPr>
        <w:pStyle w:val="Heading2"/>
        <w:spacing w:after="120" w:before="240"/>
      </w:pPr>
      <w:r>
        <w:t xml:space="preserve">14.3 Parking</w:t>
      </w:r>
    </w:p>
    <w:p>
      <w:pPr>
        <w:spacing w:after="160"/>
      </w:pPr>
      <w:r>
        <w:t xml:space="preserve">Tenant shall have the use of eight (8) designated parking spaces throughout the Lease Term, as further described in Article 1.</w:t>
      </w:r>
    </w:p>
    <w:p>
      <w:pPr>
        <w:pStyle w:val="Heading2"/>
        <w:spacing w:after="120" w:before="240"/>
      </w:pPr>
      <w:r>
        <w:t xml:space="preserve">14.4 CAM Transparency</w:t>
      </w:r>
    </w:p>
    <w:p>
      <w:pPr>
        <w:spacing w:after="160"/>
      </w:pPr>
      <w:r>
        <w:t xml:space="preserve">Landlord shall not charge management fees, administrative fees, or other undisclosed markups to Tenant as part of CAM or other pass-through expenses, consistent with Sections 6.3 and 6.4. Upon reasonable notice, Tenant may review records supporting taxes, insurance, and CAM reimbursements once each calendar year.</w:t>
      </w:r>
    </w:p>
    <w:p>
      <w:pPr>
        <w:pStyle w:val="Heading2"/>
        <w:spacing w:after="120" w:before="240"/>
      </w:pPr>
      <w:r>
        <w:t xml:space="preserve">14.5 Regulatory Delays</w:t>
      </w:r>
    </w:p>
    <w:p>
      <w:pPr>
        <w:spacing w:after="160"/>
      </w:pPr>
      <w:r>
        <w:t xml:space="preserve">The parties acknowledge that Tenant's charitable gaming approval process may experience delays outside Tenant's control. So long as Tenant continues to use commercially reasonable efforts under Section 2.2, such regulatory delays shall not, by themselves, constitute a default or forfeiture of the Reservation Fee.</w:t>
      </w:r>
    </w:p>
    <w:p>
      <w:pPr>
        <w:pStyle w:val="Heading2"/>
        <w:spacing w:after="120" w:before="240"/>
      </w:pPr>
      <w:r>
        <w:t xml:space="preserve">14.6 Good Faith</w:t>
      </w:r>
    </w:p>
    <w:p>
      <w:pPr>
        <w:spacing w:after="160"/>
      </w:pPr>
      <w:r>
        <w:t xml:space="preserve">The parties agree to act in good faith and deal fairly with one another in performing their respective obligations under this Lease.</w:t>
      </w:r>
    </w:p>
    <w:p>
      <w:pPr>
        <w:shd w:fill="FFF3F3" w:val="clear"/>
        <w:spacing w:after="160" w:before="80"/>
      </w:pPr>
      <w:r>
        <w:rPr>
          <w:i/>
          <w:iCs/>
          <w:color w:val="B00000"/>
        </w:rPr>
        <w:t xml:space="preserve">REVIEW NOTE: Original Article 16, item 5 (list of capital/ownership costs excluded from Tenant's obligations) duplicated Section 6.3 nearly verbatim and has been removed from this Article; Section 6.3 governs and is cross-referenced in 14.4 rather than restated.</w:t>
      </w:r>
    </w:p>
    <w:p>
      <w:pPr>
        <w:pStyle w:val="Heading1"/>
        <w:spacing w:after="160" w:before="320"/>
      </w:pPr>
      <w:r>
        <w:t xml:space="preserve">ARTICLE 15: Execution</w:t>
      </w:r>
    </w:p>
    <w:p>
      <w:pPr>
        <w:spacing w:after="160"/>
      </w:pPr>
      <w:r>
        <w:t xml:space="preserve">This Lease may be executed in counterparts, each of which shall be deemed an original, and all of which together shall constitute one instrument. Delivery of an executed counterpart by electronic mail or electronic signature platform shall be effective as delivery of an original, consistent with Section 13.5.</w:t>
      </w:r>
    </w:p>
    <w:p>
      <w:pPr>
        <w:spacing w:after="240"/>
      </w:pPr>
    </w:p>
    <w:p>
      <w:pPr>
        <w:spacing w:after="160"/>
      </w:pPr>
      <w:r>
        <w:rPr>
          <w:b/>
          <w:bCs/>
        </w:rPr>
        <w:t xml:space="preserve">LANDLORD</w:t>
      </w:r>
    </w:p>
    <w:p>
      <w:pPr>
        <w:spacing w:after="160"/>
      </w:pPr>
      <w:r>
        <w:t xml:space="preserve">Elite Properties, LLC</w:t>
      </w:r>
    </w:p>
    <w:p>
      <w:pPr>
        <w:spacing w:after="160"/>
      </w:pPr>
      <w:r>
        <w:t xml:space="preserve">By: _______________________________</w:t>
      </w:r>
    </w:p>
    <w:p>
      <w:pPr>
        <w:spacing w:after="160"/>
      </w:pPr>
      <w:r>
        <w:t xml:space="preserve">Date: _______________________________</w:t>
      </w:r>
    </w:p>
    <w:p>
      <w:pPr>
        <w:spacing w:after="160"/>
      </w:pPr>
      <w:r>
        <w:t xml:space="preserve">Name: _______________________________</w:t>
      </w:r>
    </w:p>
    <w:p>
      <w:pPr>
        <w:spacing w:after="160"/>
      </w:pPr>
      <w:r>
        <w:t xml:space="preserve">Title: _______________________________</w:t>
      </w:r>
    </w:p>
    <w:p>
      <w:pPr>
        <w:spacing w:after="240"/>
      </w:pPr>
    </w:p>
    <w:p>
      <w:pPr>
        <w:spacing w:after="160"/>
      </w:pPr>
      <w:r>
        <w:rPr>
          <w:b/>
          <w:bCs/>
        </w:rPr>
        <w:t xml:space="preserve">TENANT</w:t>
      </w:r>
    </w:p>
    <w:p>
      <w:pPr>
        <w:spacing w:after="160"/>
      </w:pPr>
      <w:r>
        <w:t xml:space="preserve">Common Good Network, Inc.</w:t>
      </w:r>
    </w:p>
    <w:p>
      <w:pPr>
        <w:spacing w:after="160"/>
      </w:pPr>
      <w:r>
        <w:t xml:space="preserve">By: _______________________________</w:t>
      </w:r>
    </w:p>
    <w:p>
      <w:pPr>
        <w:spacing w:after="160"/>
      </w:pPr>
      <w:r>
        <w:t xml:space="preserve">Name: _______________________________</w:t>
      </w:r>
    </w:p>
    <w:p>
      <w:pPr>
        <w:spacing w:after="160"/>
      </w:pPr>
      <w:r>
        <w:t xml:space="preserve">Title: _______________________________</w:t>
      </w:r>
    </w:p>
    <w:p>
      <w:pPr>
        <w:spacing w:after="160"/>
      </w:pPr>
      <w:r>
        <w:t xml:space="preserve">Date: _______________________________</w:t>
      </w:r>
    </w:p>
    <w:p>
      <w:pPr>
        <w:pStyle w:val="Heading1"/>
        <w:spacing w:after="160" w:before="320"/>
      </w:pPr>
      <w:r>
        <w:t xml:space="preserve">ARTICLE 16: Exhibits</w:t>
      </w:r>
    </w:p>
    <w:p>
      <w:pPr>
        <w:spacing w:after="160"/>
      </w:pPr>
      <w:r>
        <w:t xml:space="preserve">The following exhibits are incorporated into and made a part of this Lease:</w:t>
      </w:r>
    </w:p>
    <w:p>
      <w:pPr>
        <w:pStyle w:val="ListParagraph"/>
        <w:numPr>
          <w:ilvl w:val="0"/>
          <w:numId w:val="2"/>
        </w:numPr>
        <w:spacing w:after="80"/>
      </w:pPr>
      <w:r>
        <w:t xml:space="preserve">Exhibit A — Premises Floor Plan and Legal Description</w:t>
      </w:r>
    </w:p>
    <w:p>
      <w:pPr>
        <w:pStyle w:val="ListParagraph"/>
        <w:numPr>
          <w:ilvl w:val="0"/>
          <w:numId w:val="2"/>
        </w:numPr>
        <w:spacing w:after="80"/>
      </w:pPr>
      <w:r>
        <w:t xml:space="preserve">Exhibit B — Rules and Regulations (if adopted by Landlord under Section 5.4)</w:t>
      </w:r>
    </w:p>
    <w:p>
      <w:pPr>
        <w:shd w:fill="FFF3F3" w:val="clear"/>
        <w:spacing w:after="160" w:before="80"/>
      </w:pPr>
      <w:r>
        <w:rPr>
          <w:i/>
          <w:iCs/>
          <w:color w:val="B00000"/>
        </w:rPr>
        <w:t xml:space="preserve">REVIEW NOTE: Exhibit A should be the floor plan schematic previously prepared, now that the address is confirmed as 105 Creekwood Ave; re-verify the schematic's square footage breakdown (1,200 SF + 500 SF) against this Lease's stated 1,700 SF before attaching. No Rules and Regulations document currently exists; Exhibit B should be removed if Landlord does not intend to adopt one, or attached if one exists.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2026-07-07T01:06:07.219Z</dcterms:created>
  <dcterms:modified xsi:type="dcterms:W3CDTF">2026-07-07T01:06:07.220Z</dcterms:modified>
</cp:coreProperties>
</file>

<file path=docProps/custom.xml><?xml version="1.0" encoding="utf-8"?>
<Properties xmlns="http://schemas.openxmlformats.org/officeDocument/2006/custom-properties" xmlns:vt="http://schemas.openxmlformats.org/officeDocument/2006/docPropsVTypes"/>
</file>