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1e6c2a5ba2b1e40526df24107503726a8450c0a"/>
    <w:p>
      <w:pPr>
        <w:pStyle w:val="Heading1"/>
      </w:pPr>
      <w:r>
        <w:t xml:space="preserve">Entity Structure &amp; Financial Model (Working Draft)</w:t>
      </w:r>
    </w:p>
    <w:bookmarkStart w:id="21" w:name="common-good-network-501c3"/>
    <w:p>
      <w:pPr>
        <w:pStyle w:val="Heading2"/>
      </w:pPr>
      <w:r>
        <w:t xml:space="preserve">Common Good Network (501(c)(3))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Charitable Organization &amp; Gaming License Holder</w:t>
      </w:r>
    </w:p>
    <w:p>
      <w:pPr>
        <w:pStyle w:val="BodyText"/>
      </w:pPr>
      <w:r>
        <w:t xml:space="preserve">Common Good Network is the licensed charitable organization responsible for conducting charitable gaming in Kentucky.</w:t>
      </w:r>
    </w:p>
    <w:bookmarkStart w:id="20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1"/>
        </w:numPr>
      </w:pPr>
      <w:r>
        <w:t xml:space="preserve">Owns and maintains the charitable gaming license.</w:t>
      </w:r>
    </w:p>
    <w:p>
      <w:pPr>
        <w:pStyle w:val="Compact"/>
        <w:numPr>
          <w:ilvl w:val="0"/>
          <w:numId w:val="1001"/>
        </w:numPr>
      </w:pPr>
      <w:r>
        <w:t xml:space="preserve">Conducts charitable gaming.</w:t>
      </w:r>
    </w:p>
    <w:p>
      <w:pPr>
        <w:pStyle w:val="Compact"/>
        <w:numPr>
          <w:ilvl w:val="0"/>
          <w:numId w:val="1001"/>
        </w:numPr>
      </w:pPr>
      <w:r>
        <w:t xml:space="preserve">Maintains the gaming bank account.</w:t>
      </w:r>
    </w:p>
    <w:p>
      <w:pPr>
        <w:pStyle w:val="Compact"/>
        <w:numPr>
          <w:ilvl w:val="0"/>
          <w:numId w:val="1001"/>
        </w:numPr>
      </w:pPr>
      <w:r>
        <w:t xml:space="preserve">Receives gaming revenue.</w:t>
      </w:r>
    </w:p>
    <w:p>
      <w:pPr>
        <w:pStyle w:val="Compact"/>
        <w:numPr>
          <w:ilvl w:val="0"/>
          <w:numId w:val="1001"/>
        </w:numPr>
      </w:pPr>
      <w:r>
        <w:t xml:space="preserve">Pays allowable gaming expenses.</w:t>
      </w:r>
    </w:p>
    <w:p>
      <w:pPr>
        <w:pStyle w:val="Compact"/>
        <w:numPr>
          <w:ilvl w:val="0"/>
          <w:numId w:val="1001"/>
        </w:numPr>
      </w:pPr>
      <w:r>
        <w:t xml:space="preserve">Retains gaming proceeds for the charitable mission as required by Kentucky law.</w:t>
      </w:r>
    </w:p>
    <w:p>
      <w:pPr>
        <w:pStyle w:val="Compact"/>
        <w:numPr>
          <w:ilvl w:val="0"/>
          <w:numId w:val="1001"/>
        </w:numPr>
      </w:pPr>
      <w:r>
        <w:t xml:space="preserve">Oversees regulatory compliance.</w:t>
      </w:r>
    </w:p>
    <w:p>
      <w:pPr>
        <w:pStyle w:val="Compact"/>
        <w:numPr>
          <w:ilvl w:val="0"/>
          <w:numId w:val="1001"/>
        </w:numPr>
      </w:pPr>
      <w:r>
        <w:t xml:space="preserve">Appoints licensed Chairpersons.</w:t>
      </w:r>
    </w:p>
    <w:p>
      <w:pPr>
        <w:pStyle w:val="Compact"/>
        <w:numPr>
          <w:ilvl w:val="0"/>
          <w:numId w:val="1001"/>
        </w:numPr>
      </w:pPr>
      <w:r>
        <w:t xml:space="preserve">Approves budgets and major financial decisions through the Board of Directors.</w:t>
      </w:r>
    </w:p>
    <w:p>
      <w:pPr>
        <w:pStyle w:val="FirstParagraph"/>
      </w:pPr>
      <w:r>
        <w:t xml:space="preserve">Common Good Network is ultimately responsible to the Commonwealth of Kentucky for the lawful operation of charitable gaming.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verdant-management-partners-vmp"/>
    <w:p>
      <w:pPr>
        <w:pStyle w:val="Heading2"/>
      </w:pPr>
      <w:r>
        <w:t xml:space="preserve">Verdant Management Partners (VMP)</w:t>
      </w:r>
    </w:p>
    <w:p>
      <w:pPr>
        <w:pStyle w:val="FirstParagraph"/>
      </w:pPr>
      <w:r>
        <w:rPr>
          <w:b/>
          <w:bCs/>
        </w:rPr>
        <w:t xml:space="preserve">Role:</w:t>
      </w:r>
      <w:r>
        <w:t xml:space="preserve"> </w:t>
      </w:r>
      <w:r>
        <w:t xml:space="preserve">Administrative &amp; Business Operations Company</w:t>
      </w:r>
    </w:p>
    <w:p>
      <w:pPr>
        <w:pStyle w:val="BodyText"/>
      </w:pPr>
      <w:r>
        <w:t xml:space="preserve">VMP exists to provide professional business services to Common Good Network and its projects.</w:t>
      </w:r>
    </w:p>
    <w:p>
      <w:pPr>
        <w:pStyle w:val="BodyText"/>
      </w:pPr>
      <w:r>
        <w:t xml:space="preserve">Rather than managing the licensed gaming activity itself, VMP manages the business infrastructure that allows the nonprofit to operate efficiently.</w:t>
      </w:r>
    </w:p>
    <w:bookmarkStart w:id="22" w:name="examples-of-services"/>
    <w:p>
      <w:pPr>
        <w:pStyle w:val="Heading3"/>
      </w:pPr>
      <w:r>
        <w:t xml:space="preserve">Examples of Services</w:t>
      </w:r>
    </w:p>
    <w:p>
      <w:pPr>
        <w:pStyle w:val="Compact"/>
        <w:numPr>
          <w:ilvl w:val="0"/>
          <w:numId w:val="1002"/>
        </w:numPr>
      </w:pPr>
      <w:r>
        <w:t xml:space="preserve">Business administration</w:t>
      </w:r>
    </w:p>
    <w:p>
      <w:pPr>
        <w:pStyle w:val="Compact"/>
        <w:numPr>
          <w:ilvl w:val="0"/>
          <w:numId w:val="1002"/>
        </w:numPr>
      </w:pPr>
      <w:r>
        <w:t xml:space="preserve">Human resources</w:t>
      </w:r>
    </w:p>
    <w:p>
      <w:pPr>
        <w:pStyle w:val="Compact"/>
        <w:numPr>
          <w:ilvl w:val="0"/>
          <w:numId w:val="1002"/>
        </w:numPr>
      </w:pPr>
      <w:r>
        <w:t xml:space="preserve">Recruiting</w:t>
      </w:r>
    </w:p>
    <w:p>
      <w:pPr>
        <w:pStyle w:val="Compact"/>
        <w:numPr>
          <w:ilvl w:val="0"/>
          <w:numId w:val="1002"/>
        </w:numPr>
      </w:pPr>
      <w:r>
        <w:t xml:space="preserve">Staff scheduling</w:t>
      </w:r>
    </w:p>
    <w:p>
      <w:pPr>
        <w:pStyle w:val="Compact"/>
        <w:numPr>
          <w:ilvl w:val="0"/>
          <w:numId w:val="1002"/>
        </w:numPr>
      </w:pPr>
      <w:r>
        <w:t xml:space="preserve">Payroll administration</w:t>
      </w:r>
    </w:p>
    <w:p>
      <w:pPr>
        <w:pStyle w:val="Compact"/>
        <w:numPr>
          <w:ilvl w:val="0"/>
          <w:numId w:val="1002"/>
        </w:numPr>
      </w:pPr>
      <w:r>
        <w:t xml:space="preserve">Marketing</w:t>
      </w:r>
    </w:p>
    <w:p>
      <w:pPr>
        <w:pStyle w:val="Compact"/>
        <w:numPr>
          <w:ilvl w:val="0"/>
          <w:numId w:val="1002"/>
        </w:numPr>
      </w:pPr>
      <w:r>
        <w:t xml:space="preserve">Branding</w:t>
      </w:r>
    </w:p>
    <w:p>
      <w:pPr>
        <w:pStyle w:val="Compact"/>
        <w:numPr>
          <w:ilvl w:val="0"/>
          <w:numId w:val="1002"/>
        </w:numPr>
      </w:pPr>
      <w:r>
        <w:t xml:space="preserve">Website management</w:t>
      </w:r>
    </w:p>
    <w:p>
      <w:pPr>
        <w:pStyle w:val="Compact"/>
        <w:numPr>
          <w:ilvl w:val="0"/>
          <w:numId w:val="1002"/>
        </w:numPr>
      </w:pPr>
      <w:r>
        <w:t xml:space="preserve">Technology</w:t>
      </w:r>
    </w:p>
    <w:p>
      <w:pPr>
        <w:pStyle w:val="Compact"/>
        <w:numPr>
          <w:ilvl w:val="0"/>
          <w:numId w:val="1002"/>
        </w:numPr>
      </w:pPr>
      <w:r>
        <w:t xml:space="preserve">Vendor coordination</w:t>
      </w:r>
    </w:p>
    <w:p>
      <w:pPr>
        <w:pStyle w:val="Compact"/>
        <w:numPr>
          <w:ilvl w:val="0"/>
          <w:numId w:val="1002"/>
        </w:numPr>
      </w:pPr>
      <w:r>
        <w:t xml:space="preserve">Purchasing (non-gaming supplies)</w:t>
      </w:r>
    </w:p>
    <w:p>
      <w:pPr>
        <w:pStyle w:val="Compact"/>
        <w:numPr>
          <w:ilvl w:val="0"/>
          <w:numId w:val="1002"/>
        </w:numPr>
      </w:pPr>
      <w:r>
        <w:t xml:space="preserve">Inventory management</w:t>
      </w:r>
    </w:p>
    <w:p>
      <w:pPr>
        <w:pStyle w:val="Compact"/>
        <w:numPr>
          <w:ilvl w:val="0"/>
          <w:numId w:val="1002"/>
        </w:numPr>
      </w:pPr>
      <w:r>
        <w:t xml:space="preserve">Facility operations</w:t>
      </w:r>
    </w:p>
    <w:p>
      <w:pPr>
        <w:pStyle w:val="Compact"/>
        <w:numPr>
          <w:ilvl w:val="0"/>
          <w:numId w:val="1002"/>
        </w:numPr>
      </w:pPr>
      <w:r>
        <w:t xml:space="preserve">Maintenance coordination</w:t>
      </w:r>
    </w:p>
    <w:p>
      <w:pPr>
        <w:pStyle w:val="Compact"/>
        <w:numPr>
          <w:ilvl w:val="0"/>
          <w:numId w:val="1002"/>
        </w:numPr>
      </w:pPr>
      <w:r>
        <w:t xml:space="preserve">Cleaning coordination</w:t>
      </w:r>
    </w:p>
    <w:p>
      <w:pPr>
        <w:pStyle w:val="Compact"/>
        <w:numPr>
          <w:ilvl w:val="0"/>
          <w:numId w:val="1002"/>
        </w:numPr>
      </w:pPr>
      <w:r>
        <w:t xml:space="preserve">Financial reporting</w:t>
      </w:r>
    </w:p>
    <w:p>
      <w:pPr>
        <w:pStyle w:val="Compact"/>
        <w:numPr>
          <w:ilvl w:val="0"/>
          <w:numId w:val="1002"/>
        </w:numPr>
      </w:pPr>
      <w:r>
        <w:t xml:space="preserve">Business planning</w:t>
      </w:r>
    </w:p>
    <w:p>
      <w:pPr>
        <w:pStyle w:val="Compact"/>
        <w:numPr>
          <w:ilvl w:val="0"/>
          <w:numId w:val="1002"/>
        </w:numPr>
      </w:pPr>
      <w:r>
        <w:t xml:space="preserve">Expansion planning</w:t>
      </w:r>
    </w:p>
    <w:p>
      <w:pPr>
        <w:pStyle w:val="Compact"/>
        <w:numPr>
          <w:ilvl w:val="0"/>
          <w:numId w:val="1002"/>
        </w:numPr>
      </w:pPr>
      <w:r>
        <w:t xml:space="preserve">Project management</w:t>
      </w:r>
    </w:p>
    <w:p>
      <w:pPr>
        <w:pStyle w:val="FirstParagraph"/>
      </w:pPr>
      <w:r>
        <w:t xml:space="preserve">Where appropriate and legally permissible, these services may be provided under written service agreements approved by the Common Good Network Board of Directors.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End w:id="24"/>
    <w:bookmarkStart w:id="27" w:name="leadership-structure"/>
    <w:p>
      <w:pPr>
        <w:pStyle w:val="Heading1"/>
      </w:pPr>
      <w:r>
        <w:t xml:space="preserve">Leadership Structure</w:t>
      </w:r>
    </w:p>
    <w:bookmarkStart w:id="25" w:name="common-good-network-leadership"/>
    <w:p>
      <w:pPr>
        <w:pStyle w:val="Heading2"/>
      </w:pPr>
      <w:r>
        <w:t xml:space="preserve">Common Good Network Leadership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3"/>
        </w:numPr>
      </w:pPr>
      <w:r>
        <w:t xml:space="preserve">Mission</w:t>
      </w:r>
    </w:p>
    <w:p>
      <w:pPr>
        <w:pStyle w:val="Compact"/>
        <w:numPr>
          <w:ilvl w:val="0"/>
          <w:numId w:val="1003"/>
        </w:numPr>
      </w:pPr>
      <w:r>
        <w:t xml:space="preserve">Governance</w:t>
      </w:r>
    </w:p>
    <w:p>
      <w:pPr>
        <w:pStyle w:val="Compact"/>
        <w:numPr>
          <w:ilvl w:val="0"/>
          <w:numId w:val="1003"/>
        </w:numPr>
      </w:pPr>
      <w:r>
        <w:t xml:space="preserve">Regulatory compliance</w:t>
      </w:r>
    </w:p>
    <w:p>
      <w:pPr>
        <w:pStyle w:val="Compact"/>
        <w:numPr>
          <w:ilvl w:val="0"/>
          <w:numId w:val="1003"/>
        </w:numPr>
      </w:pPr>
      <w:r>
        <w:t xml:space="preserve">Gaming oversight</w:t>
      </w:r>
    </w:p>
    <w:p>
      <w:pPr>
        <w:pStyle w:val="Compact"/>
        <w:numPr>
          <w:ilvl w:val="0"/>
          <w:numId w:val="1003"/>
        </w:numPr>
      </w:pPr>
      <w:r>
        <w:t xml:space="preserve">Charitable assets</w:t>
      </w:r>
    </w:p>
    <w:p>
      <w:r>
        <w:pict>
          <v:rect style="width:0;height:1.5pt" o:hralign="center" o:hrstd="t" o:hr="t"/>
        </w:pict>
      </w:r>
    </w:p>
    <w:bookmarkEnd w:id="25"/>
    <w:bookmarkStart w:id="26" w:name="vmp-leadership"/>
    <w:p>
      <w:pPr>
        <w:pStyle w:val="Heading2"/>
      </w:pPr>
      <w:r>
        <w:t xml:space="preserve">VMP Leadership</w:t>
      </w:r>
    </w:p>
    <w:p>
      <w:pPr>
        <w:pStyle w:val="FirstParagraph"/>
      </w:pPr>
      <w:r>
        <w:t xml:space="preserve">Responsible for:</w:t>
      </w:r>
    </w:p>
    <w:p>
      <w:pPr>
        <w:pStyle w:val="Compact"/>
        <w:numPr>
          <w:ilvl w:val="0"/>
          <w:numId w:val="1004"/>
        </w:numPr>
      </w:pPr>
      <w:r>
        <w:t xml:space="preserve">Business operations</w:t>
      </w:r>
    </w:p>
    <w:p>
      <w:pPr>
        <w:pStyle w:val="Compact"/>
        <w:numPr>
          <w:ilvl w:val="0"/>
          <w:numId w:val="1004"/>
        </w:numPr>
      </w:pPr>
      <w:r>
        <w:t xml:space="preserve">Administrative systems</w:t>
      </w:r>
    </w:p>
    <w:p>
      <w:pPr>
        <w:pStyle w:val="Compact"/>
        <w:numPr>
          <w:ilvl w:val="0"/>
          <w:numId w:val="1004"/>
        </w:numPr>
      </w:pPr>
      <w:r>
        <w:t xml:space="preserve">Process improvement</w:t>
      </w:r>
    </w:p>
    <w:p>
      <w:pPr>
        <w:pStyle w:val="Compact"/>
        <w:numPr>
          <w:ilvl w:val="0"/>
          <w:numId w:val="1004"/>
        </w:numPr>
      </w:pPr>
      <w:r>
        <w:t xml:space="preserve">Operational efficiency</w:t>
      </w:r>
    </w:p>
    <w:p>
      <w:pPr>
        <w:pStyle w:val="Compact"/>
        <w:numPr>
          <w:ilvl w:val="0"/>
          <w:numId w:val="1004"/>
        </w:numPr>
      </w:pPr>
      <w:r>
        <w:t xml:space="preserve">Growth planning</w:t>
      </w:r>
    </w:p>
    <w:p>
      <w:pPr>
        <w:pStyle w:val="Compact"/>
        <w:numPr>
          <w:ilvl w:val="0"/>
          <w:numId w:val="1004"/>
        </w:numPr>
      </w:pPr>
      <w:r>
        <w:t xml:space="preserve">Business support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operational-philosophy"/>
    <w:p>
      <w:pPr>
        <w:pStyle w:val="Heading1"/>
      </w:pPr>
      <w:r>
        <w:t xml:space="preserve">Operational Philosophy</w:t>
      </w:r>
    </w:p>
    <w:p>
      <w:pPr>
        <w:pStyle w:val="FirstParagraph"/>
      </w:pPr>
      <w:r>
        <w:t xml:space="preserve">The nonprofit is responsible for</w:t>
      </w:r>
      <w:r>
        <w:t xml:space="preserve"> </w:t>
      </w:r>
      <w:r>
        <w:rPr>
          <w:b/>
          <w:bCs/>
        </w:rPr>
        <w:t xml:space="preserve">why</w:t>
      </w:r>
      <w:r>
        <w:t xml:space="preserve"> </w:t>
      </w:r>
      <w:r>
        <w:t xml:space="preserve">we exist.</w:t>
      </w:r>
    </w:p>
    <w:p>
      <w:pPr>
        <w:pStyle w:val="BodyText"/>
      </w:pPr>
      <w:r>
        <w:t xml:space="preserve">VMP is responsible for helping us determine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we operate efficiently.</w:t>
      </w:r>
    </w:p>
    <w:p>
      <w:pPr>
        <w:pStyle w:val="BodyText"/>
      </w:pPr>
      <w:r>
        <w:t xml:space="preserve">Licensed Chairpersons are responsible for</w:t>
      </w:r>
      <w:r>
        <w:t xml:space="preserve"> </w:t>
      </w:r>
      <w:r>
        <w:rPr>
          <w:b/>
          <w:bCs/>
        </w:rPr>
        <w:t xml:space="preserve">how charitable gaming is conducted</w:t>
      </w:r>
      <w:r>
        <w:t xml:space="preserve">.</w:t>
      </w:r>
    </w:p>
    <w:p>
      <w:pPr>
        <w:pStyle w:val="BodyText"/>
      </w:pPr>
      <w:r>
        <w:t xml:space="preserve">Keeping these responsibilities separate creates accountability, improves operational efficiency, and supports compliance with Kentucky charitable gaming laws.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2026-06-26T21:45:03Z</dcterms:created>
  <dcterms:modified xsi:type="dcterms:W3CDTF">2026-06-26T21:45:03Z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