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d5016"/>
          <w:sz w:val="48"/>
          <w:szCs w:val="48"/>
        </w:rPr>
        <w:t xml:space="preserve">KYNORML Monthly Operations Handoff</w:t>
      </w:r>
    </w:p>
    <w:p>
      <w:pPr>
        <w:spacing w:after="240"/>
      </w:pPr>
      <w:r>
        <w:rPr>
          <w:i/>
          <w:iCs/>
          <w:color w:val="555555"/>
          <w:sz w:val="22"/>
          <w:szCs w:val="22"/>
        </w:rPr>
        <w:t xml:space="preserve">Prepared for leadership transition — Deputy Director to Executive Director · June 2026</w:t>
      </w:r>
    </w:p>
    <w:p>
      <w:pPr>
        <w:spacing w:after="60"/>
      </w:pPr>
    </w:p>
    <w:p>
      <w:pPr>
        <w:pBdr>
          <w:bottom w:val="single" w:color="cccccc" w:sz="6"/>
        </w:pBdr>
        <w:spacing w:after="120" w:before="320"/>
      </w:pPr>
      <w:r>
        <w:rPr>
          <w:b/>
          <w:bCs/>
          <w:color w:val="2d5016"/>
          <w:sz w:val="30"/>
          <w:szCs w:val="30"/>
        </w:rPr>
        <w:t xml:space="preserve">Why This Document Exists</w:t>
      </w:r>
    </w:p>
    <w:p>
      <w:pPr>
        <w:spacing w:after="60"/>
      </w:pPr>
    </w:p>
    <w:p>
      <w:pPr>
        <w:spacing w:after="80" w:before="40"/>
      </w:pPr>
      <w:r>
        <w:t xml:space="preserve">This is a transition document — built to hand the recurring monthly operating rhythm of KYNORML from the outgoing Deputy Director to the Executive Director (and to whoever steps into the Deputy Director role next). The goal: nothing about how the chapter actually runs month to month should live only in one person's head. If you're reading this because you're stepping into this work, this is everything you need to keep the beat going without having to reconstruct it from scratch.</w:t>
      </w:r>
    </w:p>
    <w:p>
      <w:pPr>
        <w:spacing w:after="60"/>
      </w:pPr>
    </w:p>
    <w:p>
      <w:pPr>
        <w:spacing w:after="80" w:before="40"/>
      </w:pPr>
      <w:r>
        <w:t xml:space="preserve">This document does </w:t>
      </w:r>
      <w:r>
        <w:rPr>
          <w:b/>
          <w:bCs/>
        </w:rPr>
        <w:t xml:space="preserve">not</w:t>
      </w:r>
      <w:r>
        <w:t xml:space="preserve"> replace the templates it draws from — it's the assembled, KYNORML-specific version of them, in the order you actually do the work. The source templates (Financial Box, Governance Box, Chapter Health Dashboard, Marketing Master Calendar) stay current and authoritative; this is the "run it in this order, every month" view.</w:t>
      </w:r>
    </w:p>
    <w:p>
      <w:pPr>
        <w:spacing w:after="60"/>
      </w:pPr>
    </w:p>
    <w:p>
      <w:pPr>
        <w:pBdr>
          <w:bottom w:val="single" w:color="cccccc" w:sz="4"/>
        </w:pBdr>
        <w:spacing w:after="160" w:before="160"/>
      </w:pPr>
      <w:r>
        <w:t xml:space="preserve"/>
      </w:r>
    </w:p>
    <w:p>
      <w:pPr>
        <w:spacing w:after="60"/>
      </w:pPr>
    </w:p>
    <w:p>
      <w:pPr>
        <w:pBdr>
          <w:bottom w:val="single" w:color="cccccc" w:sz="6"/>
        </w:pBdr>
        <w:spacing w:after="120" w:before="320"/>
      </w:pPr>
      <w:r>
        <w:rPr>
          <w:b/>
          <w:bCs/>
          <w:color w:val="2d5016"/>
          <w:sz w:val="30"/>
          <w:szCs w:val="30"/>
        </w:rPr>
        <w:t xml:space="preserve">The Entity Map — Who's Who</w:t>
      </w:r>
    </w:p>
    <w:p>
      <w:pPr>
        <w:spacing w:after="60"/>
      </w:pPr>
    </w:p>
    <w:p>
      <w:pPr>
        <w:spacing w:after="80" w:before="40"/>
      </w:pPr>
      <w:r>
        <w:t xml:space="preserve">A new ED inherits not just KYNORML, but a small web of related entities. None of this is optional context — money, services, and compliance obligations move between these, and misunderstanding the map causes real problems (commingling funds, missed filings, unclear ownership of work product).</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bottom w:type="dxa" w:w="80"/>
        </w:tblCellMar>
      </w:tblPr>
      <w:tblGrid>
        <w:gridCol w:w="100"/>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rPr>
              <w:t xml:space="preserve">Entity</w:t>
            </w:r>
          </w:p>
        </w:tc>
        <w:tc>
          <w:tcPr>
            <w:shd w:fill="2d5016" w:color="FFFFFF" w:val="clear"/>
            <w:tcMar>
              <w:top w:type="dxa" w:w="80"/>
              <w:left w:type="dxa" w:w="120"/>
              <w:bottom w:type="dxa" w:w="80"/>
              <w:right w:type="dxa" w:w="120"/>
            </w:tcMar>
          </w:tcPr>
          <w:p>
            <w:pPr>
              <w:spacing w:after="60" w:before="60"/>
            </w:pPr>
            <w:r>
              <w:rPr>
                <w:b/>
                <w:bCs/>
                <w:color w:val="FFFFFF"/>
              </w:rPr>
              <w:t xml:space="preserve">What It Is</w:t>
            </w:r>
          </w:p>
        </w:tc>
        <w:tc>
          <w:tcPr>
            <w:shd w:fill="2d5016" w:color="FFFFFF" w:val="clear"/>
            <w:tcMar>
              <w:top w:type="dxa" w:w="80"/>
              <w:left w:type="dxa" w:w="120"/>
              <w:bottom w:type="dxa" w:w="80"/>
              <w:right w:type="dxa" w:w="120"/>
            </w:tcMar>
          </w:tcPr>
          <w:p>
            <w:pPr>
              <w:spacing w:after="60" w:before="60"/>
            </w:pPr>
            <w:r>
              <w:rPr>
                <w:b/>
                <w:bCs/>
                <w:color w:val="FFFFFF"/>
              </w:rPr>
              <w:t xml:space="preserve">Relationship to KYNORML</w:t>
            </w:r>
          </w:p>
        </w:tc>
      </w:tr>
      <w:tr>
        <w:tc>
          <w:tcPr>
            <w:tcMar>
              <w:top w:type="dxa" w:w="80"/>
              <w:left w:type="dxa" w:w="120"/>
              <w:bottom w:type="dxa" w:w="80"/>
              <w:right w:type="dxa" w:w="120"/>
            </w:tcMar>
          </w:tcPr>
          <w:p>
            <w:pPr>
              <w:spacing w:after="60" w:before="60"/>
            </w:pPr>
            <w:r>
              <w:rPr>
                <w:b/>
                <w:bCs/>
              </w:rPr>
              <w:t xml:space="preserve">KYNORML, INC</w:t>
            </w:r>
          </w:p>
        </w:tc>
        <w:tc>
          <w:tcPr>
            <w:tcMar>
              <w:top w:type="dxa" w:w="80"/>
              <w:left w:type="dxa" w:w="120"/>
              <w:bottom w:type="dxa" w:w="80"/>
              <w:right w:type="dxa" w:w="120"/>
            </w:tcMar>
          </w:tcPr>
          <w:p>
            <w:pPr>
              <w:spacing w:after="60" w:before="60"/>
            </w:pPr>
            <w:r>
              <w:t xml:space="preserve">The 501(c)(4) social welfare organization — the chapter itself. Advocacy, lobbying, KYCannaCon, membership, directory. Donations to it are </w:t>
            </w:r>
            <w:r>
              <w:rPr>
                <w:b/>
                <w:bCs/>
              </w:rPr>
              <w:t xml:space="preserve">not</w:t>
            </w:r>
            <w:r>
              <w:t xml:space="preserve"> tax-deductible.</w:t>
            </w:r>
          </w:p>
        </w:tc>
        <w:tc>
          <w:tcPr>
            <w:tcMar>
              <w:top w:type="dxa" w:w="80"/>
              <w:left w:type="dxa" w:w="120"/>
              <w:bottom w:type="dxa" w:w="80"/>
              <w:right w:type="dxa" w:w="120"/>
            </w:tcMar>
          </w:tcPr>
          <w:p>
            <w:pPr>
              <w:spacing w:after="60" w:before="60"/>
            </w:pPr>
            <w:r>
              <w:t xml:space="preserve">This is the organization you're running.</w:t>
            </w:r>
          </w:p>
        </w:tc>
      </w:tr>
      <w:tr>
        <w:tc>
          <w:tcPr>
            <w:shd w:fill="f4f6f1" w:val="clear"/>
            <w:tcMar>
              <w:top w:type="dxa" w:w="80"/>
              <w:left w:type="dxa" w:w="120"/>
              <w:bottom w:type="dxa" w:w="80"/>
              <w:right w:type="dxa" w:w="120"/>
            </w:tcMar>
          </w:tcPr>
          <w:p>
            <w:pPr>
              <w:spacing w:after="60" w:before="60"/>
            </w:pPr>
            <w:r>
              <w:rPr>
                <w:b/>
                <w:bCs/>
              </w:rPr>
              <w:t xml:space="preserve">Common Good Network (CGN)</w:t>
            </w:r>
          </w:p>
        </w:tc>
        <w:tc>
          <w:tcPr>
            <w:shd w:fill="f4f6f1" w:val="clear"/>
            <w:tcMar>
              <w:top w:type="dxa" w:w="80"/>
              <w:left w:type="dxa" w:w="120"/>
              <w:bottom w:type="dxa" w:w="80"/>
              <w:right w:type="dxa" w:w="120"/>
            </w:tcMar>
          </w:tcPr>
          <w:p>
            <w:pPr>
              <w:spacing w:after="60" w:before="60"/>
            </w:pPr>
            <w:r>
              <w:t xml:space="preserve">A 501(c)(3) educational nonprofit — the "education arm." Runs Google Ad Grants ($10,000/month in free advertising), cannabis wellness education, and anything that needs tax-deductible donations or grant eligibility.</w:t>
            </w:r>
          </w:p>
        </w:tc>
        <w:tc>
          <w:tcPr>
            <w:shd w:fill="f4f6f1" w:val="clear"/>
            <w:tcMar>
              <w:top w:type="dxa" w:w="80"/>
              <w:left w:type="dxa" w:w="120"/>
              <w:bottom w:type="dxa" w:w="80"/>
              <w:right w:type="dxa" w:w="120"/>
            </w:tcMar>
          </w:tcPr>
          <w:p>
            <w:pPr>
              <w:spacing w:after="60" w:before="60"/>
            </w:pPr>
            <w:r>
              <w:t xml:space="preserve">Separate legal entity, same mission family. KYNORML and CGN must keep finances, messaging, and activities legally distinct — this is the single most important compliance boundary to understand on day one. Confirm with legal/accounting how the two currently divide work before assuming anything is shared.</w:t>
            </w:r>
          </w:p>
        </w:tc>
      </w:tr>
      <w:tr>
        <w:tc>
          <w:tcPr>
            <w:tcMar>
              <w:top w:type="dxa" w:w="80"/>
              <w:left w:type="dxa" w:w="120"/>
              <w:bottom w:type="dxa" w:w="80"/>
              <w:right w:type="dxa" w:w="120"/>
            </w:tcMar>
          </w:tcPr>
          <w:p>
            <w:pPr>
              <w:spacing w:after="60" w:before="60"/>
            </w:pPr>
            <w:r>
              <w:rPr>
                <w:b/>
                <w:bCs/>
              </w:rPr>
              <w:t xml:space="preserve">Verdant Management Partners (VMP)</w:t>
            </w:r>
          </w:p>
        </w:tc>
        <w:tc>
          <w:tcPr>
            <w:tcMar>
              <w:top w:type="dxa" w:w="80"/>
              <w:left w:type="dxa" w:w="120"/>
              <w:bottom w:type="dxa" w:w="80"/>
              <w:right w:type="dxa" w:w="120"/>
            </w:tcMar>
          </w:tcPr>
          <w:p>
            <w:pPr>
              <w:spacing w:after="60" w:before="60"/>
            </w:pPr>
            <w:r>
              <w:t xml:space="preserve">Lauren Bratcher's professional services and event-management company. Produces KYCannaCon, consults for other NORML chapters (the "Chapter Box" model), and is a paying </w:t>
            </w:r>
            <w:r>
              <w:rPr>
                <w:b/>
                <w:bCs/>
              </w:rPr>
              <w:t xml:space="preserve">client relationship</w:t>
            </w:r>
            <w:r>
              <w:t xml:space="preserve"> — not part of KYNORML's org chart.</w:t>
            </w:r>
          </w:p>
        </w:tc>
        <w:tc>
          <w:tcPr>
            <w:tcMar>
              <w:top w:type="dxa" w:w="80"/>
              <w:left w:type="dxa" w:w="120"/>
              <w:bottom w:type="dxa" w:w="80"/>
              <w:right w:type="dxa" w:w="120"/>
            </w:tcMar>
          </w:tcPr>
          <w:p>
            <w:pPr>
              <w:spacing w:after="60" w:before="60"/>
            </w:pPr>
            <w:r>
              <w:t xml:space="preserve">VMP is a vendor/contractor to KYNORML for conference production and consulting-style services — any work VMP does for KYNORML should be under a written agreement (see the Vendor Contract Template in Financial Box), with payment and scope clearly defined.</w:t>
            </w:r>
          </w:p>
        </w:tc>
      </w:tr>
      <w:tr>
        <w:tc>
          <w:tcPr>
            <w:shd w:fill="f4f6f1" w:val="clear"/>
            <w:tcMar>
              <w:top w:type="dxa" w:w="80"/>
              <w:left w:type="dxa" w:w="120"/>
              <w:bottom w:type="dxa" w:w="80"/>
              <w:right w:type="dxa" w:w="120"/>
            </w:tcMar>
          </w:tcPr>
          <w:p>
            <w:pPr>
              <w:spacing w:after="60" w:before="60"/>
            </w:pPr>
            <w:r>
              <w:rPr>
                <w:b/>
                <w:bCs/>
              </w:rPr>
              <w:t xml:space="preserve">Verdant Ventures LLC</w:t>
            </w:r>
          </w:p>
        </w:tc>
        <w:tc>
          <w:tcPr>
            <w:shd w:fill="f4f6f1" w:val="clear"/>
            <w:tcMar>
              <w:top w:type="dxa" w:w="80"/>
              <w:left w:type="dxa" w:w="120"/>
              <w:bottom w:type="dxa" w:w="80"/>
              <w:right w:type="dxa" w:w="120"/>
            </w:tcMar>
          </w:tcPr>
          <w:p>
            <w:pPr>
              <w:spacing w:after="60" w:before="60"/>
            </w:pPr>
            <w:r>
              <w:t xml:space="preserve">Lauren's personal vendor entity. Bills VMP for the work Lauren personally performs; keeps her personal income separate from VMP's client-facing business.</w:t>
            </w:r>
          </w:p>
        </w:tc>
        <w:tc>
          <w:tcPr>
            <w:shd w:fill="f4f6f1" w:val="clear"/>
            <w:tcMar>
              <w:top w:type="dxa" w:w="80"/>
              <w:left w:type="dxa" w:w="120"/>
              <w:bottom w:type="dxa" w:w="80"/>
              <w:right w:type="dxa" w:w="120"/>
            </w:tcMar>
          </w:tcPr>
          <w:p>
            <w:pPr>
              <w:spacing w:after="60" w:before="60"/>
            </w:pPr>
            <w:r>
              <w:t xml:space="preserve">Has no direct relationship to KYNORML — it's two layers removed (KYNORML → VMP → Verdant Ventures). You should never see direct transactions between KYNORML and Verdant Ventures. If you do, that's a red flag worth raising with the board.</w:t>
            </w:r>
          </w:p>
        </w:tc>
      </w:tr>
      <w:tr>
        <w:tc>
          <w:tcPr>
            <w:tcMar>
              <w:top w:type="dxa" w:w="80"/>
              <w:left w:type="dxa" w:w="120"/>
              <w:bottom w:type="dxa" w:w="80"/>
              <w:right w:type="dxa" w:w="120"/>
            </w:tcMar>
          </w:tcPr>
          <w:p>
            <w:pPr>
              <w:spacing w:after="60" w:before="60"/>
            </w:pPr>
            <w:r>
              <w:rPr>
                <w:b/>
                <w:bCs/>
              </w:rPr>
              <w:t xml:space="preserve">National NORML</w:t>
            </w:r>
          </w:p>
        </w:tc>
        <w:tc>
          <w:tcPr>
            <w:tcMar>
              <w:top w:type="dxa" w:w="80"/>
              <w:left w:type="dxa" w:w="120"/>
              <w:bottom w:type="dxa" w:w="80"/>
              <w:right w:type="dxa" w:w="120"/>
            </w:tcMar>
          </w:tcPr>
          <w:p>
            <w:pPr>
              <w:spacing w:after="60" w:before="60"/>
            </w:pPr>
            <w:r>
              <w:t xml:space="preserve">The parent organization. Provides the chapter charter, free press/social content, the chapter directory network, and (per VMP's current pipeline) may engage VMP directly for projects like a National Chapter Summit.</w:t>
            </w:r>
          </w:p>
        </w:tc>
        <w:tc>
          <w:tcPr>
            <w:tcMar>
              <w:top w:type="dxa" w:w="80"/>
              <w:left w:type="dxa" w:w="120"/>
              <w:bottom w:type="dxa" w:w="80"/>
              <w:right w:type="dxa" w:w="120"/>
            </w:tcMar>
          </w:tcPr>
          <w:p>
            <w:pPr>
              <w:spacing w:after="60" w:before="60"/>
            </w:pPr>
            <w:r>
              <w:t xml:space="preserve">KYNORML operates under National NORML's umbrella as a state chapter — not a subsidiary. Distribution, branding guidance, and content all flow from this relationship.</w:t>
            </w:r>
          </w:p>
        </w:tc>
      </w:tr>
    </w:tbl>
    <w:p>
      <w:pPr>
        <w:spacing w:after="80"/>
      </w:pPr>
    </w:p>
    <w:p>
      <w:pPr>
        <w:spacing w:after="60"/>
      </w:pPr>
    </w:p>
    <w:p>
      <w:pPr>
        <w:spacing w:after="80" w:before="40"/>
      </w:pPr>
      <w:r>
        <w:rPr>
          <w:b/>
          <w:bCs/>
        </w:rPr>
        <w:t xml:space="preserve">The one thing to internalize:</w:t>
      </w:r>
      <w:r>
        <w:t xml:space="preserve"> KYNORML is the chapter. CGN is the legally separate education partner. VMP and Verdant Ventures are Lauren's outward-facing businesses that happen to also produce KYNORML's signature event — which means anything VMP does for KYNORML needs the same scrutiny, written agreements, and arm's-length treatment you'd apply to any other vendor. This protects both KYNORML's nonprofit status and Lauren's business.</w:t>
      </w:r>
    </w:p>
    <w:p>
      <w:pPr>
        <w:spacing w:after="60"/>
      </w:pPr>
    </w:p>
    <w:p>
      <w:pPr>
        <w:pBdr>
          <w:bottom w:val="single" w:color="cccccc" w:sz="4"/>
        </w:pBdr>
        <w:spacing w:after="160" w:before="160"/>
      </w:pPr>
      <w:r>
        <w:t xml:space="preserve"/>
      </w:r>
    </w:p>
    <w:p>
      <w:pPr>
        <w:spacing w:after="60"/>
      </w:pPr>
    </w:p>
    <w:p>
      <w:pPr>
        <w:pBdr>
          <w:bottom w:val="single" w:color="cccccc" w:sz="6"/>
        </w:pBdr>
        <w:spacing w:after="120" w:before="320"/>
      </w:pPr>
      <w:r>
        <w:rPr>
          <w:b/>
          <w:bCs/>
          <w:color w:val="2d5016"/>
          <w:sz w:val="30"/>
          <w:szCs w:val="30"/>
        </w:rPr>
        <w:t xml:space="preserve">The Monthly Rhythm — One Page</w:t>
      </w:r>
    </w:p>
    <w:p>
      <w:pPr>
        <w:spacing w:after="60"/>
      </w:pPr>
    </w:p>
    <w:p>
      <w:pPr>
        <w:spacing w:after="80" w:before="40"/>
      </w:pPr>
      <w:r>
        <w:t xml:space="preserve">Run these in this order, every month. Total time: roughly half a day, spread across the month — not one sitting.</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bottom w:type="dxa" w:w="80"/>
        </w:tblCellMar>
      </w:tblPr>
      <w:tblGrid>
        <w:gridCol w:w="100"/>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rPr>
              <w:t xml:space="preserve">When</w:t>
            </w:r>
          </w:p>
        </w:tc>
        <w:tc>
          <w:tcPr>
            <w:shd w:fill="2d5016" w:color="FFFFFF" w:val="clear"/>
            <w:tcMar>
              <w:top w:type="dxa" w:w="80"/>
              <w:left w:type="dxa" w:w="120"/>
              <w:bottom w:type="dxa" w:w="80"/>
              <w:right w:type="dxa" w:w="120"/>
            </w:tcMar>
          </w:tcPr>
          <w:p>
            <w:pPr>
              <w:spacing w:after="60" w:before="60"/>
            </w:pPr>
            <w:r>
              <w:rPr>
                <w:b/>
                <w:bCs/>
                <w:color w:val="FFFFFF"/>
              </w:rPr>
              <w:t xml:space="preserve">Task</w:t>
            </w:r>
          </w:p>
        </w:tc>
        <w:tc>
          <w:tcPr>
            <w:shd w:fill="2d5016" w:color="FFFFFF" w:val="clear"/>
            <w:tcMar>
              <w:top w:type="dxa" w:w="80"/>
              <w:left w:type="dxa" w:w="120"/>
              <w:bottom w:type="dxa" w:w="80"/>
              <w:right w:type="dxa" w:w="120"/>
            </w:tcMar>
          </w:tcPr>
          <w:p>
            <w:pPr>
              <w:spacing w:after="60" w:before="60"/>
            </w:pPr>
            <w:r>
              <w:rPr>
                <w:b/>
                <w:bCs/>
                <w:color w:val="FFFFFF"/>
              </w:rPr>
              <w:t xml:space="preserve">Source / Detail</w:t>
            </w:r>
          </w:p>
        </w:tc>
      </w:tr>
      <w:tr>
        <w:tc>
          <w:tcPr>
            <w:tcMar>
              <w:top w:type="dxa" w:w="80"/>
              <w:left w:type="dxa" w:w="120"/>
              <w:bottom w:type="dxa" w:w="80"/>
              <w:right w:type="dxa" w:w="120"/>
            </w:tcMar>
          </w:tcPr>
          <w:p>
            <w:pPr>
              <w:spacing w:after="60" w:before="60"/>
            </w:pPr>
            <w:r>
              <w:rPr>
                <w:b/>
                <w:bCs/>
              </w:rPr>
              <w:t xml:space="preserve">1st–3rd of the month</w:t>
            </w:r>
          </w:p>
        </w:tc>
        <w:tc>
          <w:tcPr>
            <w:tcMar>
              <w:top w:type="dxa" w:w="80"/>
              <w:left w:type="dxa" w:w="120"/>
              <w:bottom w:type="dxa" w:w="80"/>
              <w:right w:type="dxa" w:w="120"/>
            </w:tcMar>
          </w:tcPr>
          <w:p>
            <w:pPr>
              <w:spacing w:after="60" w:before="60"/>
            </w:pPr>
            <w:r>
              <w:t xml:space="preserve">Pull last month's financial snapshot (P&amp;L, cash on hand, budget variance)</w:t>
            </w:r>
          </w:p>
        </w:tc>
        <w:tc>
          <w:tcPr>
            <w:tcMar>
              <w:top w:type="dxa" w:w="80"/>
              <w:left w:type="dxa" w:w="120"/>
              <w:bottom w:type="dxa" w:w="80"/>
              <w:right w:type="dxa" w:w="120"/>
            </w:tcMar>
          </w:tcPr>
          <w:p>
            <w:pPr>
              <w:spacing w:after="60" w:before="60"/>
            </w:pPr>
            <w:r>
              <w:t xml:space="preserve">Financial Box — Monthly P&amp;L Snapshot</w:t>
            </w:r>
          </w:p>
        </w:tc>
      </w:tr>
      <w:tr>
        <w:tc>
          <w:tcPr>
            <w:shd w:fill="f4f6f1" w:val="clear"/>
            <w:tcMar>
              <w:top w:type="dxa" w:w="80"/>
              <w:left w:type="dxa" w:w="120"/>
              <w:bottom w:type="dxa" w:w="80"/>
              <w:right w:type="dxa" w:w="120"/>
            </w:tcMar>
          </w:tcPr>
          <w:p>
            <w:pPr>
              <w:spacing w:after="60" w:before="60"/>
            </w:pPr>
            <w:r>
              <w:rPr>
                <w:b/>
                <w:bCs/>
              </w:rPr>
              <w:t xml:space="preserve">1st–3rd of the month</w:t>
            </w:r>
          </w:p>
        </w:tc>
        <w:tc>
          <w:tcPr>
            <w:shd w:fill="f4f6f1" w:val="clear"/>
            <w:tcMar>
              <w:top w:type="dxa" w:w="80"/>
              <w:left w:type="dxa" w:w="120"/>
              <w:bottom w:type="dxa" w:w="80"/>
              <w:right w:type="dxa" w:w="120"/>
            </w:tcMar>
          </w:tcPr>
          <w:p>
            <w:pPr>
              <w:spacing w:after="60" w:before="60"/>
            </w:pPr>
            <w:r>
              <w:t xml:space="preserve">Pull last month's KPI numbers (list size, open rates, social, revenue by stream, membership)</w:t>
            </w:r>
          </w:p>
        </w:tc>
        <w:tc>
          <w:tcPr>
            <w:shd w:fill="f4f6f1" w:val="clear"/>
            <w:tcMar>
              <w:top w:type="dxa" w:w="80"/>
              <w:left w:type="dxa" w:w="120"/>
              <w:bottom w:type="dxa" w:w="80"/>
              <w:right w:type="dxa" w:w="120"/>
            </w:tcMar>
          </w:tcPr>
          <w:p>
            <w:pPr>
              <w:spacing w:after="60" w:before="60"/>
            </w:pPr>
            <w:r>
              <w:t xml:space="preserve">Chapter Health Dashboard — Monthly KPI Tracker</w:t>
            </w:r>
          </w:p>
        </w:tc>
      </w:tr>
      <w:tr>
        <w:tc>
          <w:tcPr>
            <w:tcMar>
              <w:top w:type="dxa" w:w="80"/>
              <w:left w:type="dxa" w:w="120"/>
              <w:bottom w:type="dxa" w:w="80"/>
              <w:right w:type="dxa" w:w="120"/>
            </w:tcMar>
          </w:tcPr>
          <w:p>
            <w:pPr>
              <w:spacing w:after="60" w:before="60"/>
            </w:pPr>
            <w:r>
              <w:rPr>
                <w:b/>
                <w:bCs/>
              </w:rPr>
              <w:t xml:space="preserve">First week</w:t>
            </w:r>
          </w:p>
        </w:tc>
        <w:tc>
          <w:tcPr>
            <w:tcMar>
              <w:top w:type="dxa" w:w="80"/>
              <w:left w:type="dxa" w:w="120"/>
              <w:bottom w:type="dxa" w:w="80"/>
              <w:right w:type="dxa" w:w="120"/>
            </w:tcMar>
          </w:tcPr>
          <w:p>
            <w:pPr>
              <w:spacing w:after="60" w:before="60"/>
            </w:pPr>
            <w:r>
              <w:t xml:space="preserve">Check this month's row in the Marketing Master Calendar — confirm the planned email send, social emphasis, and press moment are loaded</w:t>
            </w:r>
          </w:p>
        </w:tc>
        <w:tc>
          <w:tcPr>
            <w:tcMar>
              <w:top w:type="dxa" w:w="80"/>
              <w:left w:type="dxa" w:w="120"/>
              <w:bottom w:type="dxa" w:w="80"/>
              <w:right w:type="dxa" w:w="120"/>
            </w:tcMar>
          </w:tcPr>
          <w:p>
            <w:pPr>
              <w:spacing w:after="60" w:before="60"/>
            </w:pPr>
            <w:r>
              <w:t xml:space="preserve">Marketing Master Calendar</w:t>
            </w:r>
          </w:p>
        </w:tc>
      </w:tr>
      <w:tr>
        <w:tc>
          <w:tcPr>
            <w:shd w:fill="f4f6f1" w:val="clear"/>
            <w:tcMar>
              <w:top w:type="dxa" w:w="80"/>
              <w:left w:type="dxa" w:w="120"/>
              <w:bottom w:type="dxa" w:w="80"/>
              <w:right w:type="dxa" w:w="120"/>
            </w:tcMar>
          </w:tcPr>
          <w:p>
            <w:pPr>
              <w:spacing w:after="60" w:before="60"/>
            </w:pPr>
            <w:r>
              <w:rPr>
                <w:b/>
                <w:bCs/>
              </w:rPr>
              <w:t xml:space="preserve">First week</w:t>
            </w:r>
          </w:p>
        </w:tc>
        <w:tc>
          <w:tcPr>
            <w:shd w:fill="f4f6f1" w:val="clear"/>
            <w:tcMar>
              <w:top w:type="dxa" w:w="80"/>
              <w:left w:type="dxa" w:w="120"/>
              <w:bottom w:type="dxa" w:w="80"/>
              <w:right w:type="dxa" w:w="120"/>
            </w:tcMar>
          </w:tcPr>
          <w:p>
            <w:pPr>
              <w:spacing w:after="60" w:before="60"/>
            </w:pPr>
            <w:r>
              <w:t xml:space="preserve">Donor / member / sponsor stewardship touches (see Fundraising Cadence below)</w:t>
            </w:r>
          </w:p>
        </w:tc>
        <w:tc>
          <w:tcPr>
            <w:shd w:fill="f4f6f1" w:val="clear"/>
            <w:tcMar>
              <w:top w:type="dxa" w:w="80"/>
              <w:left w:type="dxa" w:w="120"/>
              <w:bottom w:type="dxa" w:w="80"/>
              <w:right w:type="dxa" w:w="120"/>
            </w:tcMar>
          </w:tcPr>
          <w:p>
            <w:pPr>
              <w:spacing w:after="60" w:before="60"/>
            </w:pPr>
            <w:r>
              <w:t xml:space="preserve">This document — Fundraising Cadence section</w:t>
            </w:r>
          </w:p>
        </w:tc>
      </w:tr>
      <w:tr>
        <w:tc>
          <w:tcPr>
            <w:tcMar>
              <w:top w:type="dxa" w:w="80"/>
              <w:left w:type="dxa" w:w="120"/>
              <w:bottom w:type="dxa" w:w="80"/>
              <w:right w:type="dxa" w:w="120"/>
            </w:tcMar>
          </w:tcPr>
          <w:p>
            <w:pPr>
              <w:spacing w:after="60" w:before="60"/>
            </w:pPr>
            <w:r>
              <w:rPr>
                <w:b/>
                <w:bCs/>
              </w:rPr>
              <w:t xml:space="preserve">Mid-month</w:t>
            </w:r>
          </w:p>
        </w:tc>
        <w:tc>
          <w:tcPr>
            <w:tcMar>
              <w:top w:type="dxa" w:w="80"/>
              <w:left w:type="dxa" w:w="120"/>
              <w:bottom w:type="dxa" w:w="80"/>
              <w:right w:type="dxa" w:w="120"/>
            </w:tcMar>
          </w:tcPr>
          <w:p>
            <w:pPr>
              <w:spacing w:after="60" w:before="60"/>
            </w:pPr>
            <w:r>
              <w:t xml:space="preserve">Reconcile bank statement; flag anything off-budget by more than 15%</w:t>
            </w:r>
          </w:p>
        </w:tc>
        <w:tc>
          <w:tcPr>
            <w:tcMar>
              <w:top w:type="dxa" w:w="80"/>
              <w:left w:type="dxa" w:w="120"/>
              <w:bottom w:type="dxa" w:w="80"/>
              <w:right w:type="dxa" w:w="120"/>
            </w:tcMar>
          </w:tcPr>
          <w:p>
            <w:pPr>
              <w:spacing w:after="60" w:before="60"/>
            </w:pPr>
            <w:r>
              <w:t xml:space="preserve">Financial Box — Financial Controls</w:t>
            </w:r>
          </w:p>
        </w:tc>
      </w:tr>
      <w:tr>
        <w:tc>
          <w:tcPr>
            <w:shd w:fill="f4f6f1" w:val="clear"/>
            <w:tcMar>
              <w:top w:type="dxa" w:w="80"/>
              <w:left w:type="dxa" w:w="120"/>
              <w:bottom w:type="dxa" w:w="80"/>
              <w:right w:type="dxa" w:w="120"/>
            </w:tcMar>
          </w:tcPr>
          <w:p>
            <w:pPr>
              <w:spacing w:after="60" w:before="60"/>
            </w:pPr>
            <w:r>
              <w:rPr>
                <w:b/>
                <w:bCs/>
              </w:rPr>
              <w:t xml:space="preserve">Mid-month (if board meeting scheduled)</w:t>
            </w:r>
          </w:p>
        </w:tc>
        <w:tc>
          <w:tcPr>
            <w:shd w:fill="f4f6f1" w:val="clear"/>
            <w:tcMar>
              <w:top w:type="dxa" w:w="80"/>
              <w:left w:type="dxa" w:w="120"/>
              <w:bottom w:type="dxa" w:w="80"/>
              <w:right w:type="dxa" w:w="120"/>
            </w:tcMar>
          </w:tcPr>
          <w:p>
            <w:pPr>
              <w:spacing w:after="60" w:before="60"/>
            </w:pPr>
            <w:r>
              <w:t xml:space="preserve">Prep board packet — financial snapshot, KPI summary, health indicators, agenda</w:t>
            </w:r>
          </w:p>
        </w:tc>
        <w:tc>
          <w:tcPr>
            <w:shd w:fill="f4f6f1" w:val="clear"/>
            <w:tcMar>
              <w:top w:type="dxa" w:w="80"/>
              <w:left w:type="dxa" w:w="120"/>
              <w:bottom w:type="dxa" w:w="80"/>
              <w:right w:type="dxa" w:w="120"/>
            </w:tcMar>
          </w:tcPr>
          <w:p>
            <w:pPr>
              <w:spacing w:after="60" w:before="60"/>
            </w:pPr>
            <w:r>
              <w:t xml:space="preserve">Governance Box — Board Meeting Minutes Template</w:t>
            </w:r>
          </w:p>
        </w:tc>
      </w:tr>
      <w:tr>
        <w:tc>
          <w:tcPr>
            <w:tcMar>
              <w:top w:type="dxa" w:w="80"/>
              <w:left w:type="dxa" w:w="120"/>
              <w:bottom w:type="dxa" w:w="80"/>
              <w:right w:type="dxa" w:w="120"/>
            </w:tcMar>
          </w:tcPr>
          <w:p>
            <w:pPr>
              <w:spacing w:after="60" w:before="60"/>
            </w:pPr>
            <w:r>
              <w:rPr>
                <w:b/>
                <w:bCs/>
              </w:rPr>
              <w:t xml:space="preserve">Ongoing, all month</w:t>
            </w:r>
          </w:p>
        </w:tc>
        <w:tc>
          <w:tcPr>
            <w:tcMar>
              <w:top w:type="dxa" w:w="80"/>
              <w:left w:type="dxa" w:w="120"/>
              <w:bottom w:type="dxa" w:w="80"/>
              <w:right w:type="dxa" w:w="120"/>
            </w:tcMar>
          </w:tcPr>
          <w:p>
            <w:pPr>
              <w:spacing w:after="60" w:before="60"/>
            </w:pPr>
            <w:r>
              <w:t xml:space="preserve">Reactive PR / social response as news breaks (does not wait for the monthly cycle)</w:t>
            </w:r>
          </w:p>
        </w:tc>
        <w:tc>
          <w:tcPr>
            <w:tcMar>
              <w:top w:type="dxa" w:w="80"/>
              <w:left w:type="dxa" w:w="120"/>
              <w:bottom w:type="dxa" w:w="80"/>
              <w:right w:type="dxa" w:w="120"/>
            </w:tcMar>
          </w:tcPr>
          <w:p>
            <w:pPr>
              <w:spacing w:after="60" w:before="60"/>
            </w:pPr>
            <w:r>
              <w:t xml:space="preserve">Track 4 - PR Response System</w:t>
            </w:r>
          </w:p>
        </w:tc>
      </w:tr>
      <w:tr>
        <w:tc>
          <w:tcPr>
            <w:shd w:fill="f4f6f1" w:val="clear"/>
            <w:tcMar>
              <w:top w:type="dxa" w:w="80"/>
              <w:left w:type="dxa" w:w="120"/>
              <w:bottom w:type="dxa" w:w="80"/>
              <w:right w:type="dxa" w:w="120"/>
            </w:tcMar>
          </w:tcPr>
          <w:p>
            <w:pPr>
              <w:spacing w:after="60" w:before="60"/>
            </w:pPr>
            <w:r>
              <w:rPr>
                <w:b/>
                <w:bCs/>
              </w:rPr>
              <w:t xml:space="preserve">Last week</w:t>
            </w:r>
          </w:p>
        </w:tc>
        <w:tc>
          <w:tcPr>
            <w:shd w:fill="f4f6f1" w:val="clear"/>
            <w:tcMar>
              <w:top w:type="dxa" w:w="80"/>
              <w:left w:type="dxa" w:w="120"/>
              <w:bottom w:type="dxa" w:w="80"/>
              <w:right w:type="dxa" w:w="120"/>
            </w:tcMar>
          </w:tcPr>
          <w:p>
            <w:pPr>
              <w:spacing w:after="60" w:before="60"/>
            </w:pPr>
            <w:r>
              <w:t xml:space="preserve">Check the compliance calendar (below) — anything due in the next 60 days?</w:t>
            </w:r>
          </w:p>
        </w:tc>
        <w:tc>
          <w:tcPr>
            <w:shd w:fill="f4f6f1" w:val="clear"/>
            <w:tcMar>
              <w:top w:type="dxa" w:w="80"/>
              <w:left w:type="dxa" w:w="120"/>
              <w:bottom w:type="dxa" w:w="80"/>
              <w:right w:type="dxa" w:w="120"/>
            </w:tcMar>
          </w:tcPr>
          <w:p>
            <w:pPr>
              <w:spacing w:after="60" w:before="60"/>
            </w:pPr>
            <w:r>
              <w:t xml:space="preserve">This document — Annual Compliance Calendar</w:t>
            </w:r>
          </w:p>
        </w:tc>
      </w:tr>
      <w:tr>
        <w:tc>
          <w:tcPr>
            <w:tcMar>
              <w:top w:type="dxa" w:w="80"/>
              <w:left w:type="dxa" w:w="120"/>
              <w:bottom w:type="dxa" w:w="80"/>
              <w:right w:type="dxa" w:w="120"/>
            </w:tcMar>
          </w:tcPr>
          <w:p>
            <w:pPr>
              <w:spacing w:after="60" w:before="60"/>
            </w:pPr>
            <w:r>
              <w:rPr>
                <w:b/>
                <w:bCs/>
              </w:rPr>
              <w:t xml:space="preserve">Last week</w:t>
            </w:r>
          </w:p>
        </w:tc>
        <w:tc>
          <w:tcPr>
            <w:tcMar>
              <w:top w:type="dxa" w:w="80"/>
              <w:left w:type="dxa" w:w="120"/>
              <w:bottom w:type="dxa" w:w="80"/>
              <w:right w:type="dxa" w:w="120"/>
            </w:tcMar>
          </w:tcPr>
          <w:p>
            <w:pPr>
              <w:spacing w:after="60" w:before="60"/>
            </w:pPr>
            <w:r>
              <w:t xml:space="preserve">Log the month — revenue actuals, sends completed, press issued, board actions — into the working dashboards</w:t>
            </w:r>
          </w:p>
        </w:tc>
        <w:tc>
          <w:tcPr>
            <w:tcMar>
              <w:top w:type="dxa" w:w="80"/>
              <w:left w:type="dxa" w:w="120"/>
              <w:bottom w:type="dxa" w:w="80"/>
              <w:right w:type="dxa" w:w="120"/>
            </w:tcMar>
          </w:tcPr>
          <w:p>
            <w:pPr>
              <w:spacing w:after="60" w:before="60"/>
            </w:pPr>
            <w:r>
              <w:t xml:space="preserve">Revenue Action Dashboard, Weekly Action Plan</w:t>
            </w:r>
          </w:p>
        </w:tc>
      </w:tr>
    </w:tbl>
    <w:p>
      <w:pPr>
        <w:spacing w:after="80"/>
      </w:pPr>
    </w:p>
    <w:p>
      <w:pPr>
        <w:spacing w:after="60"/>
      </w:pPr>
    </w:p>
    <w:p>
      <w:pPr>
        <w:pBdr>
          <w:bottom w:val="single" w:color="cccccc" w:sz="4"/>
        </w:pBdr>
        <w:spacing w:after="160" w:before="160"/>
      </w:pPr>
      <w:r>
        <w:t xml:space="preserve"/>
      </w:r>
    </w:p>
    <w:p>
      <w:pPr>
        <w:spacing w:after="60"/>
      </w:pPr>
    </w:p>
    <w:p>
      <w:pPr>
        <w:pBdr>
          <w:bottom w:val="single" w:color="cccccc" w:sz="6"/>
        </w:pBdr>
        <w:spacing w:after="120" w:before="320"/>
      </w:pPr>
      <w:r>
        <w:rPr>
          <w:b/>
          <w:bCs/>
          <w:color w:val="2d5016"/>
          <w:sz w:val="30"/>
          <w:szCs w:val="30"/>
        </w:rPr>
        <w:t xml:space="preserve">Systems &amp; Access Map</w:t>
      </w:r>
    </w:p>
    <w:p>
      <w:pPr>
        <w:spacing w:after="60"/>
      </w:pPr>
    </w:p>
    <w:p>
      <w:pPr>
        <w:spacing w:after="80" w:before="40"/>
      </w:pPr>
      <w:r>
        <w:t xml:space="preserve">Every platform KYNORML runs on, what it's for, and who needs access. Before the transition is final, the incoming ED should be added as an admin/owner on every row of this table — not just a user.</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bottom w:type="dxa" w:w="80"/>
        </w:tblCellMar>
      </w:tblPr>
      <w:tblGrid>
        <w:gridCol w:w="100"/>
        <w:gridCol w:w="100"/>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rPr>
              <w:t xml:space="preserve">System</w:t>
            </w:r>
          </w:p>
        </w:tc>
        <w:tc>
          <w:tcPr>
            <w:shd w:fill="2d5016" w:color="FFFFFF" w:val="clear"/>
            <w:tcMar>
              <w:top w:type="dxa" w:w="80"/>
              <w:left w:type="dxa" w:w="120"/>
              <w:bottom w:type="dxa" w:w="80"/>
              <w:right w:type="dxa" w:w="120"/>
            </w:tcMar>
          </w:tcPr>
          <w:p>
            <w:pPr>
              <w:spacing w:after="60" w:before="60"/>
            </w:pPr>
            <w:r>
              <w:rPr>
                <w:b/>
                <w:bCs/>
                <w:color w:val="FFFFFF"/>
              </w:rPr>
              <w:t xml:space="preserve">What It's For</w:t>
            </w:r>
          </w:p>
        </w:tc>
        <w:tc>
          <w:tcPr>
            <w:shd w:fill="2d5016" w:color="FFFFFF" w:val="clear"/>
            <w:tcMar>
              <w:top w:type="dxa" w:w="80"/>
              <w:left w:type="dxa" w:w="120"/>
              <w:bottom w:type="dxa" w:w="80"/>
              <w:right w:type="dxa" w:w="120"/>
            </w:tcMar>
          </w:tcPr>
          <w:p>
            <w:pPr>
              <w:spacing w:after="60" w:before="60"/>
            </w:pPr>
            <w:r>
              <w:rPr>
                <w:b/>
                <w:bCs/>
                <w:color w:val="FFFFFF"/>
              </w:rPr>
              <w:t xml:space="preserve">Access Level Needed by ED</w:t>
            </w:r>
          </w:p>
        </w:tc>
        <w:tc>
          <w:tcPr>
            <w:shd w:fill="2d5016" w:color="FFFFFF" w:val="clear"/>
            <w:tcMar>
              <w:top w:type="dxa" w:w="80"/>
              <w:left w:type="dxa" w:w="120"/>
              <w:bottom w:type="dxa" w:w="80"/>
              <w:right w:type="dxa" w:w="120"/>
            </w:tcMar>
          </w:tcPr>
          <w:p>
            <w:pPr>
              <w:spacing w:after="60" w:before="60"/>
            </w:pPr>
            <w:r>
              <w:rPr>
                <w:b/>
                <w:bCs/>
                <w:color w:val="FFFFFF"/>
              </w:rPr>
              <w:t xml:space="preserve">Status</w:t>
            </w:r>
          </w:p>
        </w:tc>
      </w:tr>
      <w:tr>
        <w:tc>
          <w:tcPr>
            <w:tcMar>
              <w:top w:type="dxa" w:w="80"/>
              <w:left w:type="dxa" w:w="120"/>
              <w:bottom w:type="dxa" w:w="80"/>
              <w:right w:type="dxa" w:w="120"/>
            </w:tcMar>
          </w:tcPr>
          <w:p>
            <w:pPr>
              <w:spacing w:after="60" w:before="60"/>
            </w:pPr>
            <w:r>
              <w:rPr>
                <w:b/>
                <w:bCs/>
              </w:rPr>
              <w:t xml:space="preserve">Wave or QuickBooks</w:t>
            </w:r>
          </w:p>
        </w:tc>
        <w:tc>
          <w:tcPr>
            <w:tcMar>
              <w:top w:type="dxa" w:w="80"/>
              <w:left w:type="dxa" w:w="120"/>
              <w:bottom w:type="dxa" w:w="80"/>
              <w:right w:type="dxa" w:w="120"/>
            </w:tcMar>
          </w:tcPr>
          <w:p>
            <w:pPr>
              <w:spacing w:after="60" w:before="60"/>
            </w:pPr>
            <w:r>
              <w:t xml:space="preserve">Bookkeeping — income, expenses, P&amp;L, invoicing</w:t>
            </w:r>
          </w:p>
        </w:tc>
        <w:tc>
          <w:tcPr>
            <w:tcMar>
              <w:top w:type="dxa" w:w="80"/>
              <w:left w:type="dxa" w:w="120"/>
              <w:bottom w:type="dxa" w:w="80"/>
              <w:right w:type="dxa" w:w="120"/>
            </w:tcMar>
          </w:tcPr>
          <w:p>
            <w:pPr>
              <w:spacing w:after="60" w:before="60"/>
            </w:pPr>
            <w:r>
              <w:t xml:space="preserve">Full admin (or shared access with treasurer)</w:t>
            </w:r>
          </w:p>
        </w:tc>
        <w:tc>
          <w:tcPr>
            <w:tcMar>
              <w:top w:type="dxa" w:w="80"/>
              <w:left w:type="dxa" w:w="120"/>
              <w:bottom w:type="dxa" w:w="80"/>
              <w:right w:type="dxa" w:w="120"/>
            </w:tcMar>
          </w:tcPr>
          <w:p>
            <w:pPr>
              <w:spacing w:after="60" w:before="60"/>
            </w:pPr>
            <w:r>
              <w:t xml:space="preserve">Confirm which is currently in use — Financial Box recommends Wave free tier, QuickBooks once revenue exceeds $50K/year</w:t>
            </w:r>
          </w:p>
        </w:tc>
      </w:tr>
      <w:tr>
        <w:tc>
          <w:tcPr>
            <w:shd w:fill="f4f6f1" w:val="clear"/>
            <w:tcMar>
              <w:top w:type="dxa" w:w="80"/>
              <w:left w:type="dxa" w:w="120"/>
              <w:bottom w:type="dxa" w:w="80"/>
              <w:right w:type="dxa" w:w="120"/>
            </w:tcMar>
          </w:tcPr>
          <w:p>
            <w:pPr>
              <w:spacing w:after="60" w:before="60"/>
            </w:pPr>
            <w:r>
              <w:rPr>
                <w:b/>
                <w:bCs/>
              </w:rPr>
              <w:t xml:space="preserve">Zeffy</w:t>
            </w:r>
          </w:p>
        </w:tc>
        <w:tc>
          <w:tcPr>
            <w:shd w:fill="f4f6f1" w:val="clear"/>
            <w:tcMar>
              <w:top w:type="dxa" w:w="80"/>
              <w:left w:type="dxa" w:w="120"/>
              <w:bottom w:type="dxa" w:w="80"/>
              <w:right w:type="dxa" w:w="120"/>
            </w:tcMar>
          </w:tcPr>
          <w:p>
            <w:pPr>
              <w:spacing w:after="60" w:before="60"/>
            </w:pPr>
            <w:r>
              <w:t xml:space="preserve">Memberships, donations, event ticketing — 0% platform fees for nonprofits</w:t>
            </w:r>
          </w:p>
        </w:tc>
        <w:tc>
          <w:tcPr>
            <w:shd w:fill="f4f6f1" w:val="clear"/>
            <w:tcMar>
              <w:top w:type="dxa" w:w="80"/>
              <w:left w:type="dxa" w:w="120"/>
              <w:bottom w:type="dxa" w:w="80"/>
              <w:right w:type="dxa" w:w="120"/>
            </w:tcMar>
          </w:tcPr>
          <w:p>
            <w:pPr>
              <w:spacing w:after="60" w:before="60"/>
            </w:pPr>
            <w:r>
              <w:t xml:space="preserve">Full admin</w:t>
            </w:r>
          </w:p>
        </w:tc>
        <w:tc>
          <w:tcPr>
            <w:shd w:fill="f4f6f1" w:val="clear"/>
            <w:tcMar>
              <w:top w:type="dxa" w:w="80"/>
              <w:left w:type="dxa" w:w="120"/>
              <w:bottom w:type="dxa" w:w="80"/>
              <w:right w:type="dxa" w:w="120"/>
            </w:tcMar>
          </w:tcPr>
          <w:p>
            <w:pPr>
              <w:spacing w:after="60" w:before="60"/>
            </w:pPr>
            <w:r>
              <w:t xml:space="preserve">Confirm KYNORML's (c)(4) verification is complete on the platform</w:t>
            </w:r>
          </w:p>
        </w:tc>
      </w:tr>
      <w:tr>
        <w:tc>
          <w:tcPr>
            <w:tcMar>
              <w:top w:type="dxa" w:w="80"/>
              <w:left w:type="dxa" w:w="120"/>
              <w:bottom w:type="dxa" w:w="80"/>
              <w:right w:type="dxa" w:w="120"/>
            </w:tcMar>
          </w:tcPr>
          <w:p>
            <w:pPr>
              <w:spacing w:after="60" w:before="60"/>
            </w:pPr>
            <w:r>
              <w:rPr>
                <w:b/>
                <w:bCs/>
              </w:rPr>
              <w:t xml:space="preserve">Action Network</w:t>
            </w:r>
          </w:p>
        </w:tc>
        <w:tc>
          <w:tcPr>
            <w:tcMar>
              <w:top w:type="dxa" w:w="80"/>
              <w:left w:type="dxa" w:w="120"/>
              <w:bottom w:type="dxa" w:w="80"/>
              <w:right w:type="dxa" w:w="120"/>
            </w:tcMar>
          </w:tcPr>
          <w:p>
            <w:pPr>
              <w:spacing w:after="60" w:before="60"/>
            </w:pPr>
            <w:r>
              <w:t xml:space="preserve">The 8,000-person email list, advocacy alerts, list segmentation</w:t>
            </w:r>
          </w:p>
        </w:tc>
        <w:tc>
          <w:tcPr>
            <w:tcMar>
              <w:top w:type="dxa" w:w="80"/>
              <w:left w:type="dxa" w:w="120"/>
              <w:bottom w:type="dxa" w:w="80"/>
              <w:right w:type="dxa" w:w="120"/>
            </w:tcMar>
          </w:tcPr>
          <w:p>
            <w:pPr>
              <w:spacing w:after="60" w:before="60"/>
            </w:pPr>
            <w:r>
              <w:t xml:space="preserve">Full admin</w:t>
            </w:r>
          </w:p>
        </w:tc>
        <w:tc>
          <w:tcPr>
            <w:tcMar>
              <w:top w:type="dxa" w:w="80"/>
              <w:left w:type="dxa" w:w="120"/>
              <w:bottom w:type="dxa" w:w="80"/>
              <w:right w:type="dxa" w:w="120"/>
            </w:tcMar>
          </w:tcPr>
          <w:p>
            <w:pPr>
              <w:spacing w:after="60" w:before="60"/>
            </w:pPr>
            <w:r>
              <w:t xml:space="preserve">This is the chapter's single largest audience asset — losing access to it would be a major operational gap</w:t>
            </w:r>
          </w:p>
        </w:tc>
      </w:tr>
      <w:tr>
        <w:tc>
          <w:tcPr>
            <w:shd w:fill="f4f6f1" w:val="clear"/>
            <w:tcMar>
              <w:top w:type="dxa" w:w="80"/>
              <w:left w:type="dxa" w:w="120"/>
              <w:bottom w:type="dxa" w:w="80"/>
              <w:right w:type="dxa" w:w="120"/>
            </w:tcMar>
          </w:tcPr>
          <w:p>
            <w:pPr>
              <w:spacing w:after="60" w:before="60"/>
            </w:pPr>
            <w:r>
              <w:rPr>
                <w:b/>
                <w:bCs/>
              </w:rPr>
              <w:t xml:space="preserve">Monday.com</w:t>
            </w:r>
          </w:p>
        </w:tc>
        <w:tc>
          <w:tcPr>
            <w:shd w:fill="f4f6f1" w:val="clear"/>
            <w:tcMar>
              <w:top w:type="dxa" w:w="80"/>
              <w:left w:type="dxa" w:w="120"/>
              <w:bottom w:type="dxa" w:w="80"/>
              <w:right w:type="dxa" w:w="120"/>
            </w:tcMar>
          </w:tcPr>
          <w:p>
            <w:pPr>
              <w:spacing w:after="60" w:before="60"/>
            </w:pPr>
            <w:r>
              <w:t xml:space="preserve">Operations board — follow-up tracking, sponsor pipeline, conference production board (~$10–15/user/month)</w:t>
            </w:r>
          </w:p>
        </w:tc>
        <w:tc>
          <w:tcPr>
            <w:shd w:fill="f4f6f1" w:val="clear"/>
            <w:tcMar>
              <w:top w:type="dxa" w:w="80"/>
              <w:left w:type="dxa" w:w="120"/>
              <w:bottom w:type="dxa" w:w="80"/>
              <w:right w:type="dxa" w:w="120"/>
            </w:tcMar>
          </w:tcPr>
          <w:p>
            <w:pPr>
              <w:spacing w:after="60" w:before="60"/>
            </w:pPr>
            <w:r>
              <w:t xml:space="preserve">Full admin / board owner</w:t>
            </w:r>
          </w:p>
        </w:tc>
        <w:tc>
          <w:tcPr>
            <w:shd w:fill="f4f6f1" w:val="clear"/>
            <w:tcMar>
              <w:top w:type="dxa" w:w="80"/>
              <w:left w:type="dxa" w:w="120"/>
              <w:bottom w:type="dxa" w:w="80"/>
              <w:right w:type="dxa" w:w="120"/>
            </w:tcMar>
          </w:tcPr>
          <w:p>
            <w:pPr>
              <w:spacing w:after="60" w:before="60"/>
            </w:pPr>
            <w:r>
              <w:t xml:space="preserve">Confirm current seat count and who's billed</w:t>
            </w:r>
          </w:p>
        </w:tc>
      </w:tr>
      <w:tr>
        <w:tc>
          <w:tcPr>
            <w:tcMar>
              <w:top w:type="dxa" w:w="80"/>
              <w:left w:type="dxa" w:w="120"/>
              <w:bottom w:type="dxa" w:w="80"/>
              <w:right w:type="dxa" w:w="120"/>
            </w:tcMar>
          </w:tcPr>
          <w:p>
            <w:pPr>
              <w:spacing w:after="60" w:before="60"/>
            </w:pPr>
            <w:r>
              <w:rPr>
                <w:b/>
                <w:bCs/>
              </w:rPr>
              <w:t xml:space="preserve">Buffer or Meta Business Suite</w:t>
            </w:r>
          </w:p>
        </w:tc>
        <w:tc>
          <w:tcPr>
            <w:tcMar>
              <w:top w:type="dxa" w:w="80"/>
              <w:left w:type="dxa" w:w="120"/>
              <w:bottom w:type="dxa" w:w="80"/>
              <w:right w:type="dxa" w:w="120"/>
            </w:tcMar>
          </w:tcPr>
          <w:p>
            <w:pPr>
              <w:spacing w:after="60" w:before="60"/>
            </w:pPr>
            <w:r>
              <w:t xml:space="preserve">Social media scheduling across Facebook, Instagram, Threads</w:t>
            </w:r>
          </w:p>
        </w:tc>
        <w:tc>
          <w:tcPr>
            <w:tcMar>
              <w:top w:type="dxa" w:w="80"/>
              <w:left w:type="dxa" w:w="120"/>
              <w:bottom w:type="dxa" w:w="80"/>
              <w:right w:type="dxa" w:w="120"/>
            </w:tcMar>
          </w:tcPr>
          <w:p>
            <w:pPr>
              <w:spacing w:after="60" w:before="60"/>
            </w:pPr>
            <w:r>
              <w:t xml:space="preserve">Full admin</w:t>
            </w:r>
          </w:p>
        </w:tc>
        <w:tc>
          <w:tcPr>
            <w:tcMar>
              <w:top w:type="dxa" w:w="80"/>
              <w:left w:type="dxa" w:w="120"/>
              <w:bottom w:type="dxa" w:w="80"/>
              <w:right w:type="dxa" w:w="120"/>
            </w:tcMar>
          </w:tcPr>
          <w:p>
            <w:pPr>
              <w:spacing w:after="60" w:before="60"/>
            </w:pPr>
            <w:r>
              <w:t xml:space="preserve">See Track 2 - Social Media System for the batch workflow this supports</w:t>
            </w:r>
          </w:p>
        </w:tc>
      </w:tr>
      <w:tr>
        <w:tc>
          <w:tcPr>
            <w:shd w:fill="f4f6f1" w:val="clear"/>
            <w:tcMar>
              <w:top w:type="dxa" w:w="80"/>
              <w:left w:type="dxa" w:w="120"/>
              <w:bottom w:type="dxa" w:w="80"/>
              <w:right w:type="dxa" w:w="120"/>
            </w:tcMar>
          </w:tcPr>
          <w:p>
            <w:pPr>
              <w:spacing w:after="60" w:before="60"/>
            </w:pPr>
            <w:r>
              <w:rPr>
                <w:b/>
                <w:bCs/>
              </w:rPr>
              <w:t xml:space="preserve">Google Workspace</w:t>
            </w:r>
          </w:p>
        </w:tc>
        <w:tc>
          <w:tcPr>
            <w:shd w:fill="f4f6f1" w:val="clear"/>
            <w:tcMar>
              <w:top w:type="dxa" w:w="80"/>
              <w:left w:type="dxa" w:w="120"/>
              <w:bottom w:type="dxa" w:w="80"/>
              <w:right w:type="dxa" w:w="120"/>
            </w:tcMar>
          </w:tcPr>
          <w:p>
            <w:pPr>
              <w:spacing w:after="60" w:before="60"/>
            </w:pPr>
            <w:r>
              <w:t xml:space="preserve">Email infrastructure, shared drives, calendar — runs under CGN</w:t>
            </w:r>
          </w:p>
        </w:tc>
        <w:tc>
          <w:tcPr>
            <w:shd w:fill="f4f6f1" w:val="clear"/>
            <w:tcMar>
              <w:top w:type="dxa" w:w="80"/>
              <w:left w:type="dxa" w:w="120"/>
              <w:bottom w:type="dxa" w:w="80"/>
              <w:right w:type="dxa" w:w="120"/>
            </w:tcMar>
          </w:tcPr>
          <w:p>
            <w:pPr>
              <w:spacing w:after="60" w:before="60"/>
            </w:pPr>
            <w:r>
              <w:t xml:space="preserve">Admin or delegated admin</w:t>
            </w:r>
          </w:p>
        </w:tc>
        <w:tc>
          <w:tcPr>
            <w:shd w:fill="f4f6f1" w:val="clear"/>
            <w:tcMar>
              <w:top w:type="dxa" w:w="80"/>
              <w:left w:type="dxa" w:w="120"/>
              <w:bottom w:type="dxa" w:w="80"/>
              <w:right w:type="dxa" w:w="120"/>
            </w:tcMar>
          </w:tcPr>
          <w:p>
            <w:pPr>
              <w:spacing w:after="60" w:before="60"/>
            </w:pPr>
            <w:r>
              <w:t xml:space="preserve">Confirm whether KYNORML has its own Workspace or operates inside CGN's</w:t>
            </w:r>
          </w:p>
        </w:tc>
      </w:tr>
      <w:tr>
        <w:tc>
          <w:tcPr>
            <w:tcMar>
              <w:top w:type="dxa" w:w="80"/>
              <w:left w:type="dxa" w:w="120"/>
              <w:bottom w:type="dxa" w:w="80"/>
              <w:right w:type="dxa" w:w="120"/>
            </w:tcMar>
          </w:tcPr>
          <w:p>
            <w:pPr>
              <w:spacing w:after="60" w:before="60"/>
            </w:pPr>
            <w:r>
              <w:rPr>
                <w:b/>
                <w:bCs/>
              </w:rPr>
              <w:t xml:space="preserve">Google Ad Grants</w:t>
            </w:r>
          </w:p>
        </w:tc>
        <w:tc>
          <w:tcPr>
            <w:tcMar>
              <w:top w:type="dxa" w:w="80"/>
              <w:left w:type="dxa" w:w="120"/>
              <w:bottom w:type="dxa" w:w="80"/>
              <w:right w:type="dxa" w:w="120"/>
            </w:tcMar>
          </w:tcPr>
          <w:p>
            <w:pPr>
              <w:spacing w:after="60" w:before="60"/>
            </w:pPr>
            <w:r>
              <w:t xml:space="preserve">$10,000/month in free Google advertising — runs under CGN, not KYNORML directly</w:t>
            </w:r>
          </w:p>
        </w:tc>
        <w:tc>
          <w:tcPr>
            <w:tcMar>
              <w:top w:type="dxa" w:w="80"/>
              <w:left w:type="dxa" w:w="120"/>
              <w:bottom w:type="dxa" w:w="80"/>
              <w:right w:type="dxa" w:w="120"/>
            </w:tcMar>
          </w:tcPr>
          <w:p>
            <w:pPr>
              <w:spacing w:after="60" w:before="60"/>
            </w:pPr>
            <w:r>
              <w:t xml:space="preserve">Awareness + coordination access</w:t>
            </w:r>
          </w:p>
        </w:tc>
        <w:tc>
          <w:tcPr>
            <w:tcMar>
              <w:top w:type="dxa" w:w="80"/>
              <w:left w:type="dxa" w:w="120"/>
              <w:bottom w:type="dxa" w:w="80"/>
              <w:right w:type="dxa" w:w="120"/>
            </w:tcMar>
          </w:tcPr>
          <w:p>
            <w:pPr>
              <w:spacing w:after="60" w:before="60"/>
            </w:pPr>
            <w:r>
              <w:t xml:space="preserve">Currently idle per vault notes — worth confirming status and whether it's being used</w:t>
            </w:r>
          </w:p>
        </w:tc>
      </w:tr>
      <w:tr>
        <w:tc>
          <w:tcPr>
            <w:shd w:fill="f4f6f1" w:val="clear"/>
            <w:tcMar>
              <w:top w:type="dxa" w:w="80"/>
              <w:left w:type="dxa" w:w="120"/>
              <w:bottom w:type="dxa" w:w="80"/>
              <w:right w:type="dxa" w:w="120"/>
            </w:tcMar>
          </w:tcPr>
          <w:p>
            <w:pPr>
              <w:spacing w:after="60" w:before="60"/>
            </w:pPr>
            <w:r>
              <w:rPr>
                <w:b/>
                <w:bCs/>
              </w:rPr>
              <w:t xml:space="preserve">Canva</w:t>
            </w:r>
          </w:p>
        </w:tc>
        <w:tc>
          <w:tcPr>
            <w:shd w:fill="f4f6f1" w:val="clear"/>
            <w:tcMar>
              <w:top w:type="dxa" w:w="80"/>
              <w:left w:type="dxa" w:w="120"/>
              <w:bottom w:type="dxa" w:w="80"/>
              <w:right w:type="dxa" w:w="120"/>
            </w:tcMar>
          </w:tcPr>
          <w:p>
            <w:pPr>
              <w:spacing w:after="60" w:before="60"/>
            </w:pPr>
            <w:r>
              <w:t xml:space="preserve">Design templates for social graphics, the sponsorship one-pager, event materials</w:t>
            </w:r>
          </w:p>
        </w:tc>
        <w:tc>
          <w:tcPr>
            <w:shd w:fill="f4f6f1" w:val="clear"/>
            <w:tcMar>
              <w:top w:type="dxa" w:w="80"/>
              <w:left w:type="dxa" w:w="120"/>
              <w:bottom w:type="dxa" w:w="80"/>
              <w:right w:type="dxa" w:w="120"/>
            </w:tcMar>
          </w:tcPr>
          <w:p>
            <w:pPr>
              <w:spacing w:after="60" w:before="60"/>
            </w:pPr>
            <w:r>
              <w:t xml:space="preserve">Brand kit access</w:t>
            </w:r>
          </w:p>
        </w:tc>
        <w:tc>
          <w:tcPr>
            <w:shd w:fill="f4f6f1" w:val="clear"/>
            <w:tcMar>
              <w:top w:type="dxa" w:w="80"/>
              <w:left w:type="dxa" w:w="120"/>
              <w:bottom w:type="dxa" w:w="80"/>
              <w:right w:type="dxa" w:w="120"/>
            </w:tcMar>
          </w:tcPr>
          <w:p>
            <w:pPr>
              <w:spacing w:after="60" w:before="60"/>
            </w:pPr>
            <w:r>
              <w:t xml:space="preserve">See KYCannaCon Sponsorship One-Pager</w:t>
            </w:r>
          </w:p>
        </w:tc>
      </w:tr>
      <w:tr>
        <w:tc>
          <w:tcPr>
            <w:tcMar>
              <w:top w:type="dxa" w:w="80"/>
              <w:left w:type="dxa" w:w="120"/>
              <w:bottom w:type="dxa" w:w="80"/>
              <w:right w:type="dxa" w:w="120"/>
            </w:tcMar>
          </w:tcPr>
          <w:p>
            <w:pPr>
              <w:spacing w:after="60" w:before="60"/>
            </w:pPr>
            <w:r>
              <w:rPr>
                <w:b/>
                <w:bCs/>
              </w:rPr>
              <w:t xml:space="preserve">Bank account(s)</w:t>
            </w:r>
          </w:p>
        </w:tc>
        <w:tc>
          <w:tcPr>
            <w:tcMar>
              <w:top w:type="dxa" w:w="80"/>
              <w:left w:type="dxa" w:w="120"/>
              <w:bottom w:type="dxa" w:w="80"/>
              <w:right w:type="dxa" w:w="120"/>
            </w:tcMar>
          </w:tcPr>
          <w:p>
            <w:pPr>
              <w:spacing w:after="60" w:before="60"/>
            </w:pPr>
            <w:r>
              <w:t xml:space="preserve">Operating account + reserve account</w:t>
            </w:r>
          </w:p>
        </w:tc>
        <w:tc>
          <w:tcPr>
            <w:tcMar>
              <w:top w:type="dxa" w:w="80"/>
              <w:left w:type="dxa" w:w="120"/>
              <w:bottom w:type="dxa" w:w="80"/>
              <w:right w:type="dxa" w:w="120"/>
            </w:tcMar>
          </w:tcPr>
          <w:p>
            <w:pPr>
              <w:spacing w:after="60" w:before="60"/>
            </w:pPr>
            <w:r>
              <w:t xml:space="preserve">Authorized signatory (with dual-signature controls per Governance Box)</w:t>
            </w:r>
          </w:p>
        </w:tc>
        <w:tc>
          <w:tcPr>
            <w:tcMar>
              <w:top w:type="dxa" w:w="80"/>
              <w:left w:type="dxa" w:w="120"/>
              <w:bottom w:type="dxa" w:w="80"/>
              <w:right w:type="dxa" w:w="120"/>
            </w:tcMar>
          </w:tcPr>
          <w:p>
            <w:pPr>
              <w:spacing w:after="60" w:before="60"/>
            </w:pPr>
            <w:r>
              <w:rPr>
                <w:b/>
                <w:bCs/>
              </w:rPr>
              <w:t xml:space="preserve">Bank name, account structure, and current signatories are not documented in the vault — get this in writing during transition, not from memory</w:t>
            </w:r>
          </w:p>
        </w:tc>
      </w:tr>
      <w:tr>
        <w:tc>
          <w:tcPr>
            <w:shd w:fill="f4f6f1" w:val="clear"/>
            <w:tcMar>
              <w:top w:type="dxa" w:w="80"/>
              <w:left w:type="dxa" w:w="120"/>
              <w:bottom w:type="dxa" w:w="80"/>
              <w:right w:type="dxa" w:w="120"/>
            </w:tcMar>
          </w:tcPr>
          <w:p>
            <w:pPr>
              <w:spacing w:after="60" w:before="60"/>
            </w:pPr>
            <w:r>
              <w:rPr>
                <w:b/>
                <w:bCs/>
              </w:rPr>
              <w:t xml:space="preserve">Social media accounts</w:t>
            </w:r>
          </w:p>
        </w:tc>
        <w:tc>
          <w:tcPr>
            <w:shd w:fill="f4f6f1" w:val="clear"/>
            <w:tcMar>
              <w:top w:type="dxa" w:w="80"/>
              <w:left w:type="dxa" w:w="120"/>
              <w:bottom w:type="dxa" w:w="80"/>
              <w:right w:type="dxa" w:w="120"/>
            </w:tcMar>
          </w:tcPr>
          <w:p>
            <w:pPr>
              <w:spacing w:after="60" w:before="60"/>
            </w:pPr>
            <w:r>
              <w:t xml:space="preserve">Facebook, Instagram, Threads — the chapter's public voice</w:t>
            </w:r>
          </w:p>
        </w:tc>
        <w:tc>
          <w:tcPr>
            <w:shd w:fill="f4f6f1" w:val="clear"/>
            <w:tcMar>
              <w:top w:type="dxa" w:w="80"/>
              <w:left w:type="dxa" w:w="120"/>
              <w:bottom w:type="dxa" w:w="80"/>
              <w:right w:type="dxa" w:w="120"/>
            </w:tcMar>
          </w:tcPr>
          <w:p>
            <w:pPr>
              <w:spacing w:after="60" w:before="60"/>
            </w:pPr>
            <w:r>
              <w:t xml:space="preserve">Full admin on all three</w:t>
            </w:r>
          </w:p>
        </w:tc>
        <w:tc>
          <w:tcPr>
            <w:shd w:fill="f4f6f1" w:val="clear"/>
            <w:tcMar>
              <w:top w:type="dxa" w:w="80"/>
              <w:left w:type="dxa" w:w="120"/>
              <w:bottom w:type="dxa" w:w="80"/>
              <w:right w:type="dxa" w:w="120"/>
            </w:tcMar>
          </w:tcPr>
          <w:p>
            <w:pPr>
              <w:spacing w:after="60" w:before="60"/>
            </w:pPr>
            <w:r>
              <w:t xml:space="preserve">Transfer ownership, not just login sharing</w:t>
            </w:r>
          </w:p>
        </w:tc>
      </w:tr>
      <w:tr>
        <w:tc>
          <w:tcPr>
            <w:tcMar>
              <w:top w:type="dxa" w:w="80"/>
              <w:left w:type="dxa" w:w="120"/>
              <w:bottom w:type="dxa" w:w="80"/>
              <w:right w:type="dxa" w:w="120"/>
            </w:tcMar>
          </w:tcPr>
          <w:p>
            <w:pPr>
              <w:spacing w:after="60" w:before="60"/>
            </w:pPr>
            <w:r>
              <w:rPr>
                <w:b/>
                <w:bCs/>
              </w:rPr>
              <w:t xml:space="preserve">Website / CMS</w:t>
            </w:r>
          </w:p>
        </w:tc>
        <w:tc>
          <w:tcPr>
            <w:tcMar>
              <w:top w:type="dxa" w:w="80"/>
              <w:left w:type="dxa" w:w="120"/>
              <w:bottom w:type="dxa" w:w="80"/>
              <w:right w:type="dxa" w:w="120"/>
            </w:tcMar>
          </w:tcPr>
          <w:p>
            <w:pPr>
              <w:spacing w:after="60" w:before="60"/>
            </w:pPr>
            <w:r>
              <w:t xml:space="preserve">Public-facing site, directory, membership/donation links</w:t>
            </w:r>
          </w:p>
        </w:tc>
        <w:tc>
          <w:tcPr>
            <w:tcMar>
              <w:top w:type="dxa" w:w="80"/>
              <w:left w:type="dxa" w:w="120"/>
              <w:bottom w:type="dxa" w:w="80"/>
              <w:right w:type="dxa" w:w="120"/>
            </w:tcMar>
          </w:tcPr>
          <w:p>
            <w:pPr>
              <w:spacing w:after="60" w:before="60"/>
            </w:pPr>
            <w:r>
              <w:t xml:space="preserve">Full admin</w:t>
            </w:r>
          </w:p>
        </w:tc>
        <w:tc>
          <w:tcPr>
            <w:tcMar>
              <w:top w:type="dxa" w:w="80"/>
              <w:left w:type="dxa" w:w="120"/>
              <w:bottom w:type="dxa" w:w="80"/>
              <w:right w:type="dxa" w:w="120"/>
            </w:tcMar>
          </w:tcPr>
          <w:p>
            <w:pPr>
              <w:spacing w:after="60" w:before="60"/>
            </w:pPr>
            <w:r>
              <w:t xml:space="preserve">Confirm hosting, domain registrar, and CMS login ownership</w:t>
            </w:r>
          </w:p>
        </w:tc>
      </w:tr>
    </w:tbl>
    <w:p>
      <w:pPr>
        <w:spacing w:after="80"/>
      </w:pPr>
    </w:p>
    <w:p>
      <w:pPr>
        <w:spacing w:after="60"/>
      </w:pPr>
    </w:p>
    <w:p>
      <w:pPr>
        <w:pBdr>
          <w:bottom w:val="single" w:color="cccccc" w:sz="4"/>
        </w:pBdr>
        <w:spacing w:after="160" w:before="160"/>
      </w:pPr>
      <w:r>
        <w:t xml:space="preserve"/>
      </w:r>
    </w:p>
    <w:p>
      <w:pPr>
        <w:spacing w:after="60"/>
      </w:pPr>
    </w:p>
    <w:p>
      <w:pPr>
        <w:pBdr>
          <w:bottom w:val="single" w:color="cccccc" w:sz="6"/>
        </w:pBdr>
        <w:spacing w:after="120" w:before="320"/>
      </w:pPr>
      <w:r>
        <w:rPr>
          <w:b/>
          <w:bCs/>
          <w:color w:val="2d5016"/>
          <w:sz w:val="30"/>
          <w:szCs w:val="30"/>
        </w:rPr>
        <w:t xml:space="preserve">Team — Who Does What</w:t>
      </w:r>
    </w:p>
    <w:p>
      <w:pPr>
        <w:spacing w:after="60"/>
      </w:pPr>
    </w:p>
    <w:p>
      <w:pPr>
        <w:spacing w:after="80" w:before="40"/>
      </w:pPr>
      <w:r>
        <w:t xml:space="preserve">The vault names three KYNORML team members beyond the Executive Director: </w:t>
      </w:r>
      <w:r>
        <w:rPr>
          <w:b/>
          <w:bCs/>
        </w:rPr>
        <w:t xml:space="preserve">Shealonda, Maurice, and James</w:t>
      </w:r>
      <w:r>
        <w:t xml:space="preserve">. Their specific roles and responsibilities are not documented here — that's a gap to close during the transition, not after.</w:t>
      </w:r>
    </w:p>
    <w:p>
      <w:pPr>
        <w:spacing w:after="60"/>
      </w:pPr>
    </w:p>
    <w:p>
      <w:pPr>
        <w:spacing w:after="80" w:before="40"/>
      </w:pPr>
      <w:r>
        <w:rPr>
          <w:b/>
          <w:bCs/>
        </w:rPr>
        <w:t xml:space="preserve">Before the handoff is complete, document for each person:</w:t>
      </w:r>
    </w:p>
    <w:p>
      <w:pPr>
        <w:spacing w:after="40" w:before="40"/>
        <w:ind w:left="360"/>
      </w:pPr>
      <w:r>
        <w:t xml:space="preserve">☐ Full name and role/title</w:t>
      </w:r>
    </w:p>
    <w:p>
      <w:pPr>
        <w:spacing w:after="40" w:before="40"/>
        <w:ind w:left="360"/>
      </w:pPr>
      <w:r>
        <w:t xml:space="preserve">☐ What they're responsible for, day to day</w:t>
      </w:r>
    </w:p>
    <w:p>
      <w:pPr>
        <w:spacing w:after="40" w:before="40"/>
        <w:ind w:left="360"/>
      </w:pPr>
      <w:r>
        <w:t xml:space="preserve">☐ How to reach them and how often you should expect to sync</w:t>
      </w:r>
    </w:p>
    <w:p>
      <w:pPr>
        <w:spacing w:after="40" w:before="40"/>
        <w:ind w:left="360"/>
      </w:pPr>
      <w:r>
        <w:t xml:space="preserve">☐ Whether they're staff, contractors, or volunteers — and what that means for payroll/1099 obligations</w:t>
      </w:r>
    </w:p>
    <w:p>
      <w:pPr>
        <w:spacing w:after="40" w:before="40"/>
        <w:ind w:left="360"/>
      </w:pPr>
      <w:r>
        <w:t xml:space="preserve">☐ Any standing commitments or projects currently in motion that depend on them</w:t>
      </w:r>
    </w:p>
    <w:p>
      <w:pPr>
        <w:spacing w:after="60"/>
      </w:pPr>
    </w:p>
    <w:p>
      <w:pPr>
        <w:spacing w:after="80" w:before="40"/>
      </w:pPr>
      <w:r>
        <w:t xml:space="preserve">A team that exists only as first names in a dashboard is a team an incoming ED can't actually lead. Closing this gap is one of the highest-value things you can do before you go.</w:t>
      </w:r>
    </w:p>
    <w:p>
      <w:pPr>
        <w:spacing w:after="60"/>
      </w:pPr>
    </w:p>
    <w:p>
      <w:pPr>
        <w:pBdr>
          <w:bottom w:val="single" w:color="cccccc" w:sz="4"/>
        </w:pBdr>
        <w:spacing w:after="160" w:before="160"/>
      </w:pPr>
      <w:r>
        <w:t xml:space="preserve"/>
      </w:r>
    </w:p>
    <w:p>
      <w:pPr>
        <w:spacing w:after="60"/>
      </w:pPr>
    </w:p>
    <w:p>
      <w:pPr>
        <w:pBdr>
          <w:bottom w:val="single" w:color="cccccc" w:sz="6"/>
        </w:pBdr>
        <w:spacing w:after="120" w:before="320"/>
      </w:pPr>
      <w:r>
        <w:rPr>
          <w:b/>
          <w:bCs/>
          <w:color w:val="2d5016"/>
          <w:sz w:val="30"/>
          <w:szCs w:val="30"/>
        </w:rPr>
        <w:t xml:space="preserve">Step 1 — Monthly Financial Snapshot</w:t>
      </w:r>
    </w:p>
    <w:p>
      <w:pPr>
        <w:spacing w:after="60"/>
      </w:pPr>
    </w:p>
    <w:p>
      <w:pPr>
        <w:spacing w:after="80" w:before="40"/>
      </w:pPr>
      <w:r>
        <w:t xml:space="preserve">Pull this from Wave/QuickBooks at the end of every month. Takes about 20 minutes once the books are current.</w:t>
      </w:r>
    </w:p>
    <w:p>
      <w:pPr>
        <w:spacing w:after="60"/>
      </w:pPr>
    </w:p>
    <w:p>
      <w:pPr>
        <w:spacing w:after="80" w:before="40"/>
      </w:pPr>
      <w:r>
        <w:rPr>
          <w:b/>
          <w:bCs/>
        </w:rPr>
        <w:t xml:space="preserve">[Month] Financial Snapshot — KYNORML</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bottom w:type="dxa" w:w="80"/>
        </w:tblCellMar>
      </w:tblPr>
      <w:tblGrid>
        <w:gridCol w:w="100"/>
        <w:gridCol w:w="100"/>
        <w:gridCol w:w="100"/>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rPr>
              <w:t xml:space="preserve"/>
            </w:r>
          </w:p>
        </w:tc>
        <w:tc>
          <w:tcPr>
            <w:shd w:fill="2d5016" w:color="FFFFFF" w:val="clear"/>
            <w:tcMar>
              <w:top w:type="dxa" w:w="80"/>
              <w:left w:type="dxa" w:w="120"/>
              <w:bottom w:type="dxa" w:w="80"/>
              <w:right w:type="dxa" w:w="120"/>
            </w:tcMar>
          </w:tcPr>
          <w:p>
            <w:pPr>
              <w:spacing w:after="60" w:before="60"/>
            </w:pPr>
            <w:r>
              <w:rPr>
                <w:b/>
                <w:bCs/>
                <w:color w:val="FFFFFF"/>
              </w:rPr>
              <w:t xml:space="preserve">This Month</w:t>
            </w:r>
          </w:p>
        </w:tc>
        <w:tc>
          <w:tcPr>
            <w:shd w:fill="2d5016" w:color="FFFFFF" w:val="clear"/>
            <w:tcMar>
              <w:top w:type="dxa" w:w="80"/>
              <w:left w:type="dxa" w:w="120"/>
              <w:bottom w:type="dxa" w:w="80"/>
              <w:right w:type="dxa" w:w="120"/>
            </w:tcMar>
          </w:tcPr>
          <w:p>
            <w:pPr>
              <w:spacing w:after="60" w:before="60"/>
            </w:pPr>
            <w:r>
              <w:rPr>
                <w:b/>
                <w:bCs/>
                <w:color w:val="FFFFFF"/>
              </w:rPr>
              <w:t xml:space="preserve">Year to Date</w:t>
            </w:r>
          </w:p>
        </w:tc>
        <w:tc>
          <w:tcPr>
            <w:shd w:fill="2d5016" w:color="FFFFFF" w:val="clear"/>
            <w:tcMar>
              <w:top w:type="dxa" w:w="80"/>
              <w:left w:type="dxa" w:w="120"/>
              <w:bottom w:type="dxa" w:w="80"/>
              <w:right w:type="dxa" w:w="120"/>
            </w:tcMar>
          </w:tcPr>
          <w:p>
            <w:pPr>
              <w:spacing w:after="60" w:before="60"/>
            </w:pPr>
            <w:r>
              <w:rPr>
                <w:b/>
                <w:bCs/>
                <w:color w:val="FFFFFF"/>
              </w:rPr>
              <w:t xml:space="preserve">Budget</w:t>
            </w:r>
          </w:p>
        </w:tc>
        <w:tc>
          <w:tcPr>
            <w:shd w:fill="2d5016" w:color="FFFFFF" w:val="clear"/>
            <w:tcMar>
              <w:top w:type="dxa" w:w="80"/>
              <w:left w:type="dxa" w:w="120"/>
              <w:bottom w:type="dxa" w:w="80"/>
              <w:right w:type="dxa" w:w="120"/>
            </w:tcMar>
          </w:tcPr>
          <w:p>
            <w:pPr>
              <w:spacing w:after="60" w:before="60"/>
            </w:pPr>
            <w:r>
              <w:rPr>
                <w:b/>
                <w:bCs/>
                <w:color w:val="FFFFFF"/>
              </w:rPr>
              <w:t xml:space="preserve">Variance</w:t>
            </w:r>
          </w:p>
        </w:tc>
      </w:tr>
      <w:tr>
        <w:tc>
          <w:tcPr>
            <w:tcMar>
              <w:top w:type="dxa" w:w="80"/>
              <w:left w:type="dxa" w:w="120"/>
              <w:bottom w:type="dxa" w:w="80"/>
              <w:right w:type="dxa" w:w="120"/>
            </w:tcMar>
          </w:tcPr>
          <w:p>
            <w:pPr>
              <w:spacing w:after="60" w:before="60"/>
            </w:pPr>
            <w:r>
              <w:t xml:space="preserve">Total Income</w:t>
            </w:r>
          </w:p>
        </w:tc>
        <w:tc>
          <w:tcPr>
            <w:tcMar>
              <w:top w:type="dxa" w:w="80"/>
              <w:left w:type="dxa" w:w="120"/>
              <w:bottom w:type="dxa" w:w="80"/>
              <w:right w:type="dxa" w:w="120"/>
            </w:tcMar>
          </w:tcPr>
          <w:p>
            <w:pPr>
              <w:spacing w:after="60" w:before="60"/>
            </w:pPr>
            <w:r>
              <w:t xml:space="preserve"/>
            </w:r>
          </w:p>
        </w:tc>
        <w:tc>
          <w:tcPr>
            <w:tcMar>
              <w:top w:type="dxa" w:w="80"/>
              <w:left w:type="dxa" w:w="120"/>
              <w:bottom w:type="dxa" w:w="80"/>
              <w:right w:type="dxa" w:w="120"/>
            </w:tcMar>
          </w:tcPr>
          <w:p>
            <w:pPr>
              <w:spacing w:after="60" w:before="60"/>
            </w:pPr>
            <w:r>
              <w:t xml:space="preserve"/>
            </w:r>
          </w:p>
        </w:tc>
        <w:tc>
          <w:tcPr>
            <w:tcMar>
              <w:top w:type="dxa" w:w="80"/>
              <w:left w:type="dxa" w:w="120"/>
              <w:bottom w:type="dxa" w:w="80"/>
              <w:right w:type="dxa" w:w="120"/>
            </w:tcMar>
          </w:tcPr>
          <w:p>
            <w:pPr>
              <w:spacing w:after="60" w:before="60"/>
            </w:pPr>
            <w:r>
              <w:t xml:space="preserve"/>
            </w:r>
          </w:p>
        </w:tc>
        <w:tc>
          <w:tcPr>
            <w:tcMar>
              <w:top w:type="dxa" w:w="80"/>
              <w:left w:type="dxa" w:w="120"/>
              <w:bottom w:type="dxa" w:w="80"/>
              <w:right w:type="dxa" w:w="120"/>
            </w:tcMar>
          </w:tcPr>
          <w:p>
            <w:pPr>
              <w:spacing w:after="60" w:before="60"/>
            </w:pPr>
            <w:r>
              <w:t xml:space="preserve"/>
            </w:r>
          </w:p>
        </w:tc>
      </w:tr>
      <w:tr>
        <w:tc>
          <w:tcPr>
            <w:shd w:fill="f4f6f1" w:val="clear"/>
            <w:tcMar>
              <w:top w:type="dxa" w:w="80"/>
              <w:left w:type="dxa" w:w="120"/>
              <w:bottom w:type="dxa" w:w="80"/>
              <w:right w:type="dxa" w:w="120"/>
            </w:tcMar>
          </w:tcPr>
          <w:p>
            <w:pPr>
              <w:spacing w:after="60" w:before="60"/>
            </w:pPr>
            <w:r>
              <w:t xml:space="preserve">Total Expenses</w:t>
            </w:r>
          </w:p>
        </w:tc>
        <w:tc>
          <w:tcPr>
            <w:shd w:fill="f4f6f1" w:val="clear"/>
            <w:tcMar>
              <w:top w:type="dxa" w:w="80"/>
              <w:left w:type="dxa" w:w="120"/>
              <w:bottom w:type="dxa" w:w="80"/>
              <w:right w:type="dxa" w:w="120"/>
            </w:tcMar>
          </w:tcPr>
          <w:p>
            <w:pPr>
              <w:spacing w:after="60" w:before="60"/>
            </w:pPr>
            <w:r>
              <w:t xml:space="preserve"/>
            </w:r>
          </w:p>
        </w:tc>
        <w:tc>
          <w:tcPr>
            <w:shd w:fill="f4f6f1" w:val="clear"/>
            <w:tcMar>
              <w:top w:type="dxa" w:w="80"/>
              <w:left w:type="dxa" w:w="120"/>
              <w:bottom w:type="dxa" w:w="80"/>
              <w:right w:type="dxa" w:w="120"/>
            </w:tcMar>
          </w:tcPr>
          <w:p>
            <w:pPr>
              <w:spacing w:after="60" w:before="60"/>
            </w:pPr>
            <w:r>
              <w:t xml:space="preserve"/>
            </w:r>
          </w:p>
        </w:tc>
        <w:tc>
          <w:tcPr>
            <w:shd w:fill="f4f6f1" w:val="clear"/>
            <w:tcMar>
              <w:top w:type="dxa" w:w="80"/>
              <w:left w:type="dxa" w:w="120"/>
              <w:bottom w:type="dxa" w:w="80"/>
              <w:right w:type="dxa" w:w="120"/>
            </w:tcMar>
          </w:tcPr>
          <w:p>
            <w:pPr>
              <w:spacing w:after="60" w:before="60"/>
            </w:pPr>
            <w:r>
              <w:t xml:space="preserve"/>
            </w:r>
          </w:p>
        </w:tc>
        <w:tc>
          <w:tcPr>
            <w:shd w:fill="f4f6f1" w:val="clear"/>
            <w:tcMar>
              <w:top w:type="dxa" w:w="80"/>
              <w:left w:type="dxa" w:w="120"/>
              <w:bottom w:type="dxa" w:w="80"/>
              <w:right w:type="dxa" w:w="120"/>
            </w:tcMar>
          </w:tcPr>
          <w:p>
            <w:pPr>
              <w:spacing w:after="60" w:before="60"/>
            </w:pPr>
            <w:r>
              <w:t xml:space="preserve"/>
            </w:r>
          </w:p>
        </w:tc>
      </w:tr>
      <w:tr>
        <w:tc>
          <w:tcPr>
            <w:tcMar>
              <w:top w:type="dxa" w:w="80"/>
              <w:left w:type="dxa" w:w="120"/>
              <w:bottom w:type="dxa" w:w="80"/>
              <w:right w:type="dxa" w:w="120"/>
            </w:tcMar>
          </w:tcPr>
          <w:p>
            <w:pPr>
              <w:spacing w:after="60" w:before="60"/>
            </w:pPr>
            <w:r>
              <w:rPr>
                <w:b/>
                <w:bCs/>
              </w:rPr>
              <w:t xml:space="preserve">Net</w:t>
            </w:r>
          </w:p>
        </w:tc>
        <w:tc>
          <w:tcPr>
            <w:tcMar>
              <w:top w:type="dxa" w:w="80"/>
              <w:left w:type="dxa" w:w="120"/>
              <w:bottom w:type="dxa" w:w="80"/>
              <w:right w:type="dxa" w:w="120"/>
            </w:tcMar>
          </w:tcPr>
          <w:p>
            <w:pPr>
              <w:spacing w:after="60" w:before="60"/>
            </w:pPr>
            <w:r>
              <w:t xml:space="preserve"/>
            </w:r>
          </w:p>
        </w:tc>
        <w:tc>
          <w:tcPr>
            <w:tcMar>
              <w:top w:type="dxa" w:w="80"/>
              <w:left w:type="dxa" w:w="120"/>
              <w:bottom w:type="dxa" w:w="80"/>
              <w:right w:type="dxa" w:w="120"/>
            </w:tcMar>
          </w:tcPr>
          <w:p>
            <w:pPr>
              <w:spacing w:after="60" w:before="60"/>
            </w:pPr>
            <w:r>
              <w:t xml:space="preserve"/>
            </w:r>
          </w:p>
        </w:tc>
        <w:tc>
          <w:tcPr>
            <w:tcMar>
              <w:top w:type="dxa" w:w="80"/>
              <w:left w:type="dxa" w:w="120"/>
              <w:bottom w:type="dxa" w:w="80"/>
              <w:right w:type="dxa" w:w="120"/>
            </w:tcMar>
          </w:tcPr>
          <w:p>
            <w:pPr>
              <w:spacing w:after="60" w:before="60"/>
            </w:pPr>
            <w:r>
              <w:t xml:space="preserve"/>
            </w:r>
          </w:p>
        </w:tc>
        <w:tc>
          <w:tcPr>
            <w:tcMar>
              <w:top w:type="dxa" w:w="80"/>
              <w:left w:type="dxa" w:w="120"/>
              <w:bottom w:type="dxa" w:w="80"/>
              <w:right w:type="dxa" w:w="120"/>
            </w:tcMar>
          </w:tcPr>
          <w:p>
            <w:pPr>
              <w:spacing w:after="60" w:before="60"/>
            </w:pPr>
            <w:r>
              <w:t xml:space="preserve"/>
            </w:r>
          </w:p>
        </w:tc>
      </w:tr>
      <w:tr>
        <w:tc>
          <w:tcPr>
            <w:shd w:fill="f4f6f1" w:val="clear"/>
            <w:tcMar>
              <w:top w:type="dxa" w:w="80"/>
              <w:left w:type="dxa" w:w="120"/>
              <w:bottom w:type="dxa" w:w="80"/>
              <w:right w:type="dxa" w:w="120"/>
            </w:tcMar>
          </w:tcPr>
          <w:p>
            <w:pPr>
              <w:spacing w:after="60" w:before="60"/>
            </w:pPr>
            <w:r>
              <w:rPr>
                <w:b/>
                <w:bCs/>
              </w:rPr>
              <w:t xml:space="preserve">Cash on Hand</w:t>
            </w:r>
          </w:p>
        </w:tc>
        <w:tc>
          <w:tcPr>
            <w:shd w:fill="f4f6f1" w:val="clear"/>
            <w:tcMar>
              <w:top w:type="dxa" w:w="80"/>
              <w:left w:type="dxa" w:w="120"/>
              <w:bottom w:type="dxa" w:w="80"/>
              <w:right w:type="dxa" w:w="120"/>
            </w:tcMar>
          </w:tcPr>
          <w:p>
            <w:pPr>
              <w:spacing w:after="60" w:before="60"/>
            </w:pPr>
            <w:r>
              <w:t xml:space="preserve"/>
            </w:r>
          </w:p>
        </w:tc>
        <w:tc>
          <w:tcPr>
            <w:shd w:fill="f4f6f1" w:val="clear"/>
            <w:tcMar>
              <w:top w:type="dxa" w:w="80"/>
              <w:left w:type="dxa" w:w="120"/>
              <w:bottom w:type="dxa" w:w="80"/>
              <w:right w:type="dxa" w:w="120"/>
            </w:tcMar>
          </w:tcPr>
          <w:p>
            <w:pPr>
              <w:spacing w:after="60" w:before="60"/>
            </w:pPr>
            <w:r>
              <w:t xml:space="preserve"/>
            </w:r>
          </w:p>
        </w:tc>
        <w:tc>
          <w:tcPr>
            <w:shd w:fill="f4f6f1" w:val="clear"/>
            <w:tcMar>
              <w:top w:type="dxa" w:w="80"/>
              <w:left w:type="dxa" w:w="120"/>
              <w:bottom w:type="dxa" w:w="80"/>
              <w:right w:type="dxa" w:w="120"/>
            </w:tcMar>
          </w:tcPr>
          <w:p>
            <w:pPr>
              <w:spacing w:after="60" w:before="60"/>
            </w:pPr>
            <w:r>
              <w:t xml:space="preserve"/>
            </w:r>
          </w:p>
        </w:tc>
        <w:tc>
          <w:tcPr>
            <w:shd w:fill="f4f6f1" w:val="clear"/>
            <w:tcMar>
              <w:top w:type="dxa" w:w="80"/>
              <w:left w:type="dxa" w:w="120"/>
              <w:bottom w:type="dxa" w:w="80"/>
              <w:right w:type="dxa" w:w="120"/>
            </w:tcMar>
          </w:tcPr>
          <w:p>
            <w:pPr>
              <w:spacing w:after="60" w:before="60"/>
            </w:pPr>
            <w:r>
              <w:t xml:space="preserve"/>
            </w:r>
          </w:p>
        </w:tc>
      </w:tr>
    </w:tbl>
    <w:p>
      <w:pPr>
        <w:spacing w:after="80"/>
      </w:pPr>
    </w:p>
    <w:p>
      <w:pPr>
        <w:spacing w:after="60"/>
      </w:pPr>
    </w:p>
    <w:p>
      <w:pPr>
        <w:spacing w:after="80" w:before="40"/>
      </w:pPr>
      <w:r>
        <w:rPr>
          <w:b/>
          <w:bCs/>
        </w:rPr>
        <w:t xml:space="preserve">Flag anything more than 15% off budget — no surprises for the board.</w:t>
      </w:r>
    </w:p>
    <w:p>
      <w:pPr>
        <w:spacing w:after="60"/>
      </w:pPr>
    </w:p>
    <w:p>
      <w:pPr>
        <w:spacing w:after="80" w:before="40"/>
      </w:pPr>
      <w:r>
        <w:rPr>
          <w:b/>
          <w:bCs/>
        </w:rPr>
        <w:t xml:space="preserve">Reserve check:</w:t>
      </w:r>
      <w:r>
        <w:t xml:space="preserve"> KYNORML's target reserve is 3 months of operating expenses, held in a separate account, untouched except for genuine emergency. Working from a baseline of roughly $2,000/month in operating expenses, the reserve target is roughly </w:t>
      </w:r>
      <w:r>
        <w:rPr>
          <w:b/>
          <w:bCs/>
        </w:rPr>
        <w:t xml:space="preserve">$6,000</w:t>
      </w:r>
      <w:r>
        <w:t xml:space="preserve">. Note where the chapter stands against that target every month — this is one of the fastest ways to see financial health trending in the wrong direction before it's a crisis. </w:t>
      </w:r>
      <w:r>
        <w:rPr>
          <w:b/>
          <w:bCs/>
        </w:rPr>
        <w:t xml:space="preserve">Confirm the actual current monthly operating cost and reserve balance with the treasurer/books during transition — the $2,000 figure is a working baseline from the revenue planning docs, not a confirmed actual.</w:t>
      </w:r>
    </w:p>
    <w:p>
      <w:pPr>
        <w:spacing w:after="60"/>
      </w:pPr>
    </w:p>
    <w:p>
      <w:pPr>
        <w:spacing w:after="80" w:before="40"/>
      </w:pPr>
      <w:r>
        <w:rPr>
          <w:b/>
          <w:bCs/>
        </w:rPr>
        <w:t xml:space="preserve">What "on track" looks like, by revenue stream — the monthly targets this snapshot should be measured against:</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bottom w:type="dxa" w:w="80"/>
        </w:tblCellMar>
      </w:tblPr>
      <w:tblGrid>
        <w:gridCol w:w="100"/>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rPr>
              <w:t xml:space="preserve">Stream</w:t>
            </w:r>
          </w:p>
        </w:tc>
        <w:tc>
          <w:tcPr>
            <w:shd w:fill="2d5016" w:color="FFFFFF" w:val="clear"/>
            <w:tcMar>
              <w:top w:type="dxa" w:w="80"/>
              <w:left w:type="dxa" w:w="120"/>
              <w:bottom w:type="dxa" w:w="80"/>
              <w:right w:type="dxa" w:w="120"/>
            </w:tcMar>
          </w:tcPr>
          <w:p>
            <w:pPr>
              <w:spacing w:after="60" w:before="60"/>
            </w:pPr>
            <w:r>
              <w:rPr>
                <w:b/>
                <w:bCs/>
                <w:color w:val="FFFFFF"/>
              </w:rPr>
              <w:t xml:space="preserve">Monthly Target (Conservative)</w:t>
            </w:r>
          </w:p>
        </w:tc>
        <w:tc>
          <w:tcPr>
            <w:shd w:fill="2d5016" w:color="FFFFFF" w:val="clear"/>
            <w:tcMar>
              <w:top w:type="dxa" w:w="80"/>
              <w:left w:type="dxa" w:w="120"/>
              <w:bottom w:type="dxa" w:w="80"/>
              <w:right w:type="dxa" w:w="120"/>
            </w:tcMar>
          </w:tcPr>
          <w:p>
            <w:pPr>
              <w:spacing w:after="60" w:before="60"/>
            </w:pPr>
            <w:r>
              <w:rPr>
                <w:b/>
                <w:bCs/>
                <w:color w:val="FFFFFF"/>
              </w:rPr>
              <w:t xml:space="preserve">How It's Built</w:t>
            </w:r>
          </w:p>
        </w:tc>
      </w:tr>
      <w:tr>
        <w:tc>
          <w:tcPr>
            <w:tcMar>
              <w:top w:type="dxa" w:w="80"/>
              <w:left w:type="dxa" w:w="120"/>
              <w:bottom w:type="dxa" w:w="80"/>
              <w:right w:type="dxa" w:w="120"/>
            </w:tcMar>
          </w:tcPr>
          <w:p>
            <w:pPr>
              <w:spacing w:after="60" w:before="60"/>
            </w:pPr>
            <w:r>
              <w:t xml:space="preserve">Directory listings</w:t>
            </w:r>
          </w:p>
        </w:tc>
        <w:tc>
          <w:tcPr>
            <w:tcMar>
              <w:top w:type="dxa" w:w="80"/>
              <w:left w:type="dxa" w:w="120"/>
              <w:bottom w:type="dxa" w:w="80"/>
              <w:right w:type="dxa" w:w="120"/>
            </w:tcMar>
          </w:tcPr>
          <w:p>
            <w:pPr>
              <w:spacing w:after="60" w:before="60"/>
            </w:pPr>
            <w:r>
              <w:t xml:space="preserve">~$750/month</w:t>
            </w:r>
          </w:p>
        </w:tc>
        <w:tc>
          <w:tcPr>
            <w:tcMar>
              <w:top w:type="dxa" w:w="80"/>
              <w:left w:type="dxa" w:w="120"/>
              <w:bottom w:type="dxa" w:w="80"/>
              <w:right w:type="dxa" w:w="120"/>
            </w:tcMar>
          </w:tcPr>
          <w:p>
            <w:pPr>
              <w:spacing w:after="60" w:before="60"/>
            </w:pPr>
            <w:r>
              <w:t xml:space="preserve">10 listings × ~$75/month — see Track 1 - Email Campaign System Campaign 4</w:t>
            </w:r>
          </w:p>
        </w:tc>
      </w:tr>
      <w:tr>
        <w:tc>
          <w:tcPr>
            <w:shd w:fill="f4f6f1" w:val="clear"/>
            <w:tcMar>
              <w:top w:type="dxa" w:w="80"/>
              <w:left w:type="dxa" w:w="120"/>
              <w:bottom w:type="dxa" w:w="80"/>
              <w:right w:type="dxa" w:w="120"/>
            </w:tcMar>
          </w:tcPr>
          <w:p>
            <w:pPr>
              <w:spacing w:after="60" w:before="60"/>
            </w:pPr>
            <w:r>
              <w:t xml:space="preserve">Memberships</w:t>
            </w:r>
          </w:p>
        </w:tc>
        <w:tc>
          <w:tcPr>
            <w:shd w:fill="f4f6f1" w:val="clear"/>
            <w:tcMar>
              <w:top w:type="dxa" w:w="80"/>
              <w:left w:type="dxa" w:w="120"/>
              <w:bottom w:type="dxa" w:w="80"/>
              <w:right w:type="dxa" w:w="120"/>
            </w:tcMar>
          </w:tcPr>
          <w:p>
            <w:pPr>
              <w:spacing w:after="60" w:before="60"/>
            </w:pPr>
            <w:r>
              <w:t xml:space="preserve">~$750/month</w:t>
            </w:r>
          </w:p>
        </w:tc>
        <w:tc>
          <w:tcPr>
            <w:shd w:fill="f4f6f1" w:val="clear"/>
            <w:tcMar>
              <w:top w:type="dxa" w:w="80"/>
              <w:left w:type="dxa" w:w="120"/>
              <w:bottom w:type="dxa" w:w="80"/>
              <w:right w:type="dxa" w:w="120"/>
            </w:tcMar>
          </w:tcPr>
          <w:p>
            <w:pPr>
              <w:spacing w:after="60" w:before="60"/>
            </w:pPr>
            <w:r>
              <w:t xml:space="preserve">30 members × $25/month tier (or annual $250/year tier) — see Zeffy Membership Setup Guide</w:t>
            </w:r>
          </w:p>
        </w:tc>
      </w:tr>
      <w:tr>
        <w:tc>
          <w:tcPr>
            <w:tcMar>
              <w:top w:type="dxa" w:w="80"/>
              <w:left w:type="dxa" w:w="120"/>
              <w:bottom w:type="dxa" w:w="80"/>
              <w:right w:type="dxa" w:w="120"/>
            </w:tcMar>
          </w:tcPr>
          <w:p>
            <w:pPr>
              <w:spacing w:after="60" w:before="60"/>
            </w:pPr>
            <w:r>
              <w:t xml:space="preserve">KYCannaCon sponsorships</w:t>
            </w:r>
          </w:p>
        </w:tc>
        <w:tc>
          <w:tcPr>
            <w:tcMar>
              <w:top w:type="dxa" w:w="80"/>
              <w:left w:type="dxa" w:w="120"/>
              <w:bottom w:type="dxa" w:w="80"/>
              <w:right w:type="dxa" w:w="120"/>
            </w:tcMar>
          </w:tcPr>
          <w:p>
            <w:pPr>
              <w:spacing w:after="60" w:before="60"/>
            </w:pPr>
            <w:r>
              <w:t xml:space="preserve">$8,500+ upfront, seasonal (Nov–March)</w:t>
            </w:r>
          </w:p>
        </w:tc>
        <w:tc>
          <w:tcPr>
            <w:tcMar>
              <w:top w:type="dxa" w:w="80"/>
              <w:left w:type="dxa" w:w="120"/>
              <w:bottom w:type="dxa" w:w="80"/>
              <w:right w:type="dxa" w:w="120"/>
            </w:tcMar>
          </w:tcPr>
          <w:p>
            <w:pPr>
              <w:spacing w:after="60" w:before="60"/>
            </w:pPr>
            <w:r>
              <w:t xml:space="preserve">Presenting Sponsor $8,500, Session Sponsor $3,000, Networking Reception $2,500, Community $1,000 — see KYCannaCon Conference Playbook</w:t>
            </w:r>
          </w:p>
        </w:tc>
      </w:tr>
      <w:tr>
        <w:tc>
          <w:tcPr>
            <w:shd w:fill="f4f6f1" w:val="clear"/>
            <w:tcMar>
              <w:top w:type="dxa" w:w="80"/>
              <w:left w:type="dxa" w:w="120"/>
              <w:bottom w:type="dxa" w:w="80"/>
              <w:right w:type="dxa" w:w="120"/>
            </w:tcMar>
          </w:tcPr>
          <w:p>
            <w:pPr>
              <w:spacing w:after="60" w:before="60"/>
            </w:pPr>
            <w:r>
              <w:rPr>
                <w:b/>
                <w:bCs/>
              </w:rPr>
              <w:t xml:space="preserve">Recurring monthly floor (directory + membership)</w:t>
            </w:r>
          </w:p>
        </w:tc>
        <w:tc>
          <w:tcPr>
            <w:shd w:fill="f4f6f1" w:val="clear"/>
            <w:tcMar>
              <w:top w:type="dxa" w:w="80"/>
              <w:left w:type="dxa" w:w="120"/>
              <w:bottom w:type="dxa" w:w="80"/>
              <w:right w:type="dxa" w:w="120"/>
            </w:tcMar>
          </w:tcPr>
          <w:p>
            <w:pPr>
              <w:spacing w:after="60" w:before="60"/>
            </w:pPr>
            <w:r>
              <w:rPr>
                <w:b/>
                <w:bCs/>
              </w:rPr>
              <w:t xml:space="preserve">~$1,500/month</w:t>
            </w:r>
          </w:p>
        </w:tc>
        <w:tc>
          <w:tcPr>
            <w:shd w:fill="f4f6f1" w:val="clear"/>
            <w:tcMar>
              <w:top w:type="dxa" w:w="80"/>
              <w:left w:type="dxa" w:w="120"/>
              <w:bottom w:type="dxa" w:w="80"/>
              <w:right w:type="dxa" w:w="120"/>
            </w:tcMar>
          </w:tcPr>
          <w:p>
            <w:pPr>
              <w:spacing w:after="60" w:before="60"/>
            </w:pPr>
            <w:r>
              <w:t xml:space="preserve">This is the number that should be growing steadily, month over month — it's the base the rest of the revenue stack sits on</w:t>
            </w:r>
          </w:p>
        </w:tc>
      </w:tr>
    </w:tbl>
    <w:p>
      <w:pPr>
        <w:spacing w:after="80"/>
      </w:pPr>
    </w:p>
    <w:p>
      <w:pPr>
        <w:spacing w:after="60"/>
      </w:pPr>
    </w:p>
    <w:p>
      <w:pPr>
        <w:spacing w:after="80" w:before="40"/>
      </w:pPr>
      <w:r>
        <w:t xml:space="preserve">These targets come from Weekly Action Plan and Revenue Action Dashboard — both should be checked alongside this snapshot to see whether the chapter is tracking toward, ahead of, or behind plan.</w:t>
      </w:r>
    </w:p>
    <w:p>
      <w:pPr>
        <w:spacing w:after="60"/>
      </w:pPr>
    </w:p>
    <w:p>
      <w:pPr>
        <w:spacing w:after="80" w:before="40"/>
      </w:pPr>
      <w:r>
        <w:t xml:space="preserve">Full detail and the annual budget template: Financial Box</w:t>
      </w:r>
    </w:p>
    <w:p>
      <w:pPr>
        <w:spacing w:after="60"/>
      </w:pPr>
    </w:p>
    <w:p>
      <w:pPr>
        <w:pBdr>
          <w:bottom w:val="single" w:color="cccccc" w:sz="4"/>
        </w:pBdr>
        <w:spacing w:after="160" w:before="160"/>
      </w:pPr>
      <w:r>
        <w:t xml:space="preserve"/>
      </w:r>
    </w:p>
    <w:p>
      <w:pPr>
        <w:spacing w:after="60"/>
      </w:pPr>
    </w:p>
    <w:p>
      <w:pPr>
        <w:pBdr>
          <w:bottom w:val="single" w:color="cccccc" w:sz="6"/>
        </w:pBdr>
        <w:spacing w:after="120" w:before="320"/>
      </w:pPr>
      <w:r>
        <w:rPr>
          <w:b/>
          <w:bCs/>
          <w:color w:val="2d5016"/>
          <w:sz w:val="30"/>
          <w:szCs w:val="30"/>
        </w:rPr>
        <w:t xml:space="preserve">Step 2 — Monthly KPI Pull</w:t>
      </w:r>
    </w:p>
    <w:p>
      <w:pPr>
        <w:spacing w:after="60"/>
      </w:pPr>
    </w:p>
    <w:p>
      <w:pPr>
        <w:spacing w:after="80" w:before="40"/>
      </w:pPr>
      <w:r>
        <w:t xml:space="preserve">Pull these numbers at the end of every month — 15 minutes, same day as the financial snapshot so they tell one story together.</w:t>
      </w:r>
    </w:p>
    <w:p>
      <w:pPr>
        <w:spacing w:after="60"/>
      </w:pPr>
    </w:p>
    <w:p>
      <w:pPr>
        <w:spacing w:after="80" w:before="40"/>
      </w:pPr>
      <w:r>
        <w:rPr>
          <w:b/>
          <w:bCs/>
        </w:rPr>
        <w:t xml:space="preserve">Audience + List:</w:t>
      </w:r>
      <w:r>
        <w:t xml:space="preserve"> email list size, open rate (target ≥25%), click rate (target ≥3%), social followers, website visitors, directory page views</w:t>
      </w:r>
    </w:p>
    <w:p>
      <w:pPr>
        <w:spacing w:after="60"/>
      </w:pPr>
    </w:p>
    <w:p>
      <w:pPr>
        <w:spacing w:after="80" w:before="40"/>
      </w:pPr>
      <w:r>
        <w:rPr>
          <w:b/>
          <w:bCs/>
        </w:rPr>
        <w:t xml:space="preserve">Revenue by stream:</w:t>
      </w:r>
      <w:r>
        <w:t xml:space="preserve"> membership, donations, directory listings, merch, events, grants</w:t>
      </w:r>
    </w:p>
    <w:p>
      <w:pPr>
        <w:spacing w:after="60"/>
      </w:pPr>
    </w:p>
    <w:p>
      <w:pPr>
        <w:spacing w:after="80" w:before="40"/>
      </w:pPr>
      <w:r>
        <w:rPr>
          <w:b/>
          <w:bCs/>
        </w:rPr>
        <w:t xml:space="preserve">Membership:</w:t>
      </w:r>
      <w:r>
        <w:t xml:space="preserve"> active members, new members, lapsed members, net change</w:t>
      </w:r>
    </w:p>
    <w:p>
      <w:pPr>
        <w:spacing w:after="60"/>
      </w:pPr>
    </w:p>
    <w:p>
      <w:pPr>
        <w:spacing w:after="80" w:before="40"/>
      </w:pPr>
      <w:r>
        <w:rPr>
          <w:b/>
          <w:bCs/>
        </w:rPr>
        <w:t xml:space="preserve">Advocacy activity:</w:t>
      </w:r>
      <w:r>
        <w:t xml:space="preserve"> action alerts sent, legislative contacts made, testimonies submitted, press releases issued, media mentions, events/appearances</w:t>
      </w:r>
    </w:p>
    <w:p>
      <w:pPr>
        <w:spacing w:after="60"/>
      </w:pPr>
    </w:p>
    <w:p>
      <w:pPr>
        <w:spacing w:after="80" w:before="40"/>
      </w:pPr>
      <w:r>
        <w:t xml:space="preserve">Full tracker and health indicator scale (green/yellow/red): Chapter Health Dashboard</w:t>
      </w:r>
    </w:p>
    <w:p>
      <w:pPr>
        <w:spacing w:after="60"/>
      </w:pPr>
    </w:p>
    <w:p>
      <w:pPr>
        <w:spacing w:after="80" w:before="40"/>
      </w:pPr>
      <w:r>
        <w:rPr>
          <w:b/>
          <w:bCs/>
        </w:rPr>
        <w:t xml:space="preserve">The fast read:</w:t>
      </w:r>
      <w:r>
        <w:t xml:space="preserve"> if cash, list growth, membership, and revenue are all green, the chapter is healthy. If two or more go yellow at the same time, that's the trigger to dig in — don't wait for the quarterly review.</w:t>
      </w:r>
    </w:p>
    <w:p>
      <w:pPr>
        <w:spacing w:after="60"/>
      </w:pPr>
    </w:p>
    <w:p>
      <w:pPr>
        <w:pBdr>
          <w:bottom w:val="single" w:color="cccccc" w:sz="4"/>
        </w:pBdr>
        <w:spacing w:after="160" w:before="160"/>
      </w:pPr>
      <w:r>
        <w:t xml:space="preserve"/>
      </w:r>
    </w:p>
    <w:p>
      <w:pPr>
        <w:spacing w:after="60"/>
      </w:pPr>
    </w:p>
    <w:p>
      <w:pPr>
        <w:pBdr>
          <w:bottom w:val="single" w:color="cccccc" w:sz="6"/>
        </w:pBdr>
        <w:spacing w:after="120" w:before="320"/>
      </w:pPr>
      <w:r>
        <w:rPr>
          <w:b/>
          <w:bCs/>
          <w:color w:val="2d5016"/>
          <w:sz w:val="30"/>
          <w:szCs w:val="30"/>
        </w:rPr>
        <w:t xml:space="preserve">Step 3 — Fundraising and Stewardship Cadence</w:t>
      </w:r>
    </w:p>
    <w:p>
      <w:pPr>
        <w:spacing w:after="60"/>
      </w:pPr>
    </w:p>
    <w:p>
      <w:pPr>
        <w:spacing w:after="80" w:before="40"/>
      </w:pPr>
      <w:r>
        <w:t xml:space="preserve">This is the piece that doesn't live in any template — it's the actual monthly rhythm of keeping money moving in. Donations are not the lead engine here (the list is an advocacy list, not a donor list — see Track 1 - Email Campaign System), so this cadence is built around the things that actually convert: memberships, directory listings, sponsorships, and the few donation moments that work.</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bottom w:type="dxa" w:w="80"/>
        </w:tblCellMar>
      </w:tblPr>
      <w:tblGrid>
        <w:gridCol w:w="100"/>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rPr>
              <w:t xml:space="preserve">Week</w:t>
            </w:r>
          </w:p>
        </w:tc>
        <w:tc>
          <w:tcPr>
            <w:shd w:fill="2d5016" w:color="FFFFFF" w:val="clear"/>
            <w:tcMar>
              <w:top w:type="dxa" w:w="80"/>
              <w:left w:type="dxa" w:w="120"/>
              <w:bottom w:type="dxa" w:w="80"/>
              <w:right w:type="dxa" w:w="120"/>
            </w:tcMar>
          </w:tcPr>
          <w:p>
            <w:pPr>
              <w:spacing w:after="60" w:before="60"/>
            </w:pPr>
            <w:r>
              <w:rPr>
                <w:b/>
                <w:bCs/>
                <w:color w:val="FFFFFF"/>
              </w:rPr>
              <w:t xml:space="preserve">Fundraising Action</w:t>
            </w:r>
          </w:p>
        </w:tc>
        <w:tc>
          <w:tcPr>
            <w:shd w:fill="2d5016" w:color="FFFFFF" w:val="clear"/>
            <w:tcMar>
              <w:top w:type="dxa" w:w="80"/>
              <w:left w:type="dxa" w:w="120"/>
              <w:bottom w:type="dxa" w:w="80"/>
              <w:right w:type="dxa" w:w="120"/>
            </w:tcMar>
          </w:tcPr>
          <w:p>
            <w:pPr>
              <w:spacing w:after="60" w:before="60"/>
            </w:pPr>
            <w:r>
              <w:rPr>
                <w:b/>
                <w:bCs/>
                <w:color w:val="FFFFFF"/>
              </w:rPr>
              <w:t xml:space="preserve">Notes</w:t>
            </w:r>
          </w:p>
        </w:tc>
      </w:tr>
      <w:tr>
        <w:tc>
          <w:tcPr>
            <w:tcMar>
              <w:top w:type="dxa" w:w="80"/>
              <w:left w:type="dxa" w:w="120"/>
              <w:bottom w:type="dxa" w:w="80"/>
              <w:right w:type="dxa" w:w="120"/>
            </w:tcMar>
          </w:tcPr>
          <w:p>
            <w:pPr>
              <w:spacing w:after="60" w:before="60"/>
            </w:pPr>
            <w:r>
              <w:rPr>
                <w:b/>
                <w:bCs/>
              </w:rPr>
              <w:t xml:space="preserve">Week 1</w:t>
            </w:r>
          </w:p>
        </w:tc>
        <w:tc>
          <w:tcPr>
            <w:tcMar>
              <w:top w:type="dxa" w:w="80"/>
              <w:left w:type="dxa" w:w="120"/>
              <w:bottom w:type="dxa" w:w="80"/>
              <w:right w:type="dxa" w:w="120"/>
            </w:tcMar>
          </w:tcPr>
          <w:p>
            <w:pPr>
              <w:spacing w:after="60" w:before="60"/>
            </w:pPr>
            <w:r>
              <w:t xml:space="preserve">Check membership pipeline — new signups, lapsed renewals, non-opener follow-ups due</w:t>
            </w:r>
          </w:p>
        </w:tc>
        <w:tc>
          <w:tcPr>
            <w:tcMar>
              <w:top w:type="dxa" w:w="80"/>
              <w:left w:type="dxa" w:w="120"/>
              <w:bottom w:type="dxa" w:w="80"/>
              <w:right w:type="dxa" w:w="120"/>
            </w:tcMar>
          </w:tcPr>
          <w:p>
            <w:pPr>
              <w:spacing w:after="60" w:before="60"/>
            </w:pPr>
            <w:r>
              <w:t xml:space="preserve">Use Campaign 5 (Membership Drive) follow-up sequence in Track 1 - Email Campaign System</w:t>
            </w:r>
          </w:p>
        </w:tc>
      </w:tr>
      <w:tr>
        <w:tc>
          <w:tcPr>
            <w:shd w:fill="f4f6f1" w:val="clear"/>
            <w:tcMar>
              <w:top w:type="dxa" w:w="80"/>
              <w:left w:type="dxa" w:w="120"/>
              <w:bottom w:type="dxa" w:w="80"/>
              <w:right w:type="dxa" w:w="120"/>
            </w:tcMar>
          </w:tcPr>
          <w:p>
            <w:pPr>
              <w:spacing w:after="60" w:before="60"/>
            </w:pPr>
            <w:r>
              <w:rPr>
                <w:b/>
                <w:bCs/>
              </w:rPr>
              <w:t xml:space="preserve">Week 1</w:t>
            </w:r>
          </w:p>
        </w:tc>
        <w:tc>
          <w:tcPr>
            <w:shd w:fill="f4f6f1" w:val="clear"/>
            <w:tcMar>
              <w:top w:type="dxa" w:w="80"/>
              <w:left w:type="dxa" w:w="120"/>
              <w:bottom w:type="dxa" w:w="80"/>
              <w:right w:type="dxa" w:w="120"/>
            </w:tcMar>
          </w:tcPr>
          <w:p>
            <w:pPr>
              <w:spacing w:after="60" w:before="60"/>
            </w:pPr>
            <w:r>
              <w:t xml:space="preserve">Check directory listing pipeline — outreach due, conversions to log, renewal dates approaching</w:t>
            </w:r>
          </w:p>
        </w:tc>
        <w:tc>
          <w:tcPr>
            <w:shd w:fill="f4f6f1" w:val="clear"/>
            <w:tcMar>
              <w:top w:type="dxa" w:w="80"/>
              <w:left w:type="dxa" w:w="120"/>
              <w:bottom w:type="dxa" w:w="80"/>
              <w:right w:type="dxa" w:w="120"/>
            </w:tcMar>
          </w:tcPr>
          <w:p>
            <w:pPr>
              <w:spacing w:after="60" w:before="60"/>
            </w:pPr>
            <w:r>
              <w:t xml:space="preserve">Campaign 4 (Directory Featured Listing Offer)</w:t>
            </w:r>
          </w:p>
        </w:tc>
      </w:tr>
      <w:tr>
        <w:tc>
          <w:tcPr>
            <w:tcMar>
              <w:top w:type="dxa" w:w="80"/>
              <w:left w:type="dxa" w:w="120"/>
              <w:bottom w:type="dxa" w:w="80"/>
              <w:right w:type="dxa" w:w="120"/>
            </w:tcMar>
          </w:tcPr>
          <w:p>
            <w:pPr>
              <w:spacing w:after="60" w:before="60"/>
            </w:pPr>
            <w:r>
              <w:rPr>
                <w:b/>
                <w:bCs/>
              </w:rPr>
              <w:t xml:space="preserve">Week 2</w:t>
            </w:r>
          </w:p>
        </w:tc>
        <w:tc>
          <w:tcPr>
            <w:tcMar>
              <w:top w:type="dxa" w:w="80"/>
              <w:left w:type="dxa" w:w="120"/>
              <w:bottom w:type="dxa" w:w="80"/>
              <w:right w:type="dxa" w:w="120"/>
            </w:tcMar>
          </w:tcPr>
          <w:p>
            <w:pPr>
              <w:spacing w:after="60" w:before="60"/>
            </w:pPr>
            <w:r>
              <w:t xml:space="preserve">Sponsor pipeline touch — anyone in conversation gets a check-in; anyone who went quiet gets one follow-up, then moves to "dormant"</w:t>
            </w:r>
          </w:p>
        </w:tc>
        <w:tc>
          <w:tcPr>
            <w:tcMar>
              <w:top w:type="dxa" w:w="80"/>
              <w:left w:type="dxa" w:w="120"/>
              <w:bottom w:type="dxa" w:w="80"/>
              <w:right w:type="dxa" w:w="120"/>
            </w:tcMar>
          </w:tcPr>
          <w:p>
            <w:pPr>
              <w:spacing w:after="60" w:before="60"/>
            </w:pPr>
            <w:r>
              <w:t xml:space="preserve">See KYCannaCon Conference Playbook — Sponsorship System</w:t>
            </w:r>
          </w:p>
        </w:tc>
      </w:tr>
      <w:tr>
        <w:tc>
          <w:tcPr>
            <w:shd w:fill="f4f6f1" w:val="clear"/>
            <w:tcMar>
              <w:top w:type="dxa" w:w="80"/>
              <w:left w:type="dxa" w:w="120"/>
              <w:bottom w:type="dxa" w:w="80"/>
              <w:right w:type="dxa" w:w="120"/>
            </w:tcMar>
          </w:tcPr>
          <w:p>
            <w:pPr>
              <w:spacing w:after="60" w:before="60"/>
            </w:pPr>
            <w:r>
              <w:rPr>
                <w:b/>
                <w:bCs/>
              </w:rPr>
              <w:t xml:space="preserve">Week 3</w:t>
            </w:r>
          </w:p>
        </w:tc>
        <w:tc>
          <w:tcPr>
            <w:shd w:fill="f4f6f1" w:val="clear"/>
            <w:tcMar>
              <w:top w:type="dxa" w:w="80"/>
              <w:left w:type="dxa" w:w="120"/>
              <w:bottom w:type="dxa" w:w="80"/>
              <w:right w:type="dxa" w:w="120"/>
            </w:tcMar>
          </w:tcPr>
          <w:p>
            <w:pPr>
              <w:spacing w:after="60" w:before="60"/>
            </w:pPr>
            <w:r>
              <w:t xml:space="preserve">Donor cultivation (off-season months only — see Marketing Master Calendar for which months)</w:t>
            </w:r>
          </w:p>
        </w:tc>
        <w:tc>
          <w:tcPr>
            <w:shd w:fill="f4f6f1" w:val="clear"/>
            <w:tcMar>
              <w:top w:type="dxa" w:w="80"/>
              <w:left w:type="dxa" w:w="120"/>
              <w:bottom w:type="dxa" w:w="80"/>
              <w:right w:type="dxa" w:w="120"/>
            </w:tcMar>
          </w:tcPr>
          <w:p>
            <w:pPr>
              <w:spacing w:after="60" w:before="60"/>
            </w:pPr>
            <w:r>
              <w:t xml:space="preserve">Reserve donation asks for matching-gift moments or genuine urgency — cold asks underperform against this list</w:t>
            </w:r>
          </w:p>
        </w:tc>
      </w:tr>
      <w:tr>
        <w:tc>
          <w:tcPr>
            <w:tcMar>
              <w:top w:type="dxa" w:w="80"/>
              <w:left w:type="dxa" w:w="120"/>
              <w:bottom w:type="dxa" w:w="80"/>
              <w:right w:type="dxa" w:w="120"/>
            </w:tcMar>
          </w:tcPr>
          <w:p>
            <w:pPr>
              <w:spacing w:after="60" w:before="60"/>
            </w:pPr>
            <w:r>
              <w:rPr>
                <w:b/>
                <w:bCs/>
              </w:rPr>
              <w:t xml:space="preserve">Week 4</w:t>
            </w:r>
          </w:p>
        </w:tc>
        <w:tc>
          <w:tcPr>
            <w:tcMar>
              <w:top w:type="dxa" w:w="80"/>
              <w:left w:type="dxa" w:w="120"/>
              <w:bottom w:type="dxa" w:w="80"/>
              <w:right w:type="dxa" w:w="120"/>
            </w:tcMar>
          </w:tcPr>
          <w:p>
            <w:pPr>
              <w:spacing w:after="60" w:before="60"/>
            </w:pPr>
            <w:r>
              <w:t xml:space="preserve">Update the revenue scorecard — actuals against the monthly targets in Revenue Action Dashboard</w:t>
            </w:r>
          </w:p>
        </w:tc>
        <w:tc>
          <w:tcPr>
            <w:tcMar>
              <w:top w:type="dxa" w:w="80"/>
              <w:left w:type="dxa" w:w="120"/>
              <w:bottom w:type="dxa" w:w="80"/>
              <w:right w:type="dxa" w:w="120"/>
            </w:tcMar>
          </w:tcPr>
          <w:p>
            <w:pPr>
              <w:spacing w:after="60" w:before="60"/>
            </w:pPr>
            <w:r>
              <w:t xml:space="preserve">This is what goes into the board packet</w:t>
            </w:r>
          </w:p>
        </w:tc>
      </w:tr>
    </w:tbl>
    <w:p>
      <w:pPr>
        <w:spacing w:after="80"/>
      </w:pPr>
    </w:p>
    <w:p>
      <w:pPr>
        <w:spacing w:after="60"/>
      </w:pPr>
    </w:p>
    <w:p>
      <w:pPr>
        <w:spacing w:after="80" w:before="40"/>
      </w:pPr>
      <w:r>
        <w:rPr>
          <w:b/>
          <w:bCs/>
        </w:rPr>
        <w:t xml:space="preserve">The one rule that matters most:</w:t>
      </w:r>
      <w:r>
        <w:t xml:space="preserve"> every touch gets logged — name, what was offered, response, follow-up date. A pipeline that isn't logged is a pipeline that gets forgotten. Use the Google Sheet structure already set up per Weekly Action Plan.</w:t>
      </w:r>
    </w:p>
    <w:p>
      <w:pPr>
        <w:spacing w:after="60"/>
      </w:pPr>
    </w:p>
    <w:p>
      <w:pPr>
        <w:spacing w:after="80" w:before="40"/>
      </w:pPr>
      <w:r>
        <w:rPr>
          <w:b/>
          <w:bCs/>
        </w:rPr>
        <w:t xml:space="preserve">Annual giving moment:</w:t>
      </w:r>
      <w:r>
        <w:t xml:space="preserve"> December is the one month a broader donation push makes sense — pair it with the year-in-review press moment (see Marketing Master Calendar → December row) and, if possible, a matching gift to double impact.</w:t>
      </w:r>
    </w:p>
    <w:p>
      <w:pPr>
        <w:spacing w:after="60"/>
      </w:pPr>
    </w:p>
    <w:p>
      <w:pPr>
        <w:pBdr>
          <w:bottom w:val="single" w:color="cccccc" w:sz="4"/>
        </w:pBdr>
        <w:spacing w:after="160" w:before="160"/>
      </w:pPr>
      <w:r>
        <w:t xml:space="preserve"/>
      </w:r>
    </w:p>
    <w:p>
      <w:pPr>
        <w:spacing w:after="60"/>
      </w:pPr>
    </w:p>
    <w:p>
      <w:pPr>
        <w:pBdr>
          <w:bottom w:val="single" w:color="cccccc" w:sz="6"/>
        </w:pBdr>
        <w:spacing w:after="120" w:before="320"/>
      </w:pPr>
      <w:r>
        <w:rPr>
          <w:b/>
          <w:bCs/>
          <w:color w:val="2d5016"/>
          <w:sz w:val="30"/>
          <w:szCs w:val="30"/>
        </w:rPr>
        <w:t xml:space="preserve">Step 4 — Board Cadence</w:t>
      </w:r>
    </w:p>
    <w:p>
      <w:pPr>
        <w:spacing w:after="60"/>
      </w:pPr>
    </w:p>
    <w:p>
      <w:pPr>
        <w:spacing w:after="80" w:before="40"/>
      </w:pPr>
      <w:r>
        <w:t xml:space="preserve">KYNORML's bylaws call for board meetings at minimum quarterly; monthly is recommended. Whatever the actual current cadence is, here's what goes into every meeting that happens:</w:t>
      </w:r>
    </w:p>
    <w:p>
      <w:pPr>
        <w:spacing w:after="60"/>
      </w:pPr>
    </w:p>
    <w:p>
      <w:pPr>
        <w:spacing w:after="80" w:before="40"/>
      </w:pPr>
      <w:r>
        <w:rPr>
          <w:b/>
          <w:bCs/>
        </w:rPr>
        <w:t xml:space="preserve">Standing agenda items (every meeting):</w:t>
      </w:r>
    </w:p>
    <w:p>
      <w:pPr>
        <w:pStyle w:val="ListParagraph"/>
        <w:numPr>
          <w:ilvl w:val="0"/>
          <w:numId w:val="2"/>
        </w:numPr>
        <w:spacing w:after="40" w:before="40"/>
      </w:pPr>
      <w:r>
        <w:t xml:space="preserve">Approval of previous minutes</w:t>
      </w:r>
    </w:p>
    <w:p>
      <w:pPr>
        <w:pStyle w:val="ListParagraph"/>
        <w:numPr>
          <w:ilvl w:val="0"/>
          <w:numId w:val="2"/>
        </w:numPr>
        <w:spacing w:after="40" w:before="40"/>
      </w:pPr>
      <w:r>
        <w:t xml:space="preserve">Financial report — this month's snapshot + variance flags</w:t>
      </w:r>
    </w:p>
    <w:p>
      <w:pPr>
        <w:pStyle w:val="ListParagraph"/>
        <w:numPr>
          <w:ilvl w:val="0"/>
          <w:numId w:val="2"/>
        </w:numPr>
        <w:spacing w:after="40" w:before="40"/>
      </w:pPr>
      <w:r>
        <w:t xml:space="preserve">Chapter Health Review (use the full version quarterly — see Chapter Health Dashboard for the 30-minute agenda)</w:t>
      </w:r>
    </w:p>
    <w:p>
      <w:pPr>
        <w:pStyle w:val="ListParagraph"/>
        <w:numPr>
          <w:ilvl w:val="0"/>
          <w:numId w:val="2"/>
        </w:numPr>
        <w:spacing w:after="40" w:before="40"/>
      </w:pPr>
      <w:r>
        <w:t xml:space="preserve">Old business — status of prior action items</w:t>
      </w:r>
    </w:p>
    <w:p>
      <w:pPr>
        <w:pStyle w:val="ListParagraph"/>
        <w:numPr>
          <w:ilvl w:val="0"/>
          <w:numId w:val="2"/>
        </w:numPr>
        <w:spacing w:after="40" w:before="40"/>
      </w:pPr>
      <w:r>
        <w:t xml:space="preserve">New business</w:t>
      </w:r>
    </w:p>
    <w:p>
      <w:pPr>
        <w:pStyle w:val="ListParagraph"/>
        <w:numPr>
          <w:ilvl w:val="0"/>
          <w:numId w:val="2"/>
        </w:numPr>
        <w:spacing w:after="40" w:before="40"/>
      </w:pPr>
      <w:r>
        <w:t xml:space="preserve">Action items with owners and due dates</w:t>
      </w:r>
    </w:p>
    <w:p>
      <w:pPr>
        <w:pStyle w:val="ListParagraph"/>
        <w:numPr>
          <w:ilvl w:val="0"/>
          <w:numId w:val="2"/>
        </w:numPr>
        <w:spacing w:after="40" w:before="40"/>
      </w:pPr>
      <w:r>
        <w:t xml:space="preserve">Set next meeting date</w:t>
      </w:r>
    </w:p>
    <w:p>
      <w:pPr>
        <w:spacing w:after="60"/>
      </w:pPr>
    </w:p>
    <w:p>
      <w:pPr>
        <w:spacing w:after="80" w:before="40"/>
      </w:pPr>
      <w:r>
        <w:rPr>
          <w:b/>
          <w:bCs/>
        </w:rPr>
        <w:t xml:space="preserve">Use the Board Meeting Minutes Template in Governance Box</w:t>
      </w:r>
      <w:r>
        <w:t xml:space="preserve"> for recording — keep every set on file. The IRS compliance checklist requires at least one set of minutes per year; doing it every meeting makes the annual filing a non-event instead of a scramble.</w:t>
      </w:r>
    </w:p>
    <w:p>
      <w:pPr>
        <w:spacing w:after="60"/>
      </w:pPr>
    </w:p>
    <w:p>
      <w:pPr>
        <w:spacing w:after="80" w:before="40"/>
      </w:pPr>
      <w:r>
        <w:rPr>
          <w:b/>
          <w:bCs/>
        </w:rPr>
        <w:t xml:space="preserve">Sound the alarm — these trigger an off-cycle board conversation, not a wait for the next meeting:</w:t>
      </w:r>
    </w:p>
    <w:p>
      <w:pPr>
        <w:pStyle w:val="ListParagraph"/>
        <w:numPr>
          <w:ilvl w:val="0"/>
          <w:numId w:val="1"/>
        </w:numPr>
        <w:spacing w:after="40" w:before="40"/>
      </w:pPr>
      <w:r>
        <w:t xml:space="preserve">Cash drops below 1 month of operating expenses</w:t>
      </w:r>
    </w:p>
    <w:p>
      <w:pPr>
        <w:pStyle w:val="ListParagraph"/>
        <w:numPr>
          <w:ilvl w:val="0"/>
          <w:numId w:val="1"/>
        </w:numPr>
        <w:spacing w:after="40" w:before="40"/>
      </w:pPr>
      <w:r>
        <w:t xml:space="preserve">Email list declines 3 consecutive months</w:t>
      </w:r>
    </w:p>
    <w:p>
      <w:pPr>
        <w:pStyle w:val="ListParagraph"/>
        <w:numPr>
          <w:ilvl w:val="0"/>
          <w:numId w:val="1"/>
        </w:numPr>
        <w:spacing w:after="40" w:before="40"/>
      </w:pPr>
      <w:r>
        <w:t xml:space="preserve">990 filing is overdue</w:t>
      </w:r>
    </w:p>
    <w:p>
      <w:pPr>
        <w:pStyle w:val="ListParagraph"/>
        <w:numPr>
          <w:ilvl w:val="0"/>
          <w:numId w:val="1"/>
        </w:numPr>
        <w:spacing w:after="40" w:before="40"/>
      </w:pPr>
      <w:r>
        <w:t xml:space="preserve">A board officer seat is vacant more than 60 days</w:t>
      </w:r>
    </w:p>
    <w:p>
      <w:pPr>
        <w:pStyle w:val="ListParagraph"/>
        <w:numPr>
          <w:ilvl w:val="0"/>
          <w:numId w:val="1"/>
        </w:numPr>
        <w:spacing w:after="40" w:before="40"/>
      </w:pPr>
      <w:r>
        <w:t xml:space="preserve">Revenue is more than 25% below budget at any quarter</w:t>
      </w:r>
    </w:p>
    <w:p>
      <w:pPr>
        <w:pStyle w:val="ListParagraph"/>
        <w:numPr>
          <w:ilvl w:val="0"/>
          <w:numId w:val="1"/>
        </w:numPr>
        <w:spacing w:after="40" w:before="40"/>
      </w:pPr>
      <w:r>
        <w:t xml:space="preserve">A key vendor or platform terminates the chapter's account</w:t>
      </w:r>
    </w:p>
    <w:p>
      <w:pPr>
        <w:spacing w:after="60"/>
      </w:pPr>
    </w:p>
    <w:p>
      <w:pPr>
        <w:pBdr>
          <w:bottom w:val="single" w:color="cccccc" w:sz="4"/>
        </w:pBdr>
        <w:spacing w:after="160" w:before="160"/>
      </w:pPr>
      <w:r>
        <w:t xml:space="preserve"/>
      </w:r>
    </w:p>
    <w:p>
      <w:pPr>
        <w:spacing w:after="60"/>
      </w:pPr>
    </w:p>
    <w:p>
      <w:pPr>
        <w:pBdr>
          <w:bottom w:val="single" w:color="cccccc" w:sz="6"/>
        </w:pBdr>
        <w:spacing w:after="120" w:before="320"/>
      </w:pPr>
      <w:r>
        <w:rPr>
          <w:b/>
          <w:bCs/>
          <w:color w:val="2d5016"/>
          <w:sz w:val="30"/>
          <w:szCs w:val="30"/>
        </w:rPr>
        <w:t xml:space="preserve">Step 5 — Annual Compliance Calendar</w:t>
      </w:r>
    </w:p>
    <w:p>
      <w:pPr>
        <w:spacing w:after="60"/>
      </w:pPr>
    </w:p>
    <w:p>
      <w:pPr>
        <w:spacing w:after="80" w:before="40"/>
      </w:pPr>
      <w:r>
        <w:t xml:space="preserve">These don't happen every month, but they need to be checked every month so nothing is ever a surprise. Add a recurring 60-day-out reminder for each.</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bottom w:type="dxa" w:w="80"/>
        </w:tblCellMar>
      </w:tblPr>
      <w:tblGrid>
        <w:gridCol w:w="100"/>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rPr>
              <w:t xml:space="preserve">Requirement</w:t>
            </w:r>
          </w:p>
        </w:tc>
        <w:tc>
          <w:tcPr>
            <w:shd w:fill="2d5016" w:color="FFFFFF" w:val="clear"/>
            <w:tcMar>
              <w:top w:type="dxa" w:w="80"/>
              <w:left w:type="dxa" w:w="120"/>
              <w:bottom w:type="dxa" w:w="80"/>
              <w:right w:type="dxa" w:w="120"/>
            </w:tcMar>
          </w:tcPr>
          <w:p>
            <w:pPr>
              <w:spacing w:after="60" w:before="60"/>
            </w:pPr>
            <w:r>
              <w:rPr>
                <w:b/>
                <w:bCs/>
                <w:color w:val="FFFFFF"/>
              </w:rPr>
              <w:t xml:space="preserve">Due</w:t>
            </w:r>
          </w:p>
        </w:tc>
        <w:tc>
          <w:tcPr>
            <w:shd w:fill="2d5016" w:color="FFFFFF" w:val="clear"/>
            <w:tcMar>
              <w:top w:type="dxa" w:w="80"/>
              <w:left w:type="dxa" w:w="120"/>
              <w:bottom w:type="dxa" w:w="80"/>
              <w:right w:type="dxa" w:w="120"/>
            </w:tcMar>
          </w:tcPr>
          <w:p>
            <w:pPr>
              <w:spacing w:after="60" w:before="60"/>
            </w:pPr>
            <w:r>
              <w:rPr>
                <w:b/>
                <w:bCs/>
                <w:color w:val="FFFFFF"/>
              </w:rPr>
              <w:t xml:space="preserve">What Triggers It</w:t>
            </w:r>
          </w:p>
        </w:tc>
      </w:tr>
      <w:tr>
        <w:tc>
          <w:tcPr>
            <w:tcMar>
              <w:top w:type="dxa" w:w="80"/>
              <w:left w:type="dxa" w:w="120"/>
              <w:bottom w:type="dxa" w:w="80"/>
              <w:right w:type="dxa" w:w="120"/>
            </w:tcMar>
          </w:tcPr>
          <w:p>
            <w:pPr>
              <w:spacing w:after="60" w:before="60"/>
            </w:pPr>
            <w:r>
              <w:rPr>
                <w:b/>
                <w:bCs/>
              </w:rPr>
              <w:t xml:space="preserve">Form 990 filing</w:t>
            </w:r>
          </w:p>
        </w:tc>
        <w:tc>
          <w:tcPr>
            <w:tcMar>
              <w:top w:type="dxa" w:w="80"/>
              <w:left w:type="dxa" w:w="120"/>
              <w:bottom w:type="dxa" w:w="80"/>
              <w:right w:type="dxa" w:w="120"/>
            </w:tcMar>
          </w:tcPr>
          <w:p>
            <w:pPr>
              <w:spacing w:after="60" w:before="60"/>
            </w:pPr>
            <w:r>
              <w:t xml:space="preserve">4.5 months after fiscal year end — </w:t>
            </w:r>
            <w:r>
              <w:rPr>
                <w:b/>
                <w:bCs/>
              </w:rPr>
              <w:t xml:space="preserve">May 15</w:t>
            </w:r>
            <w:r>
              <w:t xml:space="preserve"> for calendar-year orgs</w:t>
            </w:r>
          </w:p>
        </w:tc>
        <w:tc>
          <w:tcPr>
            <w:tcMar>
              <w:top w:type="dxa" w:w="80"/>
              <w:left w:type="dxa" w:w="120"/>
              <w:bottom w:type="dxa" w:w="80"/>
              <w:right w:type="dxa" w:w="120"/>
            </w:tcMar>
          </w:tcPr>
          <w:p>
            <w:pPr>
              <w:spacing w:after="60" w:before="60"/>
            </w:pPr>
            <w:r>
              <w:t xml:space="preserve">Automatic — every year, no exceptions. 990-N if under $50K gross receipts, 990-EZ if $50K–$200K, full 990 if over $200K</w:t>
            </w:r>
          </w:p>
        </w:tc>
      </w:tr>
      <w:tr>
        <w:tc>
          <w:tcPr>
            <w:shd w:fill="f4f6f1" w:val="clear"/>
            <w:tcMar>
              <w:top w:type="dxa" w:w="80"/>
              <w:left w:type="dxa" w:w="120"/>
              <w:bottom w:type="dxa" w:w="80"/>
              <w:right w:type="dxa" w:w="120"/>
            </w:tcMar>
          </w:tcPr>
          <w:p>
            <w:pPr>
              <w:spacing w:after="60" w:before="60"/>
            </w:pPr>
            <w:r>
              <w:rPr>
                <w:b/>
                <w:bCs/>
              </w:rPr>
              <w:t xml:space="preserve">State annual report</w:t>
            </w:r>
          </w:p>
        </w:tc>
        <w:tc>
          <w:tcPr>
            <w:shd w:fill="f4f6f1" w:val="clear"/>
            <w:tcMar>
              <w:top w:type="dxa" w:w="80"/>
              <w:left w:type="dxa" w:w="120"/>
              <w:bottom w:type="dxa" w:w="80"/>
              <w:right w:type="dxa" w:w="120"/>
            </w:tcMar>
          </w:tcPr>
          <w:p>
            <w:pPr>
              <w:spacing w:after="60" w:before="60"/>
            </w:pPr>
            <w:r>
              <w:t xml:space="preserve">Varies by state — usually the anniversary of incorporation</w:t>
            </w:r>
          </w:p>
        </w:tc>
        <w:tc>
          <w:tcPr>
            <w:shd w:fill="f4f6f1" w:val="clear"/>
            <w:tcMar>
              <w:top w:type="dxa" w:w="80"/>
              <w:left w:type="dxa" w:w="120"/>
              <w:bottom w:type="dxa" w:w="80"/>
              <w:right w:type="dxa" w:w="120"/>
            </w:tcMar>
          </w:tcPr>
          <w:p>
            <w:pPr>
              <w:spacing w:after="60" w:before="60"/>
            </w:pPr>
            <w:r>
              <w:t xml:space="preserve">Check Kentucky Secretary of State filing date on record</w:t>
            </w:r>
          </w:p>
        </w:tc>
      </w:tr>
      <w:tr>
        <w:tc>
          <w:tcPr>
            <w:tcMar>
              <w:top w:type="dxa" w:w="80"/>
              <w:left w:type="dxa" w:w="120"/>
              <w:bottom w:type="dxa" w:w="80"/>
              <w:right w:type="dxa" w:w="120"/>
            </w:tcMar>
          </w:tcPr>
          <w:p>
            <w:pPr>
              <w:spacing w:after="60" w:before="60"/>
            </w:pPr>
            <w:r>
              <w:rPr>
                <w:b/>
                <w:bCs/>
              </w:rPr>
              <w:t xml:space="preserve">State charitable solicitation registration</w:t>
            </w:r>
          </w:p>
        </w:tc>
        <w:tc>
          <w:tcPr>
            <w:tcMar>
              <w:top w:type="dxa" w:w="80"/>
              <w:left w:type="dxa" w:w="120"/>
              <w:bottom w:type="dxa" w:w="80"/>
              <w:right w:type="dxa" w:w="120"/>
            </w:tcMar>
          </w:tcPr>
          <w:p>
            <w:pPr>
              <w:spacing w:after="60" w:before="60"/>
            </w:pPr>
            <w:r>
              <w:t xml:space="preserve">Varies — required before active fundraising in most states</w:t>
            </w:r>
          </w:p>
        </w:tc>
        <w:tc>
          <w:tcPr>
            <w:tcMar>
              <w:top w:type="dxa" w:w="80"/>
              <w:left w:type="dxa" w:w="120"/>
              <w:bottom w:type="dxa" w:w="80"/>
              <w:right w:type="dxa" w:w="120"/>
            </w:tcMar>
          </w:tcPr>
          <w:p>
            <w:pPr>
              <w:spacing w:after="60" w:before="60"/>
            </w:pPr>
            <w:r>
              <w:t xml:space="preserve">Confirm KYNORML's registration is current before any major fundraising push</w:t>
            </w:r>
          </w:p>
        </w:tc>
      </w:tr>
      <w:tr>
        <w:tc>
          <w:tcPr>
            <w:shd w:fill="f4f6f1" w:val="clear"/>
            <w:tcMar>
              <w:top w:type="dxa" w:w="80"/>
              <w:left w:type="dxa" w:w="120"/>
              <w:bottom w:type="dxa" w:w="80"/>
              <w:right w:type="dxa" w:w="120"/>
            </w:tcMar>
          </w:tcPr>
          <w:p>
            <w:pPr>
              <w:spacing w:after="60" w:before="60"/>
            </w:pPr>
            <w:r>
              <w:rPr>
                <w:b/>
                <w:bCs/>
              </w:rPr>
              <w:t xml:space="preserve">Conflict of interest policy</w:t>
            </w:r>
          </w:p>
        </w:tc>
        <w:tc>
          <w:tcPr>
            <w:shd w:fill="f4f6f1" w:val="clear"/>
            <w:tcMar>
              <w:top w:type="dxa" w:w="80"/>
              <w:left w:type="dxa" w:w="120"/>
              <w:bottom w:type="dxa" w:w="80"/>
              <w:right w:type="dxa" w:w="120"/>
            </w:tcMar>
          </w:tcPr>
          <w:p>
            <w:pPr>
              <w:spacing w:after="60" w:before="60"/>
            </w:pPr>
            <w:r>
              <w:t xml:space="preserve">Annual — each board member signs</w:t>
            </w:r>
          </w:p>
        </w:tc>
        <w:tc>
          <w:tcPr>
            <w:shd w:fill="f4f6f1" w:val="clear"/>
            <w:tcMar>
              <w:top w:type="dxa" w:w="80"/>
              <w:left w:type="dxa" w:w="120"/>
              <w:bottom w:type="dxa" w:w="80"/>
              <w:right w:type="dxa" w:w="120"/>
            </w:tcMar>
          </w:tcPr>
          <w:p>
            <w:pPr>
              <w:spacing w:after="60" w:before="60"/>
            </w:pPr>
            <w:r>
              <w:t xml:space="preserve">Build into the first board meeting of the fiscal year</w:t>
            </w:r>
          </w:p>
        </w:tc>
      </w:tr>
      <w:tr>
        <w:tc>
          <w:tcPr>
            <w:tcMar>
              <w:top w:type="dxa" w:w="80"/>
              <w:left w:type="dxa" w:w="120"/>
              <w:bottom w:type="dxa" w:w="80"/>
              <w:right w:type="dxa" w:w="120"/>
            </w:tcMar>
          </w:tcPr>
          <w:p>
            <w:pPr>
              <w:spacing w:after="60" w:before="60"/>
            </w:pPr>
            <w:r>
              <w:rPr>
                <w:b/>
                <w:bCs/>
              </w:rPr>
              <w:t xml:space="preserve">Board meeting minutes on file</w:t>
            </w:r>
          </w:p>
        </w:tc>
        <w:tc>
          <w:tcPr>
            <w:tcMar>
              <w:top w:type="dxa" w:w="80"/>
              <w:left w:type="dxa" w:w="120"/>
              <w:bottom w:type="dxa" w:w="80"/>
              <w:right w:type="dxa" w:w="120"/>
            </w:tcMar>
          </w:tcPr>
          <w:p>
            <w:pPr>
              <w:spacing w:after="60" w:before="60"/>
            </w:pPr>
            <w:r>
              <w:t xml:space="preserve">At minimum 1 set per year (realistically: every meeting)</w:t>
            </w:r>
          </w:p>
        </w:tc>
        <w:tc>
          <w:tcPr>
            <w:tcMar>
              <w:top w:type="dxa" w:w="80"/>
              <w:left w:type="dxa" w:w="120"/>
              <w:bottom w:type="dxa" w:w="80"/>
              <w:right w:type="dxa" w:w="120"/>
            </w:tcMar>
          </w:tcPr>
          <w:p>
            <w:pPr>
              <w:spacing w:after="60" w:before="60"/>
            </w:pPr>
            <w:r>
              <w:t xml:space="preserve">Ongoing — see Step 4</w:t>
            </w:r>
          </w:p>
        </w:tc>
      </w:tr>
    </w:tbl>
    <w:p>
      <w:pPr>
        <w:spacing w:after="80"/>
      </w:pPr>
    </w:p>
    <w:p>
      <w:pPr>
        <w:spacing w:after="60"/>
      </w:pPr>
    </w:p>
    <w:p>
      <w:pPr>
        <w:spacing w:after="80" w:before="40"/>
      </w:pPr>
      <w:r>
        <w:rPr>
          <w:b/>
          <w:bCs/>
        </w:rPr>
        <w:t xml:space="preserve">The habit that prevents all of these from becoming emergencies:</w:t>
      </w:r>
      <w:r>
        <w:t xml:space="preserve"> every month, in the "last week" check (see the one-page rhythm above), ask "is anything on this list due in the next 60 days?" If yes, it goes on next month's calendar with an owner and a date. That's the entire system — it only fails when nobody asks the question.</w:t>
      </w:r>
    </w:p>
    <w:p>
      <w:pPr>
        <w:spacing w:after="60"/>
      </w:pPr>
    </w:p>
    <w:p>
      <w:pPr>
        <w:spacing w:after="80" w:before="40"/>
      </w:pPr>
      <w:r>
        <w:t xml:space="preserve">Full detail: Governance Box</w:t>
      </w:r>
    </w:p>
    <w:p>
      <w:pPr>
        <w:spacing w:after="60"/>
      </w:pPr>
    </w:p>
    <w:p>
      <w:pPr>
        <w:pBdr>
          <w:bottom w:val="single" w:color="cccccc" w:sz="4"/>
        </w:pBdr>
        <w:spacing w:after="160" w:before="160"/>
      </w:pPr>
      <w:r>
        <w:t xml:space="preserve"/>
      </w:r>
    </w:p>
    <w:p>
      <w:pPr>
        <w:spacing w:after="60"/>
      </w:pPr>
    </w:p>
    <w:p>
      <w:pPr>
        <w:pBdr>
          <w:bottom w:val="single" w:color="cccccc" w:sz="6"/>
        </w:pBdr>
        <w:spacing w:after="120" w:before="320"/>
      </w:pPr>
      <w:r>
        <w:rPr>
          <w:b/>
          <w:bCs/>
          <w:color w:val="2d5016"/>
          <w:sz w:val="30"/>
          <w:szCs w:val="30"/>
        </w:rPr>
        <w:t xml:space="preserve">Step 6 — Marketing and Press Sync</w:t>
      </w:r>
    </w:p>
    <w:p>
      <w:pPr>
        <w:spacing w:after="60"/>
      </w:pPr>
    </w:p>
    <w:p>
      <w:pPr>
        <w:spacing w:after="80" w:before="40"/>
      </w:pPr>
      <w:r>
        <w:t xml:space="preserve">The monthly operations rhythm and the monthly marketing rhythm run on the same clock — they should never be planned separately. Every month, confirm:</w:t>
      </w:r>
    </w:p>
    <w:p>
      <w:pPr>
        <w:spacing w:after="60"/>
      </w:pPr>
    </w:p>
    <w:p>
      <w:pPr>
        <w:pStyle w:val="ListParagraph"/>
        <w:numPr>
          <w:ilvl w:val="0"/>
          <w:numId w:val="1"/>
        </w:numPr>
        <w:spacing w:after="40" w:before="40"/>
      </w:pPr>
      <w:r>
        <w:t xml:space="preserve">This month's theme and revenue push in Marketing Master Calendar matches what's actually being worked (if KYCannaCon production has shifted, the calendar should shift with it)</w:t>
      </w:r>
    </w:p>
    <w:p>
      <w:pPr>
        <w:pStyle w:val="ListParagraph"/>
        <w:numPr>
          <w:ilvl w:val="0"/>
          <w:numId w:val="1"/>
        </w:numPr>
        <w:spacing w:after="40" w:before="40"/>
      </w:pPr>
      <w:r>
        <w:t xml:space="preserve">The email send scheduled for this month is loaded and tested before it goes to the full list</w:t>
      </w:r>
    </w:p>
    <w:p>
      <w:pPr>
        <w:pStyle w:val="ListParagraph"/>
        <w:numPr>
          <w:ilvl w:val="0"/>
          <w:numId w:val="1"/>
        </w:numPr>
        <w:spacing w:after="40" w:before="40"/>
      </w:pPr>
      <w:r>
        <w:t xml:space="preserve">Any planned press moment for this month is drafted at least a week ahead — or, if the calendar says "none planned," that a thin release isn't being forced</w:t>
      </w:r>
    </w:p>
    <w:p>
      <w:pPr>
        <w:pStyle w:val="ListParagraph"/>
        <w:numPr>
          <w:ilvl w:val="0"/>
          <w:numId w:val="1"/>
        </w:numPr>
        <w:spacing w:after="40" w:before="40"/>
      </w:pPr>
      <w:r>
        <w:t xml:space="preserve">Reactive PR (news-driven, see Track 4 - PR Response System) runs on its own 24–48 hour clock, on top of — not instead of — the planned calendar</w:t>
      </w:r>
    </w:p>
    <w:p>
      <w:pPr>
        <w:spacing w:after="60"/>
      </w:pPr>
    </w:p>
    <w:p>
      <w:pPr>
        <w:spacing w:after="80" w:before="40"/>
      </w:pPr>
      <w:r>
        <w:rPr>
          <w:b/>
          <w:bCs/>
        </w:rPr>
        <w:t xml:space="preserve">Media list status:</w:t>
      </w:r>
      <w:r>
        <w:t xml:space="preserve"> the working media contact list in Track 4 - PR Response System currently names target outlets — Louisville Courier-Journal, Kentucky Lantern, Bowling Green Daily News, WHAS11/WDRB local TV, and National NORML press — but specific reporter names and direct contacts are placeholders, not yet filled in. Building real relationships with these outlets (especially Kentucky Lantern and Courier-Journal, named as priority targets for embargoed exclusives) is ongoing work, not a finished asset. Don't assume the list is "done" because the file exists.</w:t>
      </w:r>
    </w:p>
    <w:p>
      <w:pPr>
        <w:spacing w:after="60"/>
      </w:pPr>
    </w:p>
    <w:p>
      <w:pPr>
        <w:pBdr>
          <w:bottom w:val="single" w:color="cccccc" w:sz="4"/>
        </w:pBdr>
        <w:spacing w:after="160" w:before="160"/>
      </w:pPr>
      <w:r>
        <w:t xml:space="preserve"/>
      </w:r>
    </w:p>
    <w:p>
      <w:pPr>
        <w:spacing w:after="60"/>
      </w:pPr>
    </w:p>
    <w:p>
      <w:pPr>
        <w:pBdr>
          <w:bottom w:val="single" w:color="cccccc" w:sz="6"/>
        </w:pBdr>
        <w:spacing w:after="120" w:before="320"/>
      </w:pPr>
      <w:r>
        <w:rPr>
          <w:b/>
          <w:bCs/>
          <w:color w:val="2d5016"/>
          <w:sz w:val="30"/>
          <w:szCs w:val="30"/>
        </w:rPr>
        <w:t xml:space="preserve">Handoff Notes — What a New Person Needs to Know That Isn't Written Anywhere Else</w:t>
      </w:r>
    </w:p>
    <w:p>
      <w:pPr>
        <w:spacing w:after="60"/>
      </w:pPr>
    </w:p>
    <w:p>
      <w:pPr>
        <w:spacing w:after="80" w:before="40"/>
      </w:pPr>
      <w:r>
        <w:rPr>
          <w:i/>
          <w:iCs/>
        </w:rPr>
        <w:t xml:space="preserve">(Fill this in before the transition is complete — this is the part that only lives in your head right now. Where possible, write the actual answer next to the item — not just a checkmark. A checked box with no information is not a handoff.)</w:t>
      </w:r>
    </w:p>
    <w:p>
      <w:pPr>
        <w:spacing w:after="60"/>
      </w:pPr>
    </w:p>
    <w:p>
      <w:pPr>
        <w:spacing w:after="80" w:before="40"/>
      </w:pPr>
      <w:r>
        <w:rPr>
          <w:b/>
          <w:bCs/>
        </w:rPr>
        <w:t xml:space="preserve">Access and credentials</w:t>
      </w:r>
    </w:p>
    <w:p>
      <w:pPr>
        <w:spacing w:after="40" w:before="40"/>
        <w:ind w:left="360"/>
      </w:pPr>
      <w:r>
        <w:t xml:space="preserve">☐ Books: Wave or QuickBooks — login owner: ___________ — who else has access: ___________</w:t>
      </w:r>
    </w:p>
    <w:p>
      <w:pPr>
        <w:spacing w:after="40" w:before="40"/>
        <w:ind w:left="360"/>
      </w:pPr>
      <w:r>
        <w:t xml:space="preserve">☐ Action Network — admin login owner: ___________ — list size as of transition date: ___________</w:t>
      </w:r>
    </w:p>
    <w:p>
      <w:pPr>
        <w:spacing w:after="40" w:before="40"/>
        <w:ind w:left="360"/>
      </w:pPr>
      <w:r>
        <w:t xml:space="preserve">☐ Zeffy — admin login owner: ___________ — confirm (c)(4) verification status: ___________</w:t>
      </w:r>
    </w:p>
    <w:p>
      <w:pPr>
        <w:spacing w:after="40" w:before="40"/>
        <w:ind w:left="360"/>
      </w:pPr>
      <w:r>
        <w:t xml:space="preserve">☐ Monday.com — board owner / billing contact: ___________</w:t>
      </w:r>
    </w:p>
    <w:p>
      <w:pPr>
        <w:spacing w:after="40" w:before="40"/>
        <w:ind w:left="360"/>
      </w:pPr>
      <w:r>
        <w:t xml:space="preserve">☐ Buffer / Meta Business Suite — admin owner: ___________</w:t>
      </w:r>
    </w:p>
    <w:p>
      <w:pPr>
        <w:spacing w:after="40" w:before="40"/>
        <w:ind w:left="360"/>
      </w:pPr>
      <w:r>
        <w:t xml:space="preserve">☐ Google Workspace — admin or delegated admin: ___________ — relationship to CGN's Workspace: ___________</w:t>
      </w:r>
    </w:p>
    <w:p>
      <w:pPr>
        <w:spacing w:after="40" w:before="40"/>
        <w:ind w:left="360"/>
      </w:pPr>
      <w:r>
        <w:t xml:space="preserve">☐ Canva — brand kit owner: ___________</w:t>
      </w:r>
    </w:p>
    <w:p>
      <w:pPr>
        <w:spacing w:after="40" w:before="40"/>
        <w:ind w:left="360"/>
      </w:pPr>
      <w:r>
        <w:t xml:space="preserve">☐ Website / CMS — hosting account owner: ___________ — domain registrar: ___________</w:t>
      </w:r>
    </w:p>
    <w:p>
      <w:pPr>
        <w:spacing w:after="40" w:before="40"/>
        <w:ind w:left="360"/>
      </w:pPr>
      <w:r>
        <w:t xml:space="preserve">☐ Social accounts (Facebook, Instagram, Threads) — transferred to incoming ED as full owner, not shared login: Y / N</w:t>
      </w:r>
    </w:p>
    <w:p>
      <w:pPr>
        <w:spacing w:after="40" w:before="40"/>
        <w:ind w:left="360"/>
      </w:pPr>
      <w:r>
        <w:t xml:space="preserve">☐ Bank account(s) — bank name: ___________ — authorized signatories: ___________ — how to add/remove a signatory: ___________</w:t>
      </w:r>
    </w:p>
    <w:p>
      <w:pPr>
        <w:spacing w:after="60"/>
      </w:pPr>
    </w:p>
    <w:p>
      <w:pPr>
        <w:spacing w:after="80" w:before="40"/>
      </w:pPr>
      <w:r>
        <w:rPr>
          <w:b/>
          <w:bCs/>
        </w:rPr>
        <w:t xml:space="preserve">People</w:t>
      </w:r>
    </w:p>
    <w:p>
      <w:pPr>
        <w:spacing w:after="40" w:before="40"/>
        <w:ind w:left="360"/>
      </w:pPr>
      <w:r>
        <w:t xml:space="preserve">☐ Current board roster — name, role, term start/end, renewal date, contact info, for every seat</w:t>
      </w:r>
    </w:p>
    <w:p>
      <w:pPr>
        <w:spacing w:after="40" w:before="40"/>
        <w:ind w:left="360"/>
      </w:pPr>
      <w:r>
        <w:t xml:space="preserve">☐ Team roles for Shealonda, Maurice, and James — title, responsibilities, how to reach them, staff/contractor/volunteer status</w:t>
      </w:r>
    </w:p>
    <w:p>
      <w:pPr>
        <w:spacing w:after="40" w:before="40"/>
        <w:ind w:left="360"/>
      </w:pPr>
      <w:r>
        <w:t xml:space="preserve">☐ Anyone outside the org who is a key relationship — media contacts, legislative allies, chapter directors, sponsors in active conversation — who should get a personal heads-up about the transition before they hear about it secondhand</w:t>
      </w:r>
    </w:p>
    <w:p>
      <w:pPr>
        <w:spacing w:after="60"/>
      </w:pPr>
    </w:p>
    <w:p>
      <w:pPr>
        <w:spacing w:after="80" w:before="40"/>
      </w:pPr>
      <w:r>
        <w:rPr>
          <w:b/>
          <w:bCs/>
        </w:rPr>
        <w:t xml:space="preserve">Money and commitments in motion</w:t>
      </w:r>
    </w:p>
    <w:p>
      <w:pPr>
        <w:spacing w:after="40" w:before="40"/>
        <w:ind w:left="360"/>
      </w:pPr>
      <w:r>
        <w:t xml:space="preserve">☐ Any informal agreements, verbal commitments, or in-progress conversations (sponsor talks, vendor relationships, grant applications, venue negotiations) that aren't yet logged in Monday.com or the revenue scorecard</w:t>
      </w:r>
    </w:p>
    <w:p>
      <w:pPr>
        <w:spacing w:after="40" w:before="40"/>
        <w:ind w:left="360"/>
      </w:pPr>
      <w:r>
        <w:t xml:space="preserve">☐ Current cash on hand and reserve balance, confirmed against the books — not the working baseline figures in this document</w:t>
      </w:r>
    </w:p>
    <w:p>
      <w:pPr>
        <w:spacing w:after="40" w:before="40"/>
        <w:ind w:left="360"/>
      </w:pPr>
      <w:r>
        <w:t xml:space="preserve">☐ Any outstanding invoices, pending reimbursements, or unpaid bills</w:t>
      </w:r>
    </w:p>
    <w:p>
      <w:pPr>
        <w:spacing w:after="40" w:before="40"/>
        <w:ind w:left="360"/>
      </w:pPr>
      <w:r>
        <w:t xml:space="preserve">☐ Status of the current KYCannaCon production cycle — what's confirmed (venue, sponsors, speakers) vs. what's still in conversation</w:t>
      </w:r>
    </w:p>
    <w:p>
      <w:pPr>
        <w:spacing w:after="60"/>
      </w:pPr>
    </w:p>
    <w:p>
      <w:pPr>
        <w:spacing w:after="80" w:before="40"/>
      </w:pPr>
      <w:r>
        <w:rPr>
          <w:b/>
          <w:bCs/>
        </w:rPr>
        <w:t xml:space="preserve">Compliance</w:t>
      </w:r>
    </w:p>
    <w:p>
      <w:pPr>
        <w:spacing w:after="40" w:before="40"/>
        <w:ind w:left="360"/>
      </w:pPr>
      <w:r>
        <w:t xml:space="preserve">☐ Date of last 990 filing and confirmation the next one is on track for May 15</w:t>
      </w:r>
    </w:p>
    <w:p>
      <w:pPr>
        <w:spacing w:after="40" w:before="40"/>
        <w:ind w:left="360"/>
      </w:pPr>
      <w:r>
        <w:t xml:space="preserve">☐ State annual report due date (tied to KYNORML's incorporation anniversary — confirm the actual date with the Secretary of State filing record)</w:t>
      </w:r>
    </w:p>
    <w:p>
      <w:pPr>
        <w:spacing w:after="40" w:before="40"/>
        <w:ind w:left="360"/>
      </w:pPr>
      <w:r>
        <w:t xml:space="preserve">☐ State charitable solicitation registration — current status and renewal date</w:t>
      </w:r>
    </w:p>
    <w:p>
      <w:pPr>
        <w:spacing w:after="40" w:before="40"/>
        <w:ind w:left="360"/>
      </w:pPr>
      <w:r>
        <w:t xml:space="preserve">☐ Date of last board meeting with minutes on file, and the next scheduled meeting</w:t>
      </w:r>
    </w:p>
    <w:p>
      <w:pPr>
        <w:spacing w:after="60"/>
      </w:pPr>
    </w:p>
    <w:p>
      <w:pPr>
        <w:pBdr>
          <w:bottom w:val="single" w:color="cccccc" w:sz="4"/>
        </w:pBdr>
        <w:spacing w:after="160" w:before="160"/>
      </w:pPr>
      <w:r>
        <w:t xml:space="preserve"/>
      </w:r>
    </w:p>
    <w:p>
      <w:pPr>
        <w:spacing w:after="60"/>
      </w:pPr>
    </w:p>
    <w:p>
      <w:pPr>
        <w:pBdr>
          <w:bottom w:val="single" w:color="cccccc" w:sz="6"/>
        </w:pBdr>
        <w:spacing w:after="120" w:before="320"/>
      </w:pPr>
      <w:r>
        <w:rPr>
          <w:b/>
          <w:bCs/>
          <w:color w:val="2d5016"/>
          <w:sz w:val="30"/>
          <w:szCs w:val="30"/>
        </w:rPr>
        <w:t xml:space="preserve">First 30 Days — A Ramp for Whoever Steps Into This</w:t>
      </w:r>
    </w:p>
    <w:p>
      <w:pPr>
        <w:spacing w:after="60"/>
      </w:pPr>
    </w:p>
    <w:p>
      <w:pPr>
        <w:spacing w:after="80" w:before="40"/>
      </w:pPr>
      <w:r>
        <w:t xml:space="preserve">If you're new to this role, don't try to run the full monthly rhythm on day one. Use this sequence instead:</w:t>
      </w:r>
    </w:p>
    <w:p>
      <w:pPr>
        <w:spacing w:after="60"/>
      </w:pPr>
    </w:p>
    <w:p>
      <w:pPr>
        <w:spacing w:after="80" w:before="40"/>
      </w:pPr>
      <w:r>
        <w:rPr>
          <w:b/>
          <w:bCs/>
        </w:rPr>
        <w:t xml:space="preserve">Week 1 — Get access, not action.</w:t>
      </w:r>
      <w:r>
        <w:t xml:space="preserve"> Work through the Systems &amp; Access Map above. Confirm you can log into every tool as an admin. Don't change anything yet — just confirm you </w:t>
      </w:r>
      <w:r>
        <w:rPr>
          <w:i/>
          <w:iCs/>
        </w:rPr>
        <w:t xml:space="preserve">can</w:t>
      </w:r>
      <w:r>
        <w:t xml:space="preserve">. Sit down with the outgoing Deputy Director and walk the Handoff Notes checklist together, in person or on a call, while they can still answer follow-up questions in real time.</w:t>
      </w:r>
    </w:p>
    <w:p>
      <w:pPr>
        <w:spacing w:after="60"/>
      </w:pPr>
    </w:p>
    <w:p>
      <w:pPr>
        <w:spacing w:after="80" w:before="40"/>
      </w:pPr>
      <w:r>
        <w:rPr>
          <w:b/>
          <w:bCs/>
        </w:rPr>
        <w:t xml:space="preserve">Week 2 — Read before you run.</w:t>
      </w:r>
      <w:r>
        <w:t xml:space="preserve"> Read Marketing Master Calendar, Revenue Action Dashboard, and Weekly Action Plan in full. Pull the most recent monthly financial snapshot and KPI numbers — even if you didn't generate them, knowing where the chapter stood the month before you arrived is your starting line.</w:t>
      </w:r>
    </w:p>
    <w:p>
      <w:pPr>
        <w:spacing w:after="60"/>
      </w:pPr>
    </w:p>
    <w:p>
      <w:pPr>
        <w:spacing w:after="80" w:before="40"/>
      </w:pPr>
      <w:r>
        <w:rPr>
          <w:b/>
          <w:bCs/>
        </w:rPr>
        <w:t xml:space="preserve">Week 3 — Shadow the rhythm.</w:t>
      </w:r>
      <w:r>
        <w:t xml:space="preserve"> If there's a board meeting, sponsor call, or scheduled email send in this window, sit in on it — ideally with the outgoing person still present to provide context on the "why," not just the "what."</w:t>
      </w:r>
    </w:p>
    <w:p>
      <w:pPr>
        <w:spacing w:after="60"/>
      </w:pPr>
    </w:p>
    <w:p>
      <w:pPr>
        <w:spacing w:after="80" w:before="40"/>
      </w:pPr>
      <w:r>
        <w:rPr>
          <w:b/>
          <w:bCs/>
        </w:rPr>
        <w:t xml:space="preserve">Week 4 — Run one cycle with a safety net.</w:t>
      </w:r>
      <w:r>
        <w:t xml:space="preserve"> Execute the Monthly Rhythm one-page checklist yourself, with the outgoing person available to answer questions but not doing the work for you. By the end of this week, you should be able to run the next month's cycle solo.</w:t>
      </w:r>
    </w:p>
    <w:p>
      <w:pPr>
        <w:spacing w:after="60"/>
      </w:pPr>
    </w:p>
    <w:p>
      <w:pPr>
        <w:spacing w:after="80" w:before="40"/>
      </w:pPr>
      <w:r>
        <w:rPr>
          <w:b/>
          <w:bCs/>
        </w:rPr>
        <w:t xml:space="preserve">The test that tells you the handoff worked:</w:t>
      </w:r>
      <w:r>
        <w:t xml:space="preserve"> can you run a full monthly cycle — financial snapshot, KPI pull, fundraising touches, board prep, compliance check — without needing to ask the outgoing Deputy Director a single question? If yes, the knowledge transfer is complete. If no, that's not a failure — it's a signal of exactly what still needs to be written down.</w:t>
      </w:r>
    </w:p>
    <w:p>
      <w:pPr>
        <w:spacing w:after="60"/>
      </w:pPr>
    </w:p>
    <w:p>
      <w:pPr>
        <w:pBdr>
          <w:bottom w:val="single" w:color="cccccc" w:sz="4"/>
        </w:pBdr>
        <w:spacing w:after="160" w:before="160"/>
      </w:pPr>
      <w:r>
        <w:t xml:space="preserve"/>
      </w:r>
    </w:p>
    <w:p>
      <w:pPr>
        <w:spacing w:after="60"/>
      </w:pPr>
    </w:p>
    <w:p>
      <w:pPr>
        <w:pBdr>
          <w:bottom w:val="single" w:color="cccccc" w:sz="6"/>
        </w:pBdr>
        <w:spacing w:after="120" w:before="320"/>
      </w:pPr>
      <w:r>
        <w:rPr>
          <w:b/>
          <w:bCs/>
          <w:color w:val="2d5016"/>
          <w:sz w:val="30"/>
          <w:szCs w:val="30"/>
        </w:rPr>
        <w:t xml:space="preserve">Glossary — Shorthand You'll See Everywhere in This Vault</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bottom w:type="dxa" w:w="80"/>
        </w:tblCellMar>
      </w:tblPr>
      <w:tblGrid>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rPr>
              <w:t xml:space="preserve">Term</w:t>
            </w:r>
          </w:p>
        </w:tc>
        <w:tc>
          <w:tcPr>
            <w:shd w:fill="2d5016" w:color="FFFFFF" w:val="clear"/>
            <w:tcMar>
              <w:top w:type="dxa" w:w="80"/>
              <w:left w:type="dxa" w:w="120"/>
              <w:bottom w:type="dxa" w:w="80"/>
              <w:right w:type="dxa" w:w="120"/>
            </w:tcMar>
          </w:tcPr>
          <w:p>
            <w:pPr>
              <w:spacing w:after="60" w:before="60"/>
            </w:pPr>
            <w:r>
              <w:rPr>
                <w:b/>
                <w:bCs/>
                <w:color w:val="FFFFFF"/>
              </w:rPr>
              <w:t xml:space="preserve">What It Means</w:t>
            </w:r>
          </w:p>
        </w:tc>
      </w:tr>
      <w:tr>
        <w:tc>
          <w:tcPr>
            <w:tcMar>
              <w:top w:type="dxa" w:w="80"/>
              <w:left w:type="dxa" w:w="120"/>
              <w:bottom w:type="dxa" w:w="80"/>
              <w:right w:type="dxa" w:w="120"/>
            </w:tcMar>
          </w:tcPr>
          <w:p>
            <w:pPr>
              <w:spacing w:after="60" w:before="60"/>
            </w:pPr>
            <w:r>
              <w:rPr>
                <w:b/>
                <w:bCs/>
              </w:rPr>
              <w:t xml:space="preserve">KYNORML</w:t>
            </w:r>
          </w:p>
        </w:tc>
        <w:tc>
          <w:tcPr>
            <w:tcMar>
              <w:top w:type="dxa" w:w="80"/>
              <w:left w:type="dxa" w:w="120"/>
              <w:bottom w:type="dxa" w:w="80"/>
              <w:right w:type="dxa" w:w="120"/>
            </w:tcMar>
          </w:tcPr>
          <w:p>
            <w:pPr>
              <w:spacing w:after="60" w:before="60"/>
            </w:pPr>
            <w:r>
              <w:t xml:space="preserve">Kentucky NORML — the 501(c)(4) chapter this document is about</w:t>
            </w:r>
          </w:p>
        </w:tc>
      </w:tr>
      <w:tr>
        <w:tc>
          <w:tcPr>
            <w:shd w:fill="f4f6f1" w:val="clear"/>
            <w:tcMar>
              <w:top w:type="dxa" w:w="80"/>
              <w:left w:type="dxa" w:w="120"/>
              <w:bottom w:type="dxa" w:w="80"/>
              <w:right w:type="dxa" w:w="120"/>
            </w:tcMar>
          </w:tcPr>
          <w:p>
            <w:pPr>
              <w:spacing w:after="60" w:before="60"/>
            </w:pPr>
            <w:r>
              <w:rPr>
                <w:b/>
                <w:bCs/>
              </w:rPr>
              <w:t xml:space="preserve">CGN</w:t>
            </w:r>
          </w:p>
        </w:tc>
        <w:tc>
          <w:tcPr>
            <w:shd w:fill="f4f6f1" w:val="clear"/>
            <w:tcMar>
              <w:top w:type="dxa" w:w="80"/>
              <w:left w:type="dxa" w:w="120"/>
              <w:bottom w:type="dxa" w:w="80"/>
              <w:right w:type="dxa" w:w="120"/>
            </w:tcMar>
          </w:tcPr>
          <w:p>
            <w:pPr>
              <w:spacing w:after="60" w:before="60"/>
            </w:pPr>
            <w:r>
              <w:t xml:space="preserve">Common Good Network — the affiliated 501(c)(3) education arm (separate legal entity)</w:t>
            </w:r>
          </w:p>
        </w:tc>
      </w:tr>
      <w:tr>
        <w:tc>
          <w:tcPr>
            <w:tcMar>
              <w:top w:type="dxa" w:w="80"/>
              <w:left w:type="dxa" w:w="120"/>
              <w:bottom w:type="dxa" w:w="80"/>
              <w:right w:type="dxa" w:w="120"/>
            </w:tcMar>
          </w:tcPr>
          <w:p>
            <w:pPr>
              <w:spacing w:after="60" w:before="60"/>
            </w:pPr>
            <w:r>
              <w:rPr>
                <w:b/>
                <w:bCs/>
              </w:rPr>
              <w:t xml:space="preserve">VMP</w:t>
            </w:r>
          </w:p>
        </w:tc>
        <w:tc>
          <w:tcPr>
            <w:tcMar>
              <w:top w:type="dxa" w:w="80"/>
              <w:left w:type="dxa" w:w="120"/>
              <w:bottom w:type="dxa" w:w="80"/>
              <w:right w:type="dxa" w:w="120"/>
            </w:tcMar>
          </w:tcPr>
          <w:p>
            <w:pPr>
              <w:spacing w:after="60" w:before="60"/>
            </w:pPr>
            <w:r>
              <w:t xml:space="preserve">Verdant Management Partners — Lauren Bratcher's professional services company; produces KYCannaCon and consults for other chapters</w:t>
            </w:r>
          </w:p>
        </w:tc>
      </w:tr>
      <w:tr>
        <w:tc>
          <w:tcPr>
            <w:shd w:fill="f4f6f1" w:val="clear"/>
            <w:tcMar>
              <w:top w:type="dxa" w:w="80"/>
              <w:left w:type="dxa" w:w="120"/>
              <w:bottom w:type="dxa" w:w="80"/>
              <w:right w:type="dxa" w:w="120"/>
            </w:tcMar>
          </w:tcPr>
          <w:p>
            <w:pPr>
              <w:spacing w:after="60" w:before="60"/>
            </w:pPr>
            <w:r>
              <w:rPr>
                <w:b/>
                <w:bCs/>
              </w:rPr>
              <w:t xml:space="preserve">VV</w:t>
            </w:r>
          </w:p>
        </w:tc>
        <w:tc>
          <w:tcPr>
            <w:shd w:fill="f4f6f1" w:val="clear"/>
            <w:tcMar>
              <w:top w:type="dxa" w:w="80"/>
              <w:left w:type="dxa" w:w="120"/>
              <w:bottom w:type="dxa" w:w="80"/>
              <w:right w:type="dxa" w:w="120"/>
            </w:tcMar>
          </w:tcPr>
          <w:p>
            <w:pPr>
              <w:spacing w:after="60" w:before="60"/>
            </w:pPr>
            <w:r>
              <w:t xml:space="preserve">Verdant Ventures LLC — Lauren's personal vendor entity; bills VMP</w:t>
            </w:r>
          </w:p>
        </w:tc>
      </w:tr>
      <w:tr>
        <w:tc>
          <w:tcPr>
            <w:tcMar>
              <w:top w:type="dxa" w:w="80"/>
              <w:left w:type="dxa" w:w="120"/>
              <w:bottom w:type="dxa" w:w="80"/>
              <w:right w:type="dxa" w:w="120"/>
            </w:tcMar>
          </w:tcPr>
          <w:p>
            <w:pPr>
              <w:spacing w:after="60" w:before="60"/>
            </w:pPr>
            <w:r>
              <w:rPr>
                <w:b/>
                <w:bCs/>
              </w:rPr>
              <w:t xml:space="preserve">GA session</w:t>
            </w:r>
          </w:p>
        </w:tc>
        <w:tc>
          <w:tcPr>
            <w:tcMar>
              <w:top w:type="dxa" w:w="80"/>
              <w:left w:type="dxa" w:w="120"/>
              <w:bottom w:type="dxa" w:w="80"/>
              <w:right w:type="dxa" w:w="120"/>
            </w:tcMar>
          </w:tcPr>
          <w:p>
            <w:pPr>
              <w:spacing w:after="60" w:before="60"/>
            </w:pPr>
            <w:r>
              <w:t xml:space="preserve">The Kentucky General Assembly's annual legislative session (roughly January–March/April) — the single biggest driver of advocacy relevance and press hooks each year</w:t>
            </w:r>
          </w:p>
        </w:tc>
      </w:tr>
      <w:tr>
        <w:tc>
          <w:tcPr>
            <w:shd w:fill="f4f6f1" w:val="clear"/>
            <w:tcMar>
              <w:top w:type="dxa" w:w="80"/>
              <w:left w:type="dxa" w:w="120"/>
              <w:bottom w:type="dxa" w:w="80"/>
              <w:right w:type="dxa" w:w="120"/>
            </w:tcMar>
          </w:tcPr>
          <w:p>
            <w:pPr>
              <w:spacing w:after="60" w:before="60"/>
            </w:pPr>
            <w:r>
              <w:rPr>
                <w:b/>
                <w:bCs/>
              </w:rPr>
              <w:t xml:space="preserve">KYCannaCon</w:t>
            </w:r>
          </w:p>
        </w:tc>
        <w:tc>
          <w:tcPr>
            <w:shd w:fill="f4f6f1" w:val="clear"/>
            <w:tcMar>
              <w:top w:type="dxa" w:w="80"/>
              <w:left w:type="dxa" w:w="120"/>
              <w:bottom w:type="dxa" w:w="80"/>
              <w:right w:type="dxa" w:w="120"/>
            </w:tcMar>
          </w:tcPr>
          <w:p>
            <w:pPr>
              <w:spacing w:after="60" w:before="60"/>
            </w:pPr>
            <w:r>
              <w:t xml:space="preserve">KYNORML's signature annual conference, timed to the GA session, now in its 4th year</w:t>
            </w:r>
          </w:p>
        </w:tc>
      </w:tr>
      <w:tr>
        <w:tc>
          <w:tcPr>
            <w:tcMar>
              <w:top w:type="dxa" w:w="80"/>
              <w:left w:type="dxa" w:w="120"/>
              <w:bottom w:type="dxa" w:w="80"/>
              <w:right w:type="dxa" w:w="120"/>
            </w:tcMar>
          </w:tcPr>
          <w:p>
            <w:pPr>
              <w:spacing w:after="60" w:before="60"/>
            </w:pPr>
            <w:r>
              <w:rPr>
                <w:b/>
                <w:bCs/>
              </w:rPr>
              <w:t xml:space="preserve">The 8k list</w:t>
            </w:r>
          </w:p>
        </w:tc>
        <w:tc>
          <w:tcPr>
            <w:tcMar>
              <w:top w:type="dxa" w:w="80"/>
              <w:left w:type="dxa" w:w="120"/>
              <w:bottom w:type="dxa" w:w="80"/>
              <w:right w:type="dxa" w:w="120"/>
            </w:tcMar>
          </w:tcPr>
          <w:p>
            <w:pPr>
              <w:spacing w:after="60" w:before="60"/>
            </w:pPr>
            <w:r>
              <w:t xml:space="preserve">Shorthand for the ~8,000-person Action Network email list — the chapter's largest single audience asset</w:t>
            </w:r>
          </w:p>
        </w:tc>
      </w:tr>
      <w:tr>
        <w:tc>
          <w:tcPr>
            <w:shd w:fill="f4f6f1" w:val="clear"/>
            <w:tcMar>
              <w:top w:type="dxa" w:w="80"/>
              <w:left w:type="dxa" w:w="120"/>
              <w:bottom w:type="dxa" w:w="80"/>
              <w:right w:type="dxa" w:w="120"/>
            </w:tcMar>
          </w:tcPr>
          <w:p>
            <w:pPr>
              <w:spacing w:after="60" w:before="60"/>
            </w:pPr>
            <w:r>
              <w:rPr>
                <w:b/>
                <w:bCs/>
              </w:rPr>
              <w:t xml:space="preserve">The Chapter Box</w:t>
            </w:r>
          </w:p>
        </w:tc>
        <w:tc>
          <w:tcPr>
            <w:shd w:fill="f4f6f1" w:val="clear"/>
            <w:tcMar>
              <w:top w:type="dxa" w:w="80"/>
              <w:left w:type="dxa" w:w="120"/>
              <w:bottom w:type="dxa" w:w="80"/>
              <w:right w:type="dxa" w:w="120"/>
            </w:tcMar>
          </w:tcPr>
          <w:p>
            <w:pPr>
              <w:spacing w:after="60" w:before="60"/>
            </w:pPr>
            <w:r>
              <w:t xml:space="preserve">The replicable operating-system package (governance, finance, brand, health dashboard, etc.) VMP packages and sells to other NORML state chapters</w:t>
            </w:r>
          </w:p>
        </w:tc>
      </w:tr>
      <w:tr>
        <w:tc>
          <w:tcPr>
            <w:tcMar>
              <w:top w:type="dxa" w:w="80"/>
              <w:left w:type="dxa" w:w="120"/>
              <w:bottom w:type="dxa" w:w="80"/>
              <w:right w:type="dxa" w:w="120"/>
            </w:tcMar>
          </w:tcPr>
          <w:p>
            <w:pPr>
              <w:spacing w:after="60" w:before="60"/>
            </w:pPr>
            <w:r>
              <w:rPr>
                <w:b/>
                <w:bCs/>
              </w:rPr>
              <w:t xml:space="preserve">VMP Chapter outreach / VMP income engine</w:t>
            </w:r>
          </w:p>
        </w:tc>
        <w:tc>
          <w:tcPr>
            <w:tcMar>
              <w:top w:type="dxa" w:w="80"/>
              <w:left w:type="dxa" w:w="120"/>
              <w:bottom w:type="dxa" w:w="80"/>
              <w:right w:type="dxa" w:w="120"/>
            </w:tcMar>
          </w:tcPr>
          <w:p>
            <w:pPr>
              <w:spacing w:after="60" w:before="60"/>
            </w:pPr>
            <w:r>
              <w:t xml:space="preserve">VMP's consulting revenue stream — selling the Chapter Box model to other state chapters; takes 30–45 days to start converting once outreach begins</w:t>
            </w:r>
          </w:p>
        </w:tc>
      </w:tr>
    </w:tbl>
    <w:p>
      <w:pPr>
        <w:spacing w:after="80"/>
      </w:pPr>
    </w:p>
    <w:p>
      <w:pPr>
        <w:spacing w:after="60"/>
      </w:pPr>
    </w:p>
    <w:p>
      <w:pPr>
        <w:pBdr>
          <w:bottom w:val="single" w:color="cccccc" w:sz="4"/>
        </w:pBdr>
        <w:spacing w:after="160" w:before="160"/>
      </w:pPr>
      <w:r>
        <w:t xml:space="preserve"/>
      </w:r>
    </w:p>
    <w:p>
      <w:pPr>
        <w:spacing w:after="60"/>
      </w:pPr>
    </w:p>
    <w:p>
      <w:pPr>
        <w:pBdr>
          <w:bottom w:val="single" w:color="cccccc" w:sz="6"/>
        </w:pBdr>
        <w:spacing w:after="120" w:before="320"/>
      </w:pPr>
      <w:r>
        <w:rPr>
          <w:b/>
          <w:bCs/>
          <w:color w:val="2d5016"/>
          <w:sz w:val="30"/>
          <w:szCs w:val="30"/>
        </w:rPr>
        <w:t xml:space="preserve">Related Files</w:t>
      </w:r>
    </w:p>
    <w:p>
      <w:pPr>
        <w:spacing w:after="60"/>
      </w:pPr>
    </w:p>
    <w:p>
      <w:pPr>
        <w:pStyle w:val="ListParagraph"/>
        <w:numPr>
          <w:ilvl w:val="0"/>
          <w:numId w:val="1"/>
        </w:numPr>
        <w:spacing w:after="40" w:before="40"/>
      </w:pPr>
      <w:r>
        <w:t xml:space="preserve">Financial Box — full bookkeeping setup, budget template, financial controls</w:t>
      </w:r>
    </w:p>
    <w:p>
      <w:pPr>
        <w:pStyle w:val="ListParagraph"/>
        <w:numPr>
          <w:ilvl w:val="0"/>
          <w:numId w:val="1"/>
        </w:numPr>
        <w:spacing w:after="40" w:before="40"/>
      </w:pPr>
      <w:r>
        <w:t xml:space="preserve">Governance Box — board structure, bylaws, IRS compliance, banking</w:t>
      </w:r>
    </w:p>
    <w:p>
      <w:pPr>
        <w:pStyle w:val="ListParagraph"/>
        <w:numPr>
          <w:ilvl w:val="0"/>
          <w:numId w:val="1"/>
        </w:numPr>
        <w:spacing w:after="40" w:before="40"/>
      </w:pPr>
      <w:r>
        <w:t xml:space="preserve">Chapter Health Dashboard — full KPI tracker, health indicators, quarterly/annual review templates</w:t>
      </w:r>
    </w:p>
    <w:p>
      <w:pPr>
        <w:pStyle w:val="ListParagraph"/>
        <w:numPr>
          <w:ilvl w:val="0"/>
          <w:numId w:val="1"/>
        </w:numPr>
        <w:spacing w:after="40" w:before="40"/>
      </w:pPr>
      <w:r>
        <w:t xml:space="preserve">Marketing Master Calendar — the 12-month marketing and revenue view this rhythm runs alongside</w:t>
      </w:r>
    </w:p>
    <w:p>
      <w:pPr>
        <w:pStyle w:val="ListParagraph"/>
        <w:numPr>
          <w:ilvl w:val="0"/>
          <w:numId w:val="1"/>
        </w:numPr>
        <w:spacing w:after="40" w:before="40"/>
      </w:pPr>
      <w:r>
        <w:t xml:space="preserve">Track 1 - Email Campaign System — campaign templates referenced in the fundraising cadence</w:t>
      </w:r>
    </w:p>
    <w:p>
      <w:pPr>
        <w:pStyle w:val="ListParagraph"/>
        <w:numPr>
          <w:ilvl w:val="0"/>
          <w:numId w:val="1"/>
        </w:numPr>
        <w:spacing w:after="40" w:before="40"/>
      </w:pPr>
      <w:r>
        <w:t xml:space="preserve">Track 4 - PR Response System — reactive and planned press workflows</w:t>
      </w:r>
    </w:p>
    <w:p>
      <w:pPr>
        <w:pStyle w:val="ListParagraph"/>
        <w:numPr>
          <w:ilvl w:val="0"/>
          <w:numId w:val="1"/>
        </w:numPr>
        <w:spacing w:after="40" w:before="40"/>
      </w:pPr>
      <w:r>
        <w:t xml:space="preserve">Revenue Action Dashboard — current revenue sprint and scorecard</w:t>
      </w:r>
    </w:p>
    <w:p>
      <w:pPr>
        <w:pStyle w:val="ListParagraph"/>
        <w:numPr>
          <w:ilvl w:val="0"/>
          <w:numId w:val="1"/>
        </w:numPr>
        <w:spacing w:after="40" w:before="40"/>
      </w:pPr>
      <w:r>
        <w:t xml:space="preserve">Weekly Action Plan — week-by-week execution detail</w:t>
      </w:r>
    </w:p>
    <w:p>
      <w:pPr>
        <w:pStyle w:val="ListParagraph"/>
        <w:numPr>
          <w:ilvl w:val="0"/>
          <w:numId w:val="1"/>
        </w:numPr>
        <w:spacing w:after="40" w:before="40"/>
      </w:pPr>
      <w:r>
        <w:t xml:space="preserve">! NORML Chapter Box</w:t>
      </w:r>
    </w:p>
    <w:p>
      <w:pPr>
        <w:spacing w:after="60"/>
      </w:pP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2026-06-08T20:40:15.307Z</dcterms:created>
  <dcterms:modified xsi:type="dcterms:W3CDTF">2026-06-08T20:40:15.308Z</dcterms:modified>
</cp:coreProperties>
</file>

<file path=docProps/custom.xml><?xml version="1.0" encoding="utf-8"?>
<Properties xmlns="http://schemas.openxmlformats.org/officeDocument/2006/custom-properties" xmlns:vt="http://schemas.openxmlformats.org/officeDocument/2006/docPropsVTypes"/>
</file>