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8"/>
        </w:rPr>
        <w:t>Common Good Network Gaming Lounge Business Plan</w:t>
      </w:r>
    </w:p>
    <w:p>
      <w:pPr>
        <w:spacing w:after="240"/>
      </w:pPr>
      <w:r>
        <w:rPr>
          <w:rFonts w:ascii="Calibri" w:hAnsi="Calibri"/>
          <w:color w:val="555555"/>
          <w:sz w:val="22"/>
        </w:rPr>
        <w:t>Bowling Green, Kentucky | Draft prepared for lease approval, application approval, and internal strategy | June 30, 2026</w:t>
      </w:r>
    </w:p>
    <w:p>
      <w:pPr>
        <w:spacing w:after="120"/>
      </w:pPr>
      <w:r>
        <w:rPr>
          <w:b/>
        </w:rPr>
        <w:t>Decision recommendation:</w:t>
      </w:r>
      <w:r>
        <w:t xml:space="preserve"> approve lease pursuit if management verifies insurance requirements, operating authority, opening staffing coverage, and pre-opening cash controls before signing. The current $25,000 request covers lease-readiness cash, while Arrow's post-opening grant and equipment/service support materially reduce launch risk.</w:t>
      </w:r>
    </w:p>
    <w:p>
      <w:pPr>
        <w:pStyle w:val="Heading1"/>
      </w:pPr>
      <w:r>
        <w:t>1. Executive Summary</w:t>
      </w:r>
    </w:p>
    <w:p>
      <w:pPr>
        <w:spacing w:after="120"/>
      </w:pPr>
      <w:r>
        <w:t>Common Good Network proposes to open a gaming lounge in Bowling Green, Kentucky as a structured, community-centered recreation venue offering console/PC gaming, tournaments, memberships, private events, and partner programming. The launch footprint includes 35 gaming machines and an initial schedule of 6 days per week, 8 hours per day. The concept should be positioned as a safe, supervised, social gaming environment rather than a passive arcade.</w:t>
      </w:r>
    </w:p>
    <w:p>
      <w:pPr>
        <w:spacing w:after="120"/>
      </w:pPr>
      <w:r>
        <w:t>[ASSUMPTION: Common Good Network will operate the lounge as a mission-aligned community enterprise with earned revenue, not as a gambling venue, adult-only bar, or purely charitable drop-in space.]</w:t>
      </w:r>
    </w:p>
    <w:p>
      <w:pPr>
        <w:spacing w:after="120"/>
      </w:pPr>
      <w:r>
        <w:t>The immediate funding requirement is $25,000: $10,000 for the opening cash till, $8,000 for first and last month rent, $2,000 for utility deposits, and $5,000 for an operating buffer. Monthly rent is confirmed at $4,000 and includes triple net and CAM. Arrow will grant $25,000-$35,000 once the doors are open and owns all gaming-related equipment and service machines. [GAP: Insurance structure, furniture/buildout items outside gaming equipment, licensing, opening inventory, and pre-opening payroll funding still need confirmation.]</w:t>
      </w:r>
    </w:p>
    <w:p>
      <w:pPr>
        <w:spacing w:after="120"/>
      </w:pPr>
      <w:r>
        <w:t>The local case is credible but not automatic. Bowling Green's growing population and WKU's student base support demand for affordable social recreation, but existing family entertainment centers, youth/community centers, and adult gaming venues already serve parts of the market. Common Good Network's defensible lane is supervised, community-first gaming with consistent programming, memberships, and partner access.</w:t>
      </w:r>
    </w:p>
    <w:p>
      <w:pPr>
        <w:spacing w:after="120"/>
      </w:pPr>
      <w:r>
        <w:t>The Year 1 projection shows $219,782 in revenue and $53,717 in operating surplus before taxes, debt service, depreciation, owner distributions, and Arrow grant proceeds. With the Arrow grant, first-year cash resilience improves materially after opening. The weakest assumption remains paid traffic: the base case requires 32 paid drop-in visits per open day plus 80 average monthly members in Year 1, equal to less than one paid drop-in visit per machine per open day.</w:t>
      </w:r>
    </w:p>
    <w:p>
      <w:pPr>
        <w:spacing w:after="120"/>
      </w:pPr>
      <w:r>
        <w:t>[GAP: Existing financials, confirmed opening date/deadline, exact location, square footage, staffing plan, insurance quotes, legal entity details, and written Arrow grant/equipment terms were not provided.]</w:t>
      </w:r>
    </w:p>
    <w:p>
      <w:pPr>
        <w:pStyle w:val="Heading1"/>
      </w:pPr>
      <w:r>
        <w:t>2. Company Description</w:t>
      </w:r>
    </w:p>
    <w:p>
      <w:pPr>
        <w:spacing w:after="120"/>
      </w:pPr>
      <w:r>
        <w:t>Common Good Network's Gaming Lounge will be a community-oriented gaming and events venue in Bowling Green, KY. The launch plan starts with 35 gaming machines and an operating schedule of 6 days per week, 8 hours per day. The business will monetize through hourly/day-pass gaming access, memberships, tournaments, private events, partner rentals, light concessions, merchandise, and potential sponsorships.</w:t>
      </w:r>
    </w:p>
    <w:p>
      <w:pPr>
        <w:spacing w:after="120"/>
      </w:pPr>
      <w:r>
        <w:t>The concept fits best as a hybrid between entertainment venue and community program platform. That hybrid structure matters for lease and internal approval: the lounge must generate enough recurring revenue to cover rent and labor, while also creating mission value through supervised recreation, skill-building events, and partner access.</w:t>
      </w:r>
    </w:p>
    <w:p>
      <w:pPr>
        <w:pStyle w:val="Heading2"/>
      </w:pPr>
      <w:r>
        <w:t>Mission Fit</w:t>
      </w:r>
    </w:p>
    <w:p>
      <w:pPr>
        <w:pStyle w:val="ListBullet"/>
        <w:spacing w:after="80"/>
      </w:pPr>
      <w:r>
        <w:t>Provide a safe, supervised place for social gaming and positive peer connection.</w:t>
      </w:r>
    </w:p>
    <w:p>
      <w:pPr>
        <w:pStyle w:val="ListBullet"/>
        <w:spacing w:after="80"/>
      </w:pPr>
      <w:r>
        <w:t>Create low-cost entertainment access for students, families, and young adults.</w:t>
      </w:r>
    </w:p>
    <w:p>
      <w:pPr>
        <w:pStyle w:val="ListBullet"/>
        <w:spacing w:after="80"/>
      </w:pPr>
      <w:r>
        <w:t>Use tournaments, leagues, and workshops to build teamwork, digital confidence, and community belonging.</w:t>
      </w:r>
    </w:p>
    <w:p>
      <w:pPr>
        <w:pStyle w:val="ListBullet"/>
        <w:spacing w:after="80"/>
      </w:pPr>
      <w:r>
        <w:t>Build a flexible venue that can host partner nights, youth groups, school-adjacent programs, and community events.</w:t>
      </w:r>
    </w:p>
    <w:p>
      <w:pPr>
        <w:pStyle w:val="Heading2"/>
      </w:pPr>
      <w:r>
        <w:t>Business Model</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944"/>
            <w:tcMar>
              <w:top w:w="80" w:type="dxa"/>
              <w:start w:w="120" w:type="dxa"/>
              <w:bottom w:w="80" w:type="dxa"/>
              <w:end w:w="120" w:type="dxa"/>
            </w:tcMar>
            <w:vAlign w:val="center"/>
            <w:shd w:fill="F2F4F7"/>
          </w:tcPr>
          <w:p>
            <w:pPr>
              <w:spacing w:after="40"/>
            </w:pPr>
            <w:r>
              <w:rPr>
                <w:rFonts w:ascii="Calibri" w:hAnsi="Calibri"/>
                <w:b/>
                <w:color w:val="1F4D78"/>
                <w:sz w:val="19"/>
              </w:rPr>
              <w:t>Revenue stream</w:t>
            </w:r>
          </w:p>
        </w:tc>
        <w:tc>
          <w:tcPr>
            <w:tcW w:type="dxa" w:w="4824"/>
            <w:tcMar>
              <w:top w:w="80" w:type="dxa"/>
              <w:start w:w="120" w:type="dxa"/>
              <w:bottom w:w="80" w:type="dxa"/>
              <w:end w:w="120" w:type="dxa"/>
            </w:tcMar>
            <w:vAlign w:val="center"/>
            <w:shd w:fill="F2F4F7"/>
          </w:tcPr>
          <w:p>
            <w:pPr>
              <w:spacing w:after="40"/>
            </w:pPr>
            <w:r>
              <w:rPr>
                <w:rFonts w:ascii="Calibri" w:hAnsi="Calibri"/>
                <w:b/>
                <w:color w:val="1F4D78"/>
                <w:sz w:val="19"/>
              </w:rPr>
              <w:t>Operating logic</w:t>
            </w:r>
          </w:p>
        </w:tc>
        <w:tc>
          <w:tcPr>
            <w:tcW w:type="dxa" w:w="2232"/>
            <w:tcMar>
              <w:top w:w="80" w:type="dxa"/>
              <w:start w:w="120" w:type="dxa"/>
              <w:bottom w:w="80" w:type="dxa"/>
              <w:end w:w="120" w:type="dxa"/>
            </w:tcMar>
            <w:vAlign w:val="center"/>
            <w:shd w:fill="F2F4F7"/>
          </w:tcPr>
          <w:p>
            <w:pPr>
              <w:spacing w:after="40"/>
            </w:pPr>
            <w:r>
              <w:rPr>
                <w:rFonts w:ascii="Calibri" w:hAnsi="Calibri"/>
                <w:b/>
                <w:color w:val="1F4D78"/>
                <w:sz w:val="19"/>
              </w:rPr>
              <w:t>Year 1 role</w:t>
            </w:r>
          </w:p>
        </w:tc>
      </w:tr>
      <w:tr>
        <w:tc>
          <w:tcPr>
            <w:tcW w:type="dxa" w:w="1944"/>
            <w:tcMar>
              <w:top w:w="80" w:type="dxa"/>
              <w:start w:w="120" w:type="dxa"/>
              <w:bottom w:w="80" w:type="dxa"/>
              <w:end w:w="120" w:type="dxa"/>
            </w:tcMar>
            <w:vAlign w:val="center"/>
          </w:tcPr>
          <w:p>
            <w:pPr>
              <w:spacing w:after="40"/>
            </w:pPr>
            <w:r>
              <w:rPr>
                <w:rFonts w:ascii="Calibri" w:hAnsi="Calibri"/>
                <w:sz w:val="19"/>
              </w:rPr>
              <w:t>Drop-in gaming</w:t>
            </w:r>
          </w:p>
        </w:tc>
        <w:tc>
          <w:tcPr>
            <w:tcW w:type="dxa" w:w="4824"/>
            <w:tcMar>
              <w:top w:w="80" w:type="dxa"/>
              <w:start w:w="120" w:type="dxa"/>
              <w:bottom w:w="80" w:type="dxa"/>
              <w:end w:w="120" w:type="dxa"/>
            </w:tcMar>
            <w:vAlign w:val="center"/>
          </w:tcPr>
          <w:p>
            <w:pPr>
              <w:spacing w:after="40"/>
            </w:pPr>
            <w:r>
              <w:rPr>
                <w:rFonts w:ascii="Calibri" w:hAnsi="Calibri"/>
                <w:sz w:val="19"/>
              </w:rPr>
              <w:t>Hourly/day-pass access to consoles, PCs, racing/sports games, fighting games, and party games.</w:t>
            </w:r>
          </w:p>
        </w:tc>
        <w:tc>
          <w:tcPr>
            <w:tcW w:type="dxa" w:w="2232"/>
            <w:tcMar>
              <w:top w:w="80" w:type="dxa"/>
              <w:start w:w="120" w:type="dxa"/>
              <w:bottom w:w="80" w:type="dxa"/>
              <w:end w:w="120" w:type="dxa"/>
            </w:tcMar>
            <w:vAlign w:val="center"/>
          </w:tcPr>
          <w:p>
            <w:pPr>
              <w:spacing w:after="40"/>
            </w:pPr>
            <w:r>
              <w:rPr>
                <w:rFonts w:ascii="Calibri" w:hAnsi="Calibri"/>
                <w:sz w:val="19"/>
              </w:rPr>
              <w:t>Primary traffic driver</w:t>
            </w:r>
          </w:p>
        </w:tc>
      </w:tr>
      <w:tr>
        <w:tc>
          <w:tcPr>
            <w:tcW w:type="dxa" w:w="1944"/>
            <w:tcMar>
              <w:top w:w="80" w:type="dxa"/>
              <w:start w:w="120" w:type="dxa"/>
              <w:bottom w:w="80" w:type="dxa"/>
              <w:end w:w="120" w:type="dxa"/>
            </w:tcMar>
            <w:vAlign w:val="center"/>
          </w:tcPr>
          <w:p>
            <w:pPr>
              <w:spacing w:after="40"/>
            </w:pPr>
            <w:r>
              <w:rPr>
                <w:rFonts w:ascii="Calibri" w:hAnsi="Calibri"/>
                <w:sz w:val="19"/>
              </w:rPr>
              <w:t>Memberships</w:t>
            </w:r>
          </w:p>
        </w:tc>
        <w:tc>
          <w:tcPr>
            <w:tcW w:type="dxa" w:w="4824"/>
            <w:tcMar>
              <w:top w:w="80" w:type="dxa"/>
              <w:start w:w="120" w:type="dxa"/>
              <w:bottom w:w="80" w:type="dxa"/>
              <w:end w:w="120" w:type="dxa"/>
            </w:tcMar>
            <w:vAlign w:val="center"/>
          </w:tcPr>
          <w:p>
            <w:pPr>
              <w:spacing w:after="40"/>
            </w:pPr>
            <w:r>
              <w:rPr>
                <w:rFonts w:ascii="Calibri" w:hAnsi="Calibri"/>
                <w:sz w:val="19"/>
              </w:rPr>
              <w:t>Monthly recurring access, discounted tournaments, member-only nights, and guest passes.</w:t>
            </w:r>
          </w:p>
        </w:tc>
        <w:tc>
          <w:tcPr>
            <w:tcW w:type="dxa" w:w="2232"/>
            <w:tcMar>
              <w:top w:w="80" w:type="dxa"/>
              <w:start w:w="120" w:type="dxa"/>
              <w:bottom w:w="80" w:type="dxa"/>
              <w:end w:w="120" w:type="dxa"/>
            </w:tcMar>
            <w:vAlign w:val="center"/>
          </w:tcPr>
          <w:p>
            <w:pPr>
              <w:spacing w:after="40"/>
            </w:pPr>
            <w:r>
              <w:rPr>
                <w:rFonts w:ascii="Calibri" w:hAnsi="Calibri"/>
                <w:sz w:val="19"/>
              </w:rPr>
              <w:t>Stabilizes cash flow</w:t>
            </w:r>
          </w:p>
        </w:tc>
      </w:tr>
      <w:tr>
        <w:tc>
          <w:tcPr>
            <w:tcW w:type="dxa" w:w="1944"/>
            <w:tcMar>
              <w:top w:w="80" w:type="dxa"/>
              <w:start w:w="120" w:type="dxa"/>
              <w:bottom w:w="80" w:type="dxa"/>
              <w:end w:w="120" w:type="dxa"/>
            </w:tcMar>
            <w:vAlign w:val="center"/>
          </w:tcPr>
          <w:p>
            <w:pPr>
              <w:spacing w:after="40"/>
            </w:pPr>
            <w:r>
              <w:rPr>
                <w:rFonts w:ascii="Calibri" w:hAnsi="Calibri"/>
                <w:sz w:val="19"/>
              </w:rPr>
              <w:t>Tournaments/events</w:t>
            </w:r>
          </w:p>
        </w:tc>
        <w:tc>
          <w:tcPr>
            <w:tcW w:type="dxa" w:w="4824"/>
            <w:tcMar>
              <w:top w:w="80" w:type="dxa"/>
              <w:start w:w="120" w:type="dxa"/>
              <w:bottom w:w="80" w:type="dxa"/>
              <w:end w:w="120" w:type="dxa"/>
            </w:tcMar>
            <w:vAlign w:val="center"/>
          </w:tcPr>
          <w:p>
            <w:pPr>
              <w:spacing w:after="40"/>
            </w:pPr>
            <w:r>
              <w:rPr>
                <w:rFonts w:ascii="Calibri" w:hAnsi="Calibri"/>
                <w:sz w:val="19"/>
              </w:rPr>
              <w:t>Smash, sports titles, racing nights, school break events, birthday packages, and team competitions.</w:t>
            </w:r>
          </w:p>
        </w:tc>
        <w:tc>
          <w:tcPr>
            <w:tcW w:type="dxa" w:w="2232"/>
            <w:tcMar>
              <w:top w:w="80" w:type="dxa"/>
              <w:start w:w="120" w:type="dxa"/>
              <w:bottom w:w="80" w:type="dxa"/>
              <w:end w:w="120" w:type="dxa"/>
            </w:tcMar>
            <w:vAlign w:val="center"/>
          </w:tcPr>
          <w:p>
            <w:pPr>
              <w:spacing w:after="40"/>
            </w:pPr>
            <w:r>
              <w:rPr>
                <w:rFonts w:ascii="Calibri" w:hAnsi="Calibri"/>
                <w:sz w:val="19"/>
              </w:rPr>
              <w:t>High-margin programmed revenue</w:t>
            </w:r>
          </w:p>
        </w:tc>
      </w:tr>
      <w:tr>
        <w:tc>
          <w:tcPr>
            <w:tcW w:type="dxa" w:w="1944"/>
            <w:tcMar>
              <w:top w:w="80" w:type="dxa"/>
              <w:start w:w="120" w:type="dxa"/>
              <w:bottom w:w="80" w:type="dxa"/>
              <w:end w:w="120" w:type="dxa"/>
            </w:tcMar>
            <w:vAlign w:val="center"/>
          </w:tcPr>
          <w:p>
            <w:pPr>
              <w:spacing w:after="40"/>
            </w:pPr>
            <w:r>
              <w:rPr>
                <w:rFonts w:ascii="Calibri" w:hAnsi="Calibri"/>
                <w:sz w:val="19"/>
              </w:rPr>
              <w:t>Private rentals</w:t>
            </w:r>
          </w:p>
        </w:tc>
        <w:tc>
          <w:tcPr>
            <w:tcW w:type="dxa" w:w="4824"/>
            <w:tcMar>
              <w:top w:w="80" w:type="dxa"/>
              <w:start w:w="120" w:type="dxa"/>
              <w:bottom w:w="80" w:type="dxa"/>
              <w:end w:w="120" w:type="dxa"/>
            </w:tcMar>
            <w:vAlign w:val="center"/>
          </w:tcPr>
          <w:p>
            <w:pPr>
              <w:spacing w:after="40"/>
            </w:pPr>
            <w:r>
              <w:rPr>
                <w:rFonts w:ascii="Calibri" w:hAnsi="Calibri"/>
                <w:sz w:val="19"/>
              </w:rPr>
              <w:t>Reserved blocks for youth groups, partners, birthdays, and team-building.</w:t>
            </w:r>
          </w:p>
        </w:tc>
        <w:tc>
          <w:tcPr>
            <w:tcW w:type="dxa" w:w="2232"/>
            <w:tcMar>
              <w:top w:w="80" w:type="dxa"/>
              <w:start w:w="120" w:type="dxa"/>
              <w:bottom w:w="80" w:type="dxa"/>
              <w:end w:w="120" w:type="dxa"/>
            </w:tcMar>
            <w:vAlign w:val="center"/>
          </w:tcPr>
          <w:p>
            <w:pPr>
              <w:spacing w:after="40"/>
            </w:pPr>
            <w:r>
              <w:rPr>
                <w:rFonts w:ascii="Calibri" w:hAnsi="Calibri"/>
                <w:sz w:val="19"/>
              </w:rPr>
              <w:t>Predictable off-peak monetization</w:t>
            </w:r>
          </w:p>
        </w:tc>
      </w:tr>
      <w:tr>
        <w:tc>
          <w:tcPr>
            <w:tcW w:type="dxa" w:w="1944"/>
            <w:tcMar>
              <w:top w:w="80" w:type="dxa"/>
              <w:start w:w="120" w:type="dxa"/>
              <w:bottom w:w="80" w:type="dxa"/>
              <w:end w:w="120" w:type="dxa"/>
            </w:tcMar>
            <w:vAlign w:val="center"/>
          </w:tcPr>
          <w:p>
            <w:pPr>
              <w:spacing w:after="40"/>
            </w:pPr>
            <w:r>
              <w:rPr>
                <w:rFonts w:ascii="Calibri" w:hAnsi="Calibri"/>
                <w:sz w:val="19"/>
              </w:rPr>
              <w:t>Concessions/merch</w:t>
            </w:r>
          </w:p>
        </w:tc>
        <w:tc>
          <w:tcPr>
            <w:tcW w:type="dxa" w:w="4824"/>
            <w:tcMar>
              <w:top w:w="80" w:type="dxa"/>
              <w:start w:w="120" w:type="dxa"/>
              <w:bottom w:w="80" w:type="dxa"/>
              <w:end w:w="120" w:type="dxa"/>
            </w:tcMar>
            <w:vAlign w:val="center"/>
          </w:tcPr>
          <w:p>
            <w:pPr>
              <w:spacing w:after="40"/>
            </w:pPr>
            <w:r>
              <w:rPr>
                <w:rFonts w:ascii="Calibri" w:hAnsi="Calibri"/>
                <w:sz w:val="19"/>
              </w:rPr>
              <w:t>Snacks, drinks, small branded goods, and tournament merchandise.</w:t>
            </w:r>
          </w:p>
        </w:tc>
        <w:tc>
          <w:tcPr>
            <w:tcW w:type="dxa" w:w="2232"/>
            <w:tcMar>
              <w:top w:w="80" w:type="dxa"/>
              <w:start w:w="120" w:type="dxa"/>
              <w:bottom w:w="80" w:type="dxa"/>
              <w:end w:w="120" w:type="dxa"/>
            </w:tcMar>
            <w:vAlign w:val="center"/>
          </w:tcPr>
          <w:p>
            <w:pPr>
              <w:spacing w:after="40"/>
            </w:pPr>
            <w:r>
              <w:rPr>
                <w:rFonts w:ascii="Calibri" w:hAnsi="Calibri"/>
                <w:sz w:val="19"/>
              </w:rPr>
              <w:t>Margin support, not core thesis</w:t>
            </w:r>
          </w:p>
        </w:tc>
      </w:tr>
      <w:tr>
        <w:tc>
          <w:tcPr>
            <w:tcW w:type="dxa" w:w="1944"/>
            <w:tcMar>
              <w:top w:w="80" w:type="dxa"/>
              <w:start w:w="120" w:type="dxa"/>
              <w:bottom w:w="80" w:type="dxa"/>
              <w:end w:w="120" w:type="dxa"/>
            </w:tcMar>
            <w:vAlign w:val="center"/>
          </w:tcPr>
          <w:p>
            <w:pPr>
              <w:spacing w:after="40"/>
            </w:pPr>
            <w:r>
              <w:rPr>
                <w:rFonts w:ascii="Calibri" w:hAnsi="Calibri"/>
                <w:sz w:val="19"/>
              </w:rPr>
              <w:t>Sponsorships</w:t>
            </w:r>
          </w:p>
        </w:tc>
        <w:tc>
          <w:tcPr>
            <w:tcW w:type="dxa" w:w="4824"/>
            <w:tcMar>
              <w:top w:w="80" w:type="dxa"/>
              <w:start w:w="120" w:type="dxa"/>
              <w:bottom w:w="80" w:type="dxa"/>
              <w:end w:w="120" w:type="dxa"/>
            </w:tcMar>
            <w:vAlign w:val="center"/>
          </w:tcPr>
          <w:p>
            <w:pPr>
              <w:spacing w:after="40"/>
            </w:pPr>
            <w:r>
              <w:rPr>
                <w:rFonts w:ascii="Calibri" w:hAnsi="Calibri"/>
                <w:sz w:val="19"/>
              </w:rPr>
              <w:t>Local business sponsorship of tournaments, stations, scholarships, or leagues.</w:t>
            </w:r>
          </w:p>
        </w:tc>
        <w:tc>
          <w:tcPr>
            <w:tcW w:type="dxa" w:w="2232"/>
            <w:tcMar>
              <w:top w:w="80" w:type="dxa"/>
              <w:start w:w="120" w:type="dxa"/>
              <w:bottom w:w="80" w:type="dxa"/>
              <w:end w:w="120" w:type="dxa"/>
            </w:tcMar>
            <w:vAlign w:val="center"/>
          </w:tcPr>
          <w:p>
            <w:pPr>
              <w:spacing w:after="40"/>
            </w:pPr>
            <w:r>
              <w:rPr>
                <w:rFonts w:ascii="Calibri" w:hAnsi="Calibri"/>
                <w:sz w:val="19"/>
              </w:rPr>
              <w:t>Upside not relied on in base case</w:t>
            </w:r>
          </w:p>
        </w:tc>
      </w:tr>
    </w:tbl>
    <w:p/>
    <w:p>
      <w:pPr>
        <w:pStyle w:val="Heading1"/>
      </w:pPr>
      <w:r>
        <w:t>3. Market Analysis</w:t>
      </w:r>
    </w:p>
    <w:p>
      <w:pPr>
        <w:pStyle w:val="Heading2"/>
      </w:pPr>
      <w:r>
        <w:t>Local Demand Context</w:t>
      </w:r>
    </w:p>
    <w:p>
      <w:pPr>
        <w:spacing w:after="120"/>
      </w:pPr>
      <w:r>
        <w:t>Bowling Green is Kentucky's third-largest city by 2020 Census count and remains a growing regional market. U.S. Census QuickFacts estimated Bowling Green city population at 78,505 in 2025, up 8.6% from the 2020 estimate base. WKU reported preliminary fall 2025 enrollment of 15,920 students, creating a visible student and young-adult demand base for affordable, social entertainment.</w:t>
      </w:r>
    </w:p>
    <w:p>
      <w:pPr>
        <w:spacing w:after="120"/>
      </w:pPr>
      <w:r>
        <w:t>Commercial rent context supports the confirmed rent. CommercialCafe reported Bowling Green commercial real estate asking rents averaging $19.26 per square foot, with listed range examples from $11 to $27.50 per square foot. Rent is confirmed at $4,000 per month including triple net and CAM. [ASSUMPTION: If the lounge occupies approximately 2,000 square feet, total rent equals about $24 per square foot annually, which is within the observed listed market range but toward the higher end.]</w:t>
      </w:r>
    </w:p>
    <w:p>
      <w:pPr>
        <w:pStyle w:val="Heading2"/>
      </w:pPr>
      <w:r>
        <w:t>Competitive Landscape</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944"/>
            <w:tcMar>
              <w:top w:w="80" w:type="dxa"/>
              <w:start w:w="120" w:type="dxa"/>
              <w:bottom w:w="80" w:type="dxa"/>
              <w:end w:w="120" w:type="dxa"/>
            </w:tcMar>
            <w:vAlign w:val="center"/>
            <w:shd w:fill="F2F4F7"/>
          </w:tcPr>
          <w:p>
            <w:pPr>
              <w:spacing w:after="40"/>
            </w:pPr>
            <w:r>
              <w:rPr>
                <w:rFonts w:ascii="Calibri" w:hAnsi="Calibri"/>
                <w:b/>
                <w:color w:val="1F4D78"/>
                <w:sz w:val="19"/>
              </w:rPr>
              <w:t>Category</w:t>
            </w:r>
          </w:p>
        </w:tc>
        <w:tc>
          <w:tcPr>
            <w:tcW w:type="dxa" w:w="4248"/>
            <w:tcMar>
              <w:top w:w="80" w:type="dxa"/>
              <w:start w:w="120" w:type="dxa"/>
              <w:bottom w:w="80" w:type="dxa"/>
              <w:end w:w="120" w:type="dxa"/>
            </w:tcMar>
            <w:vAlign w:val="center"/>
            <w:shd w:fill="F2F4F7"/>
          </w:tcPr>
          <w:p>
            <w:pPr>
              <w:spacing w:after="40"/>
            </w:pPr>
            <w:r>
              <w:rPr>
                <w:rFonts w:ascii="Calibri" w:hAnsi="Calibri"/>
                <w:b/>
                <w:color w:val="1F4D78"/>
                <w:sz w:val="19"/>
              </w:rPr>
              <w:t>Examples / evidence</w:t>
            </w:r>
          </w:p>
        </w:tc>
        <w:tc>
          <w:tcPr>
            <w:tcW w:type="dxa" w:w="2880"/>
            <w:tcMar>
              <w:top w:w="80" w:type="dxa"/>
              <w:start w:w="120" w:type="dxa"/>
              <w:bottom w:w="80" w:type="dxa"/>
              <w:end w:w="120" w:type="dxa"/>
            </w:tcMar>
            <w:vAlign w:val="center"/>
            <w:shd w:fill="F2F4F7"/>
          </w:tcPr>
          <w:p>
            <w:pPr>
              <w:spacing w:after="40"/>
            </w:pPr>
            <w:r>
              <w:rPr>
                <w:rFonts w:ascii="Calibri" w:hAnsi="Calibri"/>
                <w:b/>
                <w:color w:val="1F4D78"/>
                <w:sz w:val="19"/>
              </w:rPr>
              <w:t>Implication for Common Good Network</w:t>
            </w:r>
          </w:p>
        </w:tc>
      </w:tr>
      <w:tr>
        <w:tc>
          <w:tcPr>
            <w:tcW w:type="dxa" w:w="1944"/>
            <w:tcMar>
              <w:top w:w="80" w:type="dxa"/>
              <w:start w:w="120" w:type="dxa"/>
              <w:bottom w:w="80" w:type="dxa"/>
              <w:end w:w="120" w:type="dxa"/>
            </w:tcMar>
            <w:vAlign w:val="center"/>
          </w:tcPr>
          <w:p>
            <w:pPr>
              <w:spacing w:after="40"/>
            </w:pPr>
            <w:r>
              <w:rPr>
                <w:rFonts w:ascii="Calibri" w:hAnsi="Calibri"/>
                <w:sz w:val="19"/>
              </w:rPr>
              <w:t>Family entertainment</w:t>
            </w:r>
          </w:p>
        </w:tc>
        <w:tc>
          <w:tcPr>
            <w:tcW w:type="dxa" w:w="4248"/>
            <w:tcMar>
              <w:top w:w="80" w:type="dxa"/>
              <w:start w:w="120" w:type="dxa"/>
              <w:bottom w:w="80" w:type="dxa"/>
              <w:end w:w="120" w:type="dxa"/>
            </w:tcMar>
            <w:vAlign w:val="center"/>
          </w:tcPr>
          <w:p>
            <w:pPr>
              <w:spacing w:after="40"/>
            </w:pPr>
            <w:r>
              <w:rPr>
                <w:rFonts w:ascii="Calibri" w:hAnsi="Calibri"/>
                <w:sz w:val="19"/>
              </w:rPr>
              <w:t>Ralphie's Fun Center advertises 40+ arcade games and attractions; Southern Lanes promotes bowling, laser tag, billiards, batting cages, arcade games, and party rooms.</w:t>
            </w:r>
          </w:p>
        </w:tc>
        <w:tc>
          <w:tcPr>
            <w:tcW w:type="dxa" w:w="2880"/>
            <w:tcMar>
              <w:top w:w="80" w:type="dxa"/>
              <w:start w:w="120" w:type="dxa"/>
              <w:bottom w:w="80" w:type="dxa"/>
              <w:end w:w="120" w:type="dxa"/>
            </w:tcMar>
            <w:vAlign w:val="center"/>
          </w:tcPr>
          <w:p>
            <w:pPr>
              <w:spacing w:after="40"/>
            </w:pPr>
            <w:r>
              <w:rPr>
                <w:rFonts w:ascii="Calibri" w:hAnsi="Calibri"/>
                <w:sz w:val="19"/>
              </w:rPr>
              <w:t>Compete on community programming, gaming specialization, and recurring memberships rather than broad attractions.</w:t>
            </w:r>
          </w:p>
        </w:tc>
      </w:tr>
      <w:tr>
        <w:tc>
          <w:tcPr>
            <w:tcW w:type="dxa" w:w="1944"/>
            <w:tcMar>
              <w:top w:w="80" w:type="dxa"/>
              <w:start w:w="120" w:type="dxa"/>
              <w:bottom w:w="80" w:type="dxa"/>
              <w:end w:w="120" w:type="dxa"/>
            </w:tcMar>
            <w:vAlign w:val="center"/>
          </w:tcPr>
          <w:p>
            <w:pPr>
              <w:spacing w:after="40"/>
            </w:pPr>
            <w:r>
              <w:rPr>
                <w:rFonts w:ascii="Calibri" w:hAnsi="Calibri"/>
                <w:sz w:val="19"/>
              </w:rPr>
              <w:t>Youth/community centers</w:t>
            </w:r>
          </w:p>
        </w:tc>
        <w:tc>
          <w:tcPr>
            <w:tcW w:type="dxa" w:w="4248"/>
            <w:tcMar>
              <w:top w:w="80" w:type="dxa"/>
              <w:start w:w="120" w:type="dxa"/>
              <w:bottom w:w="80" w:type="dxa"/>
              <w:end w:w="120" w:type="dxa"/>
            </w:tcMar>
            <w:vAlign w:val="center"/>
          </w:tcPr>
          <w:p>
            <w:pPr>
              <w:spacing w:after="40"/>
            </w:pPr>
            <w:r>
              <w:rPr>
                <w:rFonts w:ascii="Calibri" w:hAnsi="Calibri"/>
                <w:sz w:val="19"/>
              </w:rPr>
              <w:t>Boys &amp; Girls Club of Bowling Green's Teen Center serves ages 13-18 and offers multiple gaming systems, laptops, pool table, seating, and programming. City recreation centers offer game rooms and youth programs.</w:t>
            </w:r>
          </w:p>
        </w:tc>
        <w:tc>
          <w:tcPr>
            <w:tcW w:type="dxa" w:w="2880"/>
            <w:tcMar>
              <w:top w:w="80" w:type="dxa"/>
              <w:start w:w="120" w:type="dxa"/>
              <w:bottom w:w="80" w:type="dxa"/>
              <w:end w:w="120" w:type="dxa"/>
            </w:tcMar>
            <w:vAlign w:val="center"/>
          </w:tcPr>
          <w:p>
            <w:pPr>
              <w:spacing w:after="40"/>
            </w:pPr>
            <w:r>
              <w:rPr>
                <w:rFonts w:ascii="Calibri" w:hAnsi="Calibri"/>
                <w:sz w:val="19"/>
              </w:rPr>
              <w:t>Partner, do not duplicate. Common Good should serve evenings, tournaments, families, young adults, and partner events.</w:t>
            </w:r>
          </w:p>
        </w:tc>
      </w:tr>
      <w:tr>
        <w:tc>
          <w:tcPr>
            <w:tcW w:type="dxa" w:w="1944"/>
            <w:tcMar>
              <w:top w:w="80" w:type="dxa"/>
              <w:start w:w="120" w:type="dxa"/>
              <w:bottom w:w="80" w:type="dxa"/>
              <w:end w:w="120" w:type="dxa"/>
            </w:tcMar>
            <w:vAlign w:val="center"/>
          </w:tcPr>
          <w:p>
            <w:pPr>
              <w:spacing w:after="40"/>
            </w:pPr>
            <w:r>
              <w:rPr>
                <w:rFonts w:ascii="Calibri" w:hAnsi="Calibri"/>
                <w:sz w:val="19"/>
              </w:rPr>
              <w:t>Adult gaming/entertainment</w:t>
            </w:r>
          </w:p>
        </w:tc>
        <w:tc>
          <w:tcPr>
            <w:tcW w:type="dxa" w:w="4248"/>
            <w:tcMar>
              <w:top w:w="80" w:type="dxa"/>
              <w:start w:w="120" w:type="dxa"/>
              <w:bottom w:w="80" w:type="dxa"/>
              <w:end w:w="120" w:type="dxa"/>
            </w:tcMar>
            <w:vAlign w:val="center"/>
          </w:tcPr>
          <w:p>
            <w:pPr>
              <w:spacing w:after="40"/>
            </w:pPr>
            <w:r>
              <w:rPr>
                <w:rFonts w:ascii="Calibri" w:hAnsi="Calibri"/>
                <w:sz w:val="19"/>
              </w:rPr>
              <w:t>The Mint Gaming Hall promotes nearly 500 gaming machines, sportsbook, Top Golf Swing Suites, food, bar, and live entertainment.</w:t>
            </w:r>
          </w:p>
        </w:tc>
        <w:tc>
          <w:tcPr>
            <w:tcW w:type="dxa" w:w="2880"/>
            <w:tcMar>
              <w:top w:w="80" w:type="dxa"/>
              <w:start w:w="120" w:type="dxa"/>
              <w:bottom w:w="80" w:type="dxa"/>
              <w:end w:w="120" w:type="dxa"/>
            </w:tcMar>
            <w:vAlign w:val="center"/>
          </w:tcPr>
          <w:p>
            <w:pPr>
              <w:spacing w:after="40"/>
            </w:pPr>
            <w:r>
              <w:rPr>
                <w:rFonts w:ascii="Calibri" w:hAnsi="Calibri"/>
                <w:sz w:val="19"/>
              </w:rPr>
              <w:t>Differentiate clearly from gambling and adult gaming. The lounge should be safe, supervised, and mission-aligned.</w:t>
            </w:r>
          </w:p>
        </w:tc>
      </w:tr>
      <w:tr>
        <w:tc>
          <w:tcPr>
            <w:tcW w:type="dxa" w:w="1944"/>
            <w:tcMar>
              <w:top w:w="80" w:type="dxa"/>
              <w:start w:w="120" w:type="dxa"/>
              <w:bottom w:w="80" w:type="dxa"/>
              <w:end w:w="120" w:type="dxa"/>
            </w:tcMar>
            <w:vAlign w:val="center"/>
          </w:tcPr>
          <w:p>
            <w:pPr>
              <w:spacing w:after="40"/>
            </w:pPr>
            <w:r>
              <w:rPr>
                <w:rFonts w:ascii="Calibri" w:hAnsi="Calibri"/>
                <w:sz w:val="19"/>
              </w:rPr>
              <w:t>Regional esports/barcade options</w:t>
            </w:r>
          </w:p>
        </w:tc>
        <w:tc>
          <w:tcPr>
            <w:tcW w:type="dxa" w:w="4248"/>
            <w:tcMar>
              <w:top w:w="80" w:type="dxa"/>
              <w:start w:w="120" w:type="dxa"/>
              <w:bottom w:w="80" w:type="dxa"/>
              <w:end w:w="120" w:type="dxa"/>
            </w:tcMar>
            <w:vAlign w:val="center"/>
          </w:tcPr>
          <w:p>
            <w:pPr>
              <w:spacing w:after="40"/>
            </w:pPr>
            <w:r>
              <w:rPr>
                <w:rFonts w:ascii="Calibri" w:hAnsi="Calibri"/>
                <w:sz w:val="19"/>
              </w:rPr>
              <w:t>Search results and local discussion indicate stronger barcade/esports options in larger nearby markets such as Nashville, Louisville, Lexington, or Elizabethtown.</w:t>
            </w:r>
          </w:p>
        </w:tc>
        <w:tc>
          <w:tcPr>
            <w:tcW w:type="dxa" w:w="2880"/>
            <w:tcMar>
              <w:top w:w="80" w:type="dxa"/>
              <w:start w:w="120" w:type="dxa"/>
              <w:bottom w:w="80" w:type="dxa"/>
              <w:end w:w="120" w:type="dxa"/>
            </w:tcMar>
            <w:vAlign w:val="center"/>
          </w:tcPr>
          <w:p>
            <w:pPr>
              <w:spacing w:after="40"/>
            </w:pPr>
            <w:r>
              <w:rPr>
                <w:rFonts w:ascii="Calibri" w:hAnsi="Calibri"/>
                <w:sz w:val="19"/>
              </w:rPr>
              <w:t>Opportunity exists for a local, non-bar, accessible gaming hub if programming is consistent.</w:t>
            </w:r>
          </w:p>
        </w:tc>
      </w:tr>
    </w:tbl>
    <w:p/>
    <w:p>
      <w:pPr>
        <w:pStyle w:val="Heading2"/>
      </w:pPr>
      <w:r>
        <w:t>Target Customers</w:t>
      </w:r>
    </w:p>
    <w:p>
      <w:pPr>
        <w:pStyle w:val="ListBullet"/>
        <w:spacing w:after="80"/>
      </w:pPr>
      <w:r>
        <w:t>Students and young adults seeking affordable evening/weekend social gaming.</w:t>
      </w:r>
    </w:p>
    <w:p>
      <w:pPr>
        <w:pStyle w:val="ListBullet"/>
        <w:spacing w:after="80"/>
      </w:pPr>
      <w:r>
        <w:t>Parents and families seeking supervised recreation, parties, and school-break activities.</w:t>
      </w:r>
    </w:p>
    <w:p>
      <w:pPr>
        <w:pStyle w:val="ListBullet"/>
        <w:spacing w:after="80"/>
      </w:pPr>
      <w:r>
        <w:t>Competitive and casual gamers who want tournaments, leagues, and reliable equipment.</w:t>
      </w:r>
    </w:p>
    <w:p>
      <w:pPr>
        <w:pStyle w:val="ListBullet"/>
        <w:spacing w:after="80"/>
      </w:pPr>
      <w:r>
        <w:t>Community partners needing a flexible, youth-friendly event space.</w:t>
      </w:r>
    </w:p>
    <w:p>
      <w:pPr>
        <w:pStyle w:val="ListBullet"/>
        <w:spacing w:after="80"/>
      </w:pPr>
      <w:r>
        <w:t>Local businesses that want sponsorship visibility with youth, family, and college-age audiences.</w:t>
      </w:r>
    </w:p>
    <w:p>
      <w:pPr>
        <w:pStyle w:val="Heading2"/>
      </w:pPr>
      <w:r>
        <w:t>Market Position</w:t>
      </w:r>
    </w:p>
    <w:p>
      <w:pPr>
        <w:spacing w:after="120"/>
      </w:pPr>
      <w:r>
        <w:t>Common Good Network should position the lounge as Bowling Green's community gaming hub: structured, safe, local, affordable, and programmable. The plan should avoid claiming there is no competition. The defensible claim is that no identified local competitor combines mission alignment, supervised social gaming, tournament programming, memberships, and partner-use flexibility in one venue.</w:t>
      </w:r>
    </w:p>
    <w:p>
      <w:pPr>
        <w:pStyle w:val="Heading1"/>
      </w:pPr>
      <w:r>
        <w:t>4. Organization &amp; Management</w:t>
      </w:r>
    </w:p>
    <w:p>
      <w:pPr>
        <w:spacing w:after="120"/>
      </w:pPr>
      <w:r>
        <w:t>[GAP: Legal entity, ownership/governance structure, board composition, manager name, and operating authority have not been provided.] For this draft, the plan assumes Common Good Network will designate one accountable operating lead with authority over scheduling, staffing, cash controls, vendor relationships, safety procedures, and partner programming.</w:t>
      </w:r>
    </w:p>
    <w:p>
      <w:pPr>
        <w:pStyle w:val="Heading2"/>
      </w:pPr>
      <w:r>
        <w:t>Recommended Management Structure</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944"/>
            <w:tcMar>
              <w:top w:w="80" w:type="dxa"/>
              <w:start w:w="120" w:type="dxa"/>
              <w:bottom w:w="80" w:type="dxa"/>
              <w:end w:w="120" w:type="dxa"/>
            </w:tcMar>
            <w:vAlign w:val="center"/>
            <w:shd w:fill="F2F4F7"/>
          </w:tcPr>
          <w:p>
            <w:pPr>
              <w:spacing w:after="40"/>
            </w:pPr>
            <w:r>
              <w:rPr>
                <w:rFonts w:ascii="Calibri" w:hAnsi="Calibri"/>
                <w:b/>
                <w:color w:val="1F4D78"/>
                <w:sz w:val="19"/>
              </w:rPr>
              <w:t>Role</w:t>
            </w:r>
          </w:p>
        </w:tc>
        <w:tc>
          <w:tcPr>
            <w:tcW w:type="dxa" w:w="4824"/>
            <w:tcMar>
              <w:top w:w="80" w:type="dxa"/>
              <w:start w:w="120" w:type="dxa"/>
              <w:bottom w:w="80" w:type="dxa"/>
              <w:end w:w="120" w:type="dxa"/>
            </w:tcMar>
            <w:vAlign w:val="center"/>
            <w:shd w:fill="F2F4F7"/>
          </w:tcPr>
          <w:p>
            <w:pPr>
              <w:spacing w:after="40"/>
            </w:pPr>
            <w:r>
              <w:rPr>
                <w:rFonts w:ascii="Calibri" w:hAnsi="Calibri"/>
                <w:b/>
                <w:color w:val="1F4D78"/>
                <w:sz w:val="19"/>
              </w:rPr>
              <w:t>Core responsibilities</w:t>
            </w:r>
          </w:p>
        </w:tc>
        <w:tc>
          <w:tcPr>
            <w:tcW w:type="dxa" w:w="2232"/>
            <w:tcMar>
              <w:top w:w="80" w:type="dxa"/>
              <w:start w:w="120" w:type="dxa"/>
              <w:bottom w:w="80" w:type="dxa"/>
              <w:end w:w="120" w:type="dxa"/>
            </w:tcMar>
            <w:vAlign w:val="center"/>
            <w:shd w:fill="F2F4F7"/>
          </w:tcPr>
          <w:p>
            <w:pPr>
              <w:spacing w:after="40"/>
            </w:pPr>
            <w:r>
              <w:rPr>
                <w:rFonts w:ascii="Calibri" w:hAnsi="Calibri"/>
                <w:b/>
                <w:color w:val="1F4D78"/>
                <w:sz w:val="19"/>
              </w:rPr>
              <w:t>Approval relevance</w:t>
            </w:r>
          </w:p>
        </w:tc>
      </w:tr>
      <w:tr>
        <w:tc>
          <w:tcPr>
            <w:tcW w:type="dxa" w:w="1944"/>
            <w:tcMar>
              <w:top w:w="80" w:type="dxa"/>
              <w:start w:w="120" w:type="dxa"/>
              <w:bottom w:w="80" w:type="dxa"/>
              <w:end w:w="120" w:type="dxa"/>
            </w:tcMar>
            <w:vAlign w:val="center"/>
          </w:tcPr>
          <w:p>
            <w:pPr>
              <w:spacing w:after="40"/>
            </w:pPr>
            <w:r>
              <w:rPr>
                <w:rFonts w:ascii="Calibri" w:hAnsi="Calibri"/>
                <w:sz w:val="19"/>
              </w:rPr>
              <w:t>Board / sponsor group</w:t>
            </w:r>
          </w:p>
        </w:tc>
        <w:tc>
          <w:tcPr>
            <w:tcW w:type="dxa" w:w="4824"/>
            <w:tcMar>
              <w:top w:w="80" w:type="dxa"/>
              <w:start w:w="120" w:type="dxa"/>
              <w:bottom w:w="80" w:type="dxa"/>
              <w:end w:w="120" w:type="dxa"/>
            </w:tcMar>
            <w:vAlign w:val="center"/>
          </w:tcPr>
          <w:p>
            <w:pPr>
              <w:spacing w:after="40"/>
            </w:pPr>
            <w:r>
              <w:rPr>
                <w:rFonts w:ascii="Calibri" w:hAnsi="Calibri"/>
                <w:sz w:val="19"/>
              </w:rPr>
              <w:t>Approve lease, budget, cash policy, insurance, risk controls, and monthly performance review.</w:t>
            </w:r>
          </w:p>
        </w:tc>
        <w:tc>
          <w:tcPr>
            <w:tcW w:type="dxa" w:w="2232"/>
            <w:tcMar>
              <w:top w:w="80" w:type="dxa"/>
              <w:start w:w="120" w:type="dxa"/>
              <w:bottom w:w="80" w:type="dxa"/>
              <w:end w:w="120" w:type="dxa"/>
            </w:tcMar>
            <w:vAlign w:val="center"/>
          </w:tcPr>
          <w:p>
            <w:pPr>
              <w:spacing w:after="40"/>
            </w:pPr>
            <w:r>
              <w:rPr>
                <w:rFonts w:ascii="Calibri" w:hAnsi="Calibri"/>
                <w:sz w:val="19"/>
              </w:rPr>
              <w:t>Shows oversight and protects mission/financial discipline.</w:t>
            </w:r>
          </w:p>
        </w:tc>
      </w:tr>
      <w:tr>
        <w:tc>
          <w:tcPr>
            <w:tcW w:type="dxa" w:w="1944"/>
            <w:tcMar>
              <w:top w:w="80" w:type="dxa"/>
              <w:start w:w="120" w:type="dxa"/>
              <w:bottom w:w="80" w:type="dxa"/>
              <w:end w:w="120" w:type="dxa"/>
            </w:tcMar>
            <w:vAlign w:val="center"/>
          </w:tcPr>
          <w:p>
            <w:pPr>
              <w:spacing w:after="40"/>
            </w:pPr>
            <w:r>
              <w:rPr>
                <w:rFonts w:ascii="Calibri" w:hAnsi="Calibri"/>
                <w:sz w:val="19"/>
              </w:rPr>
              <w:t>Operating manager</w:t>
            </w:r>
          </w:p>
        </w:tc>
        <w:tc>
          <w:tcPr>
            <w:tcW w:type="dxa" w:w="4824"/>
            <w:tcMar>
              <w:top w:w="80" w:type="dxa"/>
              <w:start w:w="120" w:type="dxa"/>
              <w:bottom w:w="80" w:type="dxa"/>
              <w:end w:w="120" w:type="dxa"/>
            </w:tcMar>
            <w:vAlign w:val="center"/>
          </w:tcPr>
          <w:p>
            <w:pPr>
              <w:spacing w:after="40"/>
            </w:pPr>
            <w:r>
              <w:rPr>
                <w:rFonts w:ascii="Calibri" w:hAnsi="Calibri"/>
                <w:sz w:val="19"/>
              </w:rPr>
              <w:t>Daily operations, staffing, events calendar, memberships, POS reconciliation, customer standards.</w:t>
            </w:r>
          </w:p>
        </w:tc>
        <w:tc>
          <w:tcPr>
            <w:tcW w:type="dxa" w:w="2232"/>
            <w:tcMar>
              <w:top w:w="80" w:type="dxa"/>
              <w:start w:w="120" w:type="dxa"/>
              <w:bottom w:w="80" w:type="dxa"/>
              <w:end w:w="120" w:type="dxa"/>
            </w:tcMar>
            <w:vAlign w:val="center"/>
          </w:tcPr>
          <w:p>
            <w:pPr>
              <w:spacing w:after="40"/>
            </w:pPr>
            <w:r>
              <w:rPr>
                <w:rFonts w:ascii="Calibri" w:hAnsi="Calibri"/>
                <w:sz w:val="19"/>
              </w:rPr>
              <w:t>Single accountable operator is essential for lease confidence.</w:t>
            </w:r>
          </w:p>
        </w:tc>
      </w:tr>
      <w:tr>
        <w:tc>
          <w:tcPr>
            <w:tcW w:type="dxa" w:w="1944"/>
            <w:tcMar>
              <w:top w:w="80" w:type="dxa"/>
              <w:start w:w="120" w:type="dxa"/>
              <w:bottom w:w="80" w:type="dxa"/>
              <w:end w:w="120" w:type="dxa"/>
            </w:tcMar>
            <w:vAlign w:val="center"/>
          </w:tcPr>
          <w:p>
            <w:pPr>
              <w:spacing w:after="40"/>
            </w:pPr>
            <w:r>
              <w:rPr>
                <w:rFonts w:ascii="Calibri" w:hAnsi="Calibri"/>
                <w:sz w:val="19"/>
              </w:rPr>
              <w:t>Program/event coordinator</w:t>
            </w:r>
          </w:p>
        </w:tc>
        <w:tc>
          <w:tcPr>
            <w:tcW w:type="dxa" w:w="4824"/>
            <w:tcMar>
              <w:top w:w="80" w:type="dxa"/>
              <w:start w:w="120" w:type="dxa"/>
              <w:bottom w:w="80" w:type="dxa"/>
              <w:end w:w="120" w:type="dxa"/>
            </w:tcMar>
            <w:vAlign w:val="center"/>
          </w:tcPr>
          <w:p>
            <w:pPr>
              <w:spacing w:after="40"/>
            </w:pPr>
            <w:r>
              <w:rPr>
                <w:rFonts w:ascii="Calibri" w:hAnsi="Calibri"/>
                <w:sz w:val="19"/>
              </w:rPr>
              <w:t>Tournaments, partner nights, youth-friendly programming, school-break events.</w:t>
            </w:r>
          </w:p>
        </w:tc>
        <w:tc>
          <w:tcPr>
            <w:tcW w:type="dxa" w:w="2232"/>
            <w:tcMar>
              <w:top w:w="80" w:type="dxa"/>
              <w:start w:w="120" w:type="dxa"/>
              <w:bottom w:w="80" w:type="dxa"/>
              <w:end w:w="120" w:type="dxa"/>
            </w:tcMar>
            <w:vAlign w:val="center"/>
          </w:tcPr>
          <w:p>
            <w:pPr>
              <w:spacing w:after="40"/>
            </w:pPr>
            <w:r>
              <w:rPr>
                <w:rFonts w:ascii="Calibri" w:hAnsi="Calibri"/>
                <w:sz w:val="19"/>
              </w:rPr>
              <w:t>Turns the venue into a programmed business, not idle space.</w:t>
            </w:r>
          </w:p>
        </w:tc>
      </w:tr>
      <w:tr>
        <w:tc>
          <w:tcPr>
            <w:tcW w:type="dxa" w:w="1944"/>
            <w:tcMar>
              <w:top w:w="80" w:type="dxa"/>
              <w:start w:w="120" w:type="dxa"/>
              <w:bottom w:w="80" w:type="dxa"/>
              <w:end w:w="120" w:type="dxa"/>
            </w:tcMar>
            <w:vAlign w:val="center"/>
          </w:tcPr>
          <w:p>
            <w:pPr>
              <w:spacing w:after="40"/>
            </w:pPr>
            <w:r>
              <w:rPr>
                <w:rFonts w:ascii="Calibri" w:hAnsi="Calibri"/>
                <w:sz w:val="19"/>
              </w:rPr>
              <w:t>Part-time attendants</w:t>
            </w:r>
          </w:p>
        </w:tc>
        <w:tc>
          <w:tcPr>
            <w:tcW w:type="dxa" w:w="4824"/>
            <w:tcMar>
              <w:top w:w="80" w:type="dxa"/>
              <w:start w:w="120" w:type="dxa"/>
              <w:bottom w:w="80" w:type="dxa"/>
              <w:end w:w="120" w:type="dxa"/>
            </w:tcMar>
            <w:vAlign w:val="center"/>
          </w:tcPr>
          <w:p>
            <w:pPr>
              <w:spacing w:after="40"/>
            </w:pPr>
            <w:r>
              <w:rPr>
                <w:rFonts w:ascii="Calibri" w:hAnsi="Calibri"/>
                <w:sz w:val="19"/>
              </w:rPr>
              <w:t>Check-in, station reset, concessions, safety monitoring, basic troubleshooting.</w:t>
            </w:r>
          </w:p>
        </w:tc>
        <w:tc>
          <w:tcPr>
            <w:tcW w:type="dxa" w:w="2232"/>
            <w:tcMar>
              <w:top w:w="80" w:type="dxa"/>
              <w:start w:w="120" w:type="dxa"/>
              <w:bottom w:w="80" w:type="dxa"/>
              <w:end w:w="120" w:type="dxa"/>
            </w:tcMar>
            <w:vAlign w:val="center"/>
          </w:tcPr>
          <w:p>
            <w:pPr>
              <w:spacing w:after="40"/>
            </w:pPr>
            <w:r>
              <w:rPr>
                <w:rFonts w:ascii="Calibri" w:hAnsi="Calibri"/>
                <w:sz w:val="19"/>
              </w:rPr>
              <w:t>Controls customer experience and equipment care.</w:t>
            </w:r>
          </w:p>
        </w:tc>
      </w:tr>
      <w:tr>
        <w:tc>
          <w:tcPr>
            <w:tcW w:type="dxa" w:w="1944"/>
            <w:tcMar>
              <w:top w:w="80" w:type="dxa"/>
              <w:start w:w="120" w:type="dxa"/>
              <w:bottom w:w="80" w:type="dxa"/>
              <w:end w:w="120" w:type="dxa"/>
            </w:tcMar>
            <w:vAlign w:val="center"/>
          </w:tcPr>
          <w:p>
            <w:pPr>
              <w:spacing w:after="40"/>
            </w:pPr>
            <w:r>
              <w:rPr>
                <w:rFonts w:ascii="Calibri" w:hAnsi="Calibri"/>
                <w:sz w:val="19"/>
              </w:rPr>
              <w:t>Bookkeeper/accountant</w:t>
            </w:r>
          </w:p>
        </w:tc>
        <w:tc>
          <w:tcPr>
            <w:tcW w:type="dxa" w:w="4824"/>
            <w:tcMar>
              <w:top w:w="80" w:type="dxa"/>
              <w:start w:w="120" w:type="dxa"/>
              <w:bottom w:w="80" w:type="dxa"/>
              <w:end w:w="120" w:type="dxa"/>
            </w:tcMar>
            <w:vAlign w:val="center"/>
          </w:tcPr>
          <w:p>
            <w:pPr>
              <w:spacing w:after="40"/>
            </w:pPr>
            <w:r>
              <w:rPr>
                <w:rFonts w:ascii="Calibri" w:hAnsi="Calibri"/>
                <w:sz w:val="19"/>
              </w:rPr>
              <w:t>Monthly financials, sales tax tracking, payroll support, bank reconciliation.</w:t>
            </w:r>
          </w:p>
        </w:tc>
        <w:tc>
          <w:tcPr>
            <w:tcW w:type="dxa" w:w="2232"/>
            <w:tcMar>
              <w:top w:w="80" w:type="dxa"/>
              <w:start w:w="120" w:type="dxa"/>
              <w:bottom w:w="80" w:type="dxa"/>
              <w:end w:w="120" w:type="dxa"/>
            </w:tcMar>
            <w:vAlign w:val="center"/>
          </w:tcPr>
          <w:p>
            <w:pPr>
              <w:spacing w:after="40"/>
            </w:pPr>
            <w:r>
              <w:rPr>
                <w:rFonts w:ascii="Calibri" w:hAnsi="Calibri"/>
                <w:sz w:val="19"/>
              </w:rPr>
              <w:t>Required for internal strategy and lease credibility.</w:t>
            </w:r>
          </w:p>
        </w:tc>
      </w:tr>
    </w:tbl>
    <w:p/>
    <w:p>
      <w:pPr>
        <w:pStyle w:val="Heading2"/>
      </w:pPr>
      <w:r>
        <w:t>Controls Required Before Opening</w:t>
      </w:r>
    </w:p>
    <w:p>
      <w:pPr>
        <w:pStyle w:val="ListBullet"/>
        <w:spacing w:after="80"/>
      </w:pPr>
      <w:r>
        <w:t>Written cash-handling policy for the $10,000 opening cash till, including maximum drawer levels, deposit timing, and dual-control reconciliation.</w:t>
      </w:r>
    </w:p>
    <w:p>
      <w:pPr>
        <w:pStyle w:val="ListBullet"/>
        <w:spacing w:after="80"/>
      </w:pPr>
      <w:r>
        <w:t>POS system that separates drop-in sales, memberships, events, concessions, discounts, and refunds.</w:t>
      </w:r>
    </w:p>
    <w:p>
      <w:pPr>
        <w:pStyle w:val="ListBullet"/>
        <w:spacing w:after="80"/>
      </w:pPr>
      <w:r>
        <w:t>Insurance binder covering general liability, property/equipment, workers' compensation if applicable, and events.</w:t>
      </w:r>
    </w:p>
    <w:p>
      <w:pPr>
        <w:pStyle w:val="ListBullet"/>
        <w:spacing w:after="80"/>
      </w:pPr>
      <w:r>
        <w:t>Rules of conduct, youth check-in/check-out policy, incident reporting process, and equipment damage policy.</w:t>
      </w:r>
    </w:p>
    <w:p>
      <w:pPr>
        <w:pStyle w:val="ListBullet"/>
        <w:spacing w:after="80"/>
      </w:pPr>
      <w:r>
        <w:t>Monthly board/internal dashboard: revenue by stream, paid visits, memberships, event count, gross margin, cash balance, incidents, and repairs.</w:t>
      </w:r>
    </w:p>
    <w:p>
      <w:pPr>
        <w:pStyle w:val="Heading1"/>
      </w:pPr>
      <w:r>
        <w:t>5. Products and Services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232"/>
            <w:tcMar>
              <w:top w:w="80" w:type="dxa"/>
              <w:start w:w="120" w:type="dxa"/>
              <w:bottom w:w="80" w:type="dxa"/>
              <w:end w:w="120" w:type="dxa"/>
            </w:tcMar>
            <w:vAlign w:val="center"/>
            <w:shd w:fill="F2F4F7"/>
          </w:tcPr>
          <w:p>
            <w:pPr>
              <w:spacing w:after="40"/>
            </w:pPr>
            <w:r>
              <w:rPr>
                <w:rFonts w:ascii="Calibri" w:hAnsi="Calibri"/>
                <w:b/>
                <w:color w:val="1F4D78"/>
                <w:sz w:val="19"/>
              </w:rPr>
              <w:t>Offering</w:t>
            </w:r>
          </w:p>
        </w:tc>
        <w:tc>
          <w:tcPr>
            <w:tcW w:type="dxa" w:w="2520"/>
            <w:tcMar>
              <w:top w:w="80" w:type="dxa"/>
              <w:start w:w="120" w:type="dxa"/>
              <w:bottom w:w="80" w:type="dxa"/>
              <w:end w:w="120" w:type="dxa"/>
            </w:tcMar>
            <w:vAlign w:val="center"/>
            <w:shd w:fill="F2F4F7"/>
          </w:tcPr>
          <w:p>
            <w:pPr>
              <w:spacing w:after="40"/>
            </w:pPr>
            <w:r>
              <w:rPr>
                <w:rFonts w:ascii="Calibri" w:hAnsi="Calibri"/>
                <w:b/>
                <w:color w:val="1F4D78"/>
                <w:sz w:val="19"/>
              </w:rPr>
              <w:t>Pricing assumption</w:t>
            </w:r>
          </w:p>
        </w:tc>
        <w:tc>
          <w:tcPr>
            <w:tcW w:type="dxa" w:w="4248"/>
            <w:tcMar>
              <w:top w:w="80" w:type="dxa"/>
              <w:start w:w="120" w:type="dxa"/>
              <w:bottom w:w="80" w:type="dxa"/>
              <w:end w:w="120" w:type="dxa"/>
            </w:tcMar>
            <w:vAlign w:val="center"/>
            <w:shd w:fill="F2F4F7"/>
          </w:tcPr>
          <w:p>
            <w:pPr>
              <w:spacing w:after="40"/>
            </w:pPr>
            <w:r>
              <w:rPr>
                <w:rFonts w:ascii="Calibri" w:hAnsi="Calibri"/>
                <w:b/>
                <w:color w:val="1F4D78"/>
                <w:sz w:val="19"/>
              </w:rPr>
              <w:t>Operating notes</w:t>
            </w:r>
          </w:p>
        </w:tc>
      </w:tr>
      <w:tr>
        <w:tc>
          <w:tcPr>
            <w:tcW w:type="dxa" w:w="2232"/>
            <w:tcMar>
              <w:top w:w="80" w:type="dxa"/>
              <w:start w:w="120" w:type="dxa"/>
              <w:bottom w:w="80" w:type="dxa"/>
              <w:end w:w="120" w:type="dxa"/>
            </w:tcMar>
            <w:vAlign w:val="center"/>
          </w:tcPr>
          <w:p>
            <w:pPr>
              <w:spacing w:after="40"/>
            </w:pPr>
            <w:r>
              <w:rPr>
                <w:rFonts w:ascii="Calibri" w:hAnsi="Calibri"/>
                <w:sz w:val="19"/>
              </w:rPr>
              <w:t>Drop-in gaming pass</w:t>
            </w:r>
          </w:p>
        </w:tc>
        <w:tc>
          <w:tcPr>
            <w:tcW w:type="dxa" w:w="2520"/>
            <w:tcMar>
              <w:top w:w="80" w:type="dxa"/>
              <w:start w:w="120" w:type="dxa"/>
              <w:bottom w:w="80" w:type="dxa"/>
              <w:end w:w="120" w:type="dxa"/>
            </w:tcMar>
            <w:vAlign w:val="center"/>
          </w:tcPr>
          <w:p>
            <w:pPr>
              <w:spacing w:after="40"/>
            </w:pPr>
            <w:r>
              <w:rPr>
                <w:rFonts w:ascii="Calibri" w:hAnsi="Calibri"/>
                <w:sz w:val="19"/>
              </w:rPr>
              <w:t>$14 average ticket across hourly/day-pass mix</w:t>
            </w:r>
          </w:p>
        </w:tc>
        <w:tc>
          <w:tcPr>
            <w:tcW w:type="dxa" w:w="4248"/>
            <w:tcMar>
              <w:top w:w="80" w:type="dxa"/>
              <w:start w:w="120" w:type="dxa"/>
              <w:bottom w:w="80" w:type="dxa"/>
              <w:end w:w="120" w:type="dxa"/>
            </w:tcMar>
            <w:vAlign w:val="center"/>
          </w:tcPr>
          <w:p>
            <w:pPr>
              <w:spacing w:after="40"/>
            </w:pPr>
            <w:r>
              <w:rPr>
                <w:rFonts w:ascii="Calibri" w:hAnsi="Calibri"/>
                <w:sz w:val="19"/>
              </w:rPr>
              <w:t>Base model assumes 32 paid drop-in visits per open day in Year 1.</w:t>
            </w:r>
          </w:p>
        </w:tc>
      </w:tr>
      <w:tr>
        <w:tc>
          <w:tcPr>
            <w:tcW w:type="dxa" w:w="2232"/>
            <w:tcMar>
              <w:top w:w="80" w:type="dxa"/>
              <w:start w:w="120" w:type="dxa"/>
              <w:bottom w:w="80" w:type="dxa"/>
              <w:end w:w="120" w:type="dxa"/>
            </w:tcMar>
            <w:vAlign w:val="center"/>
          </w:tcPr>
          <w:p>
            <w:pPr>
              <w:spacing w:after="40"/>
            </w:pPr>
            <w:r>
              <w:rPr>
                <w:rFonts w:ascii="Calibri" w:hAnsi="Calibri"/>
                <w:sz w:val="19"/>
              </w:rPr>
              <w:t>Monthly membership</w:t>
            </w:r>
          </w:p>
        </w:tc>
        <w:tc>
          <w:tcPr>
            <w:tcW w:type="dxa" w:w="2520"/>
            <w:tcMar>
              <w:top w:w="80" w:type="dxa"/>
              <w:start w:w="120" w:type="dxa"/>
              <w:bottom w:w="80" w:type="dxa"/>
              <w:end w:w="120" w:type="dxa"/>
            </w:tcMar>
            <w:vAlign w:val="center"/>
          </w:tcPr>
          <w:p>
            <w:pPr>
              <w:spacing w:after="40"/>
            </w:pPr>
            <w:r>
              <w:rPr>
                <w:rFonts w:ascii="Calibri" w:hAnsi="Calibri"/>
                <w:sz w:val="19"/>
              </w:rPr>
              <w:t>$29/month average realized membership price</w:t>
            </w:r>
          </w:p>
        </w:tc>
        <w:tc>
          <w:tcPr>
            <w:tcW w:type="dxa" w:w="4248"/>
            <w:tcMar>
              <w:top w:w="80" w:type="dxa"/>
              <w:start w:w="120" w:type="dxa"/>
              <w:bottom w:w="80" w:type="dxa"/>
              <w:end w:w="120" w:type="dxa"/>
            </w:tcMar>
            <w:vAlign w:val="center"/>
          </w:tcPr>
          <w:p>
            <w:pPr>
              <w:spacing w:after="40"/>
            </w:pPr>
            <w:r>
              <w:rPr>
                <w:rFonts w:ascii="Calibri" w:hAnsi="Calibri"/>
                <w:sz w:val="19"/>
              </w:rPr>
              <w:t>Includes recurring access benefits and discounts; Year 1 assumes 80 average members.</w:t>
            </w:r>
          </w:p>
        </w:tc>
      </w:tr>
      <w:tr>
        <w:tc>
          <w:tcPr>
            <w:tcW w:type="dxa" w:w="2232"/>
            <w:tcMar>
              <w:top w:w="80" w:type="dxa"/>
              <w:start w:w="120" w:type="dxa"/>
              <w:bottom w:w="80" w:type="dxa"/>
              <w:end w:w="120" w:type="dxa"/>
            </w:tcMar>
            <w:vAlign w:val="center"/>
          </w:tcPr>
          <w:p>
            <w:pPr>
              <w:spacing w:after="40"/>
            </w:pPr>
            <w:r>
              <w:rPr>
                <w:rFonts w:ascii="Calibri" w:hAnsi="Calibri"/>
                <w:sz w:val="19"/>
              </w:rPr>
              <w:t>Tournament entry</w:t>
            </w:r>
          </w:p>
        </w:tc>
        <w:tc>
          <w:tcPr>
            <w:tcW w:type="dxa" w:w="2520"/>
            <w:tcMar>
              <w:top w:w="80" w:type="dxa"/>
              <w:start w:w="120" w:type="dxa"/>
              <w:bottom w:w="80" w:type="dxa"/>
              <w:end w:w="120" w:type="dxa"/>
            </w:tcMar>
            <w:vAlign w:val="center"/>
          </w:tcPr>
          <w:p>
            <w:pPr>
              <w:spacing w:after="40"/>
            </w:pPr>
            <w:r>
              <w:rPr>
                <w:rFonts w:ascii="Calibri" w:hAnsi="Calibri"/>
                <w:sz w:val="19"/>
              </w:rPr>
              <w:t>$10-$20 per person or included in event packages</w:t>
            </w:r>
          </w:p>
        </w:tc>
        <w:tc>
          <w:tcPr>
            <w:tcW w:type="dxa" w:w="4248"/>
            <w:tcMar>
              <w:top w:w="80" w:type="dxa"/>
              <w:start w:w="120" w:type="dxa"/>
              <w:bottom w:w="80" w:type="dxa"/>
              <w:end w:w="120" w:type="dxa"/>
            </w:tcMar>
            <w:vAlign w:val="center"/>
          </w:tcPr>
          <w:p>
            <w:pPr>
              <w:spacing w:after="40"/>
            </w:pPr>
            <w:r>
              <w:rPr>
                <w:rFonts w:ascii="Calibri" w:hAnsi="Calibri"/>
                <w:sz w:val="19"/>
              </w:rPr>
              <w:t>Use weekly/biweekly cadence; prizes should be capped and sponsored when possible.</w:t>
            </w:r>
          </w:p>
        </w:tc>
      </w:tr>
      <w:tr>
        <w:tc>
          <w:tcPr>
            <w:tcW w:type="dxa" w:w="2232"/>
            <w:tcMar>
              <w:top w:w="80" w:type="dxa"/>
              <w:start w:w="120" w:type="dxa"/>
              <w:bottom w:w="80" w:type="dxa"/>
              <w:end w:w="120" w:type="dxa"/>
            </w:tcMar>
            <w:vAlign w:val="center"/>
          </w:tcPr>
          <w:p>
            <w:pPr>
              <w:spacing w:after="40"/>
            </w:pPr>
            <w:r>
              <w:rPr>
                <w:rFonts w:ascii="Calibri" w:hAnsi="Calibri"/>
                <w:sz w:val="19"/>
              </w:rPr>
              <w:t>Birthday/private event package</w:t>
            </w:r>
          </w:p>
        </w:tc>
        <w:tc>
          <w:tcPr>
            <w:tcW w:type="dxa" w:w="2520"/>
            <w:tcMar>
              <w:top w:w="80" w:type="dxa"/>
              <w:start w:w="120" w:type="dxa"/>
              <w:bottom w:w="80" w:type="dxa"/>
              <w:end w:w="120" w:type="dxa"/>
            </w:tcMar>
            <w:vAlign w:val="center"/>
          </w:tcPr>
          <w:p>
            <w:pPr>
              <w:spacing w:after="40"/>
            </w:pPr>
            <w:r>
              <w:rPr>
                <w:rFonts w:ascii="Calibri" w:hAnsi="Calibri"/>
                <w:sz w:val="19"/>
              </w:rPr>
              <w:t>$200-$350 depending on duration and group size</w:t>
            </w:r>
          </w:p>
        </w:tc>
        <w:tc>
          <w:tcPr>
            <w:tcW w:type="dxa" w:w="4248"/>
            <w:tcMar>
              <w:top w:w="80" w:type="dxa"/>
              <w:start w:w="120" w:type="dxa"/>
              <w:bottom w:w="80" w:type="dxa"/>
              <w:end w:w="120" w:type="dxa"/>
            </w:tcMar>
            <w:vAlign w:val="center"/>
          </w:tcPr>
          <w:p>
            <w:pPr>
              <w:spacing w:after="40"/>
            </w:pPr>
            <w:r>
              <w:rPr>
                <w:rFonts w:ascii="Calibri" w:hAnsi="Calibri"/>
                <w:sz w:val="19"/>
              </w:rPr>
              <w:t>Base model averages event revenue at $250 per event in Year 1.</w:t>
            </w:r>
          </w:p>
        </w:tc>
      </w:tr>
      <w:tr>
        <w:tc>
          <w:tcPr>
            <w:tcW w:type="dxa" w:w="2232"/>
            <w:tcMar>
              <w:top w:w="80" w:type="dxa"/>
              <w:start w:w="120" w:type="dxa"/>
              <w:bottom w:w="80" w:type="dxa"/>
              <w:end w:w="120" w:type="dxa"/>
            </w:tcMar>
            <w:vAlign w:val="center"/>
          </w:tcPr>
          <w:p>
            <w:pPr>
              <w:spacing w:after="40"/>
            </w:pPr>
            <w:r>
              <w:rPr>
                <w:rFonts w:ascii="Calibri" w:hAnsi="Calibri"/>
                <w:sz w:val="19"/>
              </w:rPr>
              <w:t>Partner rental block</w:t>
            </w:r>
          </w:p>
        </w:tc>
        <w:tc>
          <w:tcPr>
            <w:tcW w:type="dxa" w:w="2520"/>
            <w:tcMar>
              <w:top w:w="80" w:type="dxa"/>
              <w:start w:w="120" w:type="dxa"/>
              <w:bottom w:w="80" w:type="dxa"/>
              <w:end w:w="120" w:type="dxa"/>
            </w:tcMar>
            <w:vAlign w:val="center"/>
          </w:tcPr>
          <w:p>
            <w:pPr>
              <w:spacing w:after="40"/>
            </w:pPr>
            <w:r>
              <w:rPr>
                <w:rFonts w:ascii="Calibri" w:hAnsi="Calibri"/>
                <w:sz w:val="19"/>
              </w:rPr>
              <w:t>$150 average rental block</w:t>
            </w:r>
          </w:p>
        </w:tc>
        <w:tc>
          <w:tcPr>
            <w:tcW w:type="dxa" w:w="4248"/>
            <w:tcMar>
              <w:top w:w="80" w:type="dxa"/>
              <w:start w:w="120" w:type="dxa"/>
              <w:bottom w:w="80" w:type="dxa"/>
              <w:end w:w="120" w:type="dxa"/>
            </w:tcMar>
            <w:vAlign w:val="center"/>
          </w:tcPr>
          <w:p>
            <w:pPr>
              <w:spacing w:after="40"/>
            </w:pPr>
            <w:r>
              <w:rPr>
                <w:rFonts w:ascii="Calibri" w:hAnsi="Calibri"/>
                <w:sz w:val="19"/>
              </w:rPr>
              <w:t>Discounted partner use can be mission-aligned, but free use must be budgeted.</w:t>
            </w:r>
          </w:p>
        </w:tc>
      </w:tr>
      <w:tr>
        <w:tc>
          <w:tcPr>
            <w:tcW w:type="dxa" w:w="2232"/>
            <w:tcMar>
              <w:top w:w="80" w:type="dxa"/>
              <w:start w:w="120" w:type="dxa"/>
              <w:bottom w:w="80" w:type="dxa"/>
              <w:end w:w="120" w:type="dxa"/>
            </w:tcMar>
            <w:vAlign w:val="center"/>
          </w:tcPr>
          <w:p>
            <w:pPr>
              <w:spacing w:after="40"/>
            </w:pPr>
            <w:r>
              <w:rPr>
                <w:rFonts w:ascii="Calibri" w:hAnsi="Calibri"/>
                <w:sz w:val="19"/>
              </w:rPr>
              <w:t>Concessions</w:t>
            </w:r>
          </w:p>
        </w:tc>
        <w:tc>
          <w:tcPr>
            <w:tcW w:type="dxa" w:w="2520"/>
            <w:tcMar>
              <w:top w:w="80" w:type="dxa"/>
              <w:start w:w="120" w:type="dxa"/>
              <w:bottom w:w="80" w:type="dxa"/>
              <w:end w:w="120" w:type="dxa"/>
            </w:tcMar>
            <w:vAlign w:val="center"/>
          </w:tcPr>
          <w:p>
            <w:pPr>
              <w:spacing w:after="40"/>
            </w:pPr>
            <w:r>
              <w:rPr>
                <w:rFonts w:ascii="Calibri" w:hAnsi="Calibri"/>
                <w:sz w:val="19"/>
              </w:rPr>
              <w:t>$6 average concession spend by 35% of paid visitors</w:t>
            </w:r>
          </w:p>
        </w:tc>
        <w:tc>
          <w:tcPr>
            <w:tcW w:type="dxa" w:w="4248"/>
            <w:tcMar>
              <w:top w:w="80" w:type="dxa"/>
              <w:start w:w="120" w:type="dxa"/>
              <w:bottom w:w="80" w:type="dxa"/>
              <w:end w:w="120" w:type="dxa"/>
            </w:tcMar>
            <w:vAlign w:val="center"/>
          </w:tcPr>
          <w:p>
            <w:pPr>
              <w:spacing w:after="40"/>
            </w:pPr>
            <w:r>
              <w:rPr>
                <w:rFonts w:ascii="Calibri" w:hAnsi="Calibri"/>
                <w:sz w:val="19"/>
              </w:rPr>
              <w:t>Keep menu simple: packaged snacks, bottled drinks, low-waste inventory.</w:t>
            </w:r>
          </w:p>
        </w:tc>
      </w:tr>
    </w:tbl>
    <w:p/>
    <w:p>
      <w:pPr>
        <w:spacing w:after="120"/>
      </w:pPr>
      <w:r>
        <w:t>The core service standard should be reliable access, clean equipment, clear scheduling, and consistent programming. Gaming lounges fail when the room becomes idle equipment. Revenue depends on a visible calendar and repeatable reasons to return.</w:t>
      </w:r>
    </w:p>
    <w:p>
      <w:pPr>
        <w:pStyle w:val="Heading1"/>
      </w:pPr>
      <w:r>
        <w:t>6. Marketing and Sales Strategy</w:t>
      </w:r>
    </w:p>
    <w:p>
      <w:pPr>
        <w:pStyle w:val="Heading2"/>
      </w:pPr>
      <w:r>
        <w:t>Launch Priorities</w:t>
      </w:r>
    </w:p>
    <w:p>
      <w:pPr>
        <w:pStyle w:val="ListBullet"/>
        <w:spacing w:after="80"/>
      </w:pPr>
      <w:r>
        <w:t>Secure founding member commitments before lease signing. Target 100 paid or pledged founding memberships before opening.</w:t>
      </w:r>
    </w:p>
    <w:p>
      <w:pPr>
        <w:pStyle w:val="ListBullet"/>
        <w:spacing w:after="80"/>
      </w:pPr>
      <w:r>
        <w:t>Build a 90-day opening calendar before opening day, including weekly tournament nights, family blocks, student nights, and partner events.</w:t>
      </w:r>
    </w:p>
    <w:p>
      <w:pPr>
        <w:pStyle w:val="ListBullet"/>
        <w:spacing w:after="80"/>
      </w:pPr>
      <w:r>
        <w:t>Use local ambassadors: WKU students, school-adjacent groups, youth leaders, gamers, and parent advocates.</w:t>
      </w:r>
    </w:p>
    <w:p>
      <w:pPr>
        <w:pStyle w:val="ListBullet"/>
        <w:spacing w:after="80"/>
      </w:pPr>
      <w:r>
        <w:t>Sell event packages before opening to validate demand and generate deposits.</w:t>
      </w:r>
    </w:p>
    <w:p>
      <w:pPr>
        <w:pStyle w:val="ListBullet"/>
        <w:spacing w:after="80"/>
      </w:pPr>
      <w:r>
        <w:t>Create sponsorship packages for station naming, tournament sponsorship, youth access scholarships, and league nights.</w:t>
      </w:r>
    </w:p>
    <w:p>
      <w:pPr>
        <w:pStyle w:val="Heading2"/>
      </w:pPr>
      <w:r>
        <w:t>Sales Targets</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2376"/>
            <w:tcMar>
              <w:top w:w="80" w:type="dxa"/>
              <w:start w:w="120" w:type="dxa"/>
              <w:bottom w:w="80" w:type="dxa"/>
              <w:end w:w="120" w:type="dxa"/>
            </w:tcMar>
            <w:vAlign w:val="center"/>
            <w:shd w:fill="F2F4F7"/>
          </w:tcPr>
          <w:p>
            <w:pPr>
              <w:spacing w:after="40"/>
            </w:pPr>
            <w:r>
              <w:rPr>
                <w:rFonts w:ascii="Calibri" w:hAnsi="Calibri"/>
                <w:b/>
                <w:color w:val="1F4D78"/>
                <w:sz w:val="19"/>
              </w:rPr>
              <w:t>Metric</w:t>
            </w:r>
          </w:p>
        </w:tc>
        <w:tc>
          <w:tcPr>
            <w:tcW w:type="dxa" w:w="2088"/>
            <w:tcMar>
              <w:top w:w="80" w:type="dxa"/>
              <w:start w:w="120" w:type="dxa"/>
              <w:bottom w:w="80" w:type="dxa"/>
              <w:end w:w="120" w:type="dxa"/>
            </w:tcMar>
            <w:vAlign w:val="center"/>
            <w:shd w:fill="F2F4F7"/>
          </w:tcPr>
          <w:p>
            <w:pPr>
              <w:spacing w:after="40"/>
            </w:pPr>
            <w:r>
              <w:rPr>
                <w:rFonts w:ascii="Calibri" w:hAnsi="Calibri"/>
                <w:b/>
                <w:color w:val="1F4D78"/>
                <w:sz w:val="19"/>
              </w:rPr>
              <w:t>Pre-opening target</w:t>
            </w:r>
          </w:p>
        </w:tc>
        <w:tc>
          <w:tcPr>
            <w:tcW w:type="dxa" w:w="2088"/>
            <w:tcMar>
              <w:top w:w="80" w:type="dxa"/>
              <w:start w:w="120" w:type="dxa"/>
              <w:bottom w:w="80" w:type="dxa"/>
              <w:end w:w="120" w:type="dxa"/>
            </w:tcMar>
            <w:vAlign w:val="center"/>
            <w:shd w:fill="F2F4F7"/>
          </w:tcPr>
          <w:p>
            <w:pPr>
              <w:spacing w:after="40"/>
            </w:pPr>
            <w:r>
              <w:rPr>
                <w:rFonts w:ascii="Calibri" w:hAnsi="Calibri"/>
                <w:b/>
                <w:color w:val="1F4D78"/>
                <w:sz w:val="19"/>
              </w:rPr>
              <w:t>First 90-day target</w:t>
            </w:r>
          </w:p>
        </w:tc>
        <w:tc>
          <w:tcPr>
            <w:tcW w:type="dxa" w:w="2448"/>
            <w:tcMar>
              <w:top w:w="80" w:type="dxa"/>
              <w:start w:w="120" w:type="dxa"/>
              <w:bottom w:w="80" w:type="dxa"/>
              <w:end w:w="120" w:type="dxa"/>
            </w:tcMar>
            <w:vAlign w:val="center"/>
            <w:shd w:fill="F2F4F7"/>
          </w:tcPr>
          <w:p>
            <w:pPr>
              <w:spacing w:after="40"/>
            </w:pPr>
            <w:r>
              <w:rPr>
                <w:rFonts w:ascii="Calibri" w:hAnsi="Calibri"/>
                <w:b/>
                <w:color w:val="1F4D78"/>
                <w:sz w:val="19"/>
              </w:rPr>
              <w:t>Reason</w:t>
            </w:r>
          </w:p>
        </w:tc>
      </w:tr>
      <w:tr>
        <w:tc>
          <w:tcPr>
            <w:tcW w:type="dxa" w:w="2376"/>
            <w:tcMar>
              <w:top w:w="80" w:type="dxa"/>
              <w:start w:w="120" w:type="dxa"/>
              <w:bottom w:w="80" w:type="dxa"/>
              <w:end w:w="120" w:type="dxa"/>
            </w:tcMar>
            <w:vAlign w:val="center"/>
          </w:tcPr>
          <w:p>
            <w:pPr>
              <w:spacing w:after="40"/>
            </w:pPr>
            <w:r>
              <w:rPr>
                <w:rFonts w:ascii="Calibri" w:hAnsi="Calibri"/>
                <w:sz w:val="19"/>
              </w:rPr>
              <w:t>Founding memberships</w:t>
            </w:r>
          </w:p>
        </w:tc>
        <w:tc>
          <w:tcPr>
            <w:tcW w:type="dxa" w:w="2088"/>
            <w:tcMar>
              <w:top w:w="80" w:type="dxa"/>
              <w:start w:w="120" w:type="dxa"/>
              <w:bottom w:w="80" w:type="dxa"/>
              <w:end w:w="120" w:type="dxa"/>
            </w:tcMar>
            <w:vAlign w:val="center"/>
          </w:tcPr>
          <w:p>
            <w:pPr>
              <w:spacing w:after="40"/>
            </w:pPr>
            <w:r>
              <w:rPr>
                <w:rFonts w:ascii="Calibri" w:hAnsi="Calibri"/>
                <w:sz w:val="19"/>
              </w:rPr>
              <w:t>100 pledged / 60 paid</w:t>
            </w:r>
          </w:p>
        </w:tc>
        <w:tc>
          <w:tcPr>
            <w:tcW w:type="dxa" w:w="2088"/>
            <w:tcMar>
              <w:top w:w="80" w:type="dxa"/>
              <w:start w:w="120" w:type="dxa"/>
              <w:bottom w:w="80" w:type="dxa"/>
              <w:end w:w="120" w:type="dxa"/>
            </w:tcMar>
            <w:vAlign w:val="center"/>
          </w:tcPr>
          <w:p>
            <w:pPr>
              <w:spacing w:after="40"/>
            </w:pPr>
            <w:r>
              <w:rPr>
                <w:rFonts w:ascii="Calibri" w:hAnsi="Calibri"/>
                <w:sz w:val="19"/>
              </w:rPr>
              <w:t>80 active average</w:t>
            </w:r>
          </w:p>
        </w:tc>
        <w:tc>
          <w:tcPr>
            <w:tcW w:type="dxa" w:w="2448"/>
            <w:tcMar>
              <w:top w:w="80" w:type="dxa"/>
              <w:start w:w="120" w:type="dxa"/>
              <w:bottom w:w="80" w:type="dxa"/>
              <w:end w:w="120" w:type="dxa"/>
            </w:tcMar>
            <w:vAlign w:val="center"/>
          </w:tcPr>
          <w:p>
            <w:pPr>
              <w:spacing w:after="40"/>
            </w:pPr>
            <w:r>
              <w:rPr>
                <w:rFonts w:ascii="Calibri" w:hAnsi="Calibri"/>
                <w:sz w:val="19"/>
              </w:rPr>
              <w:t>Validates recurring demand and lowers cash risk.</w:t>
            </w:r>
          </w:p>
        </w:tc>
      </w:tr>
      <w:tr>
        <w:tc>
          <w:tcPr>
            <w:tcW w:type="dxa" w:w="2376"/>
            <w:tcMar>
              <w:top w:w="80" w:type="dxa"/>
              <w:start w:w="120" w:type="dxa"/>
              <w:bottom w:w="80" w:type="dxa"/>
              <w:end w:w="120" w:type="dxa"/>
            </w:tcMar>
            <w:vAlign w:val="center"/>
          </w:tcPr>
          <w:p>
            <w:pPr>
              <w:spacing w:after="40"/>
            </w:pPr>
            <w:r>
              <w:rPr>
                <w:rFonts w:ascii="Calibri" w:hAnsi="Calibri"/>
                <w:sz w:val="19"/>
              </w:rPr>
              <w:t>Private events booked</w:t>
            </w:r>
          </w:p>
        </w:tc>
        <w:tc>
          <w:tcPr>
            <w:tcW w:type="dxa" w:w="2088"/>
            <w:tcMar>
              <w:top w:w="80" w:type="dxa"/>
              <w:start w:w="120" w:type="dxa"/>
              <w:bottom w:w="80" w:type="dxa"/>
              <w:end w:w="120" w:type="dxa"/>
            </w:tcMar>
            <w:vAlign w:val="center"/>
          </w:tcPr>
          <w:p>
            <w:pPr>
              <w:spacing w:after="40"/>
            </w:pPr>
            <w:r>
              <w:rPr>
                <w:rFonts w:ascii="Calibri" w:hAnsi="Calibri"/>
                <w:sz w:val="19"/>
              </w:rPr>
              <w:t>8 deposits</w:t>
            </w:r>
          </w:p>
        </w:tc>
        <w:tc>
          <w:tcPr>
            <w:tcW w:type="dxa" w:w="2088"/>
            <w:tcMar>
              <w:top w:w="80" w:type="dxa"/>
              <w:start w:w="120" w:type="dxa"/>
              <w:bottom w:w="80" w:type="dxa"/>
              <w:end w:w="120" w:type="dxa"/>
            </w:tcMar>
            <w:vAlign w:val="center"/>
          </w:tcPr>
          <w:p>
            <w:pPr>
              <w:spacing w:after="40"/>
            </w:pPr>
            <w:r>
              <w:rPr>
                <w:rFonts w:ascii="Calibri" w:hAnsi="Calibri"/>
                <w:sz w:val="19"/>
              </w:rPr>
              <w:t>18 events completed</w:t>
            </w:r>
          </w:p>
        </w:tc>
        <w:tc>
          <w:tcPr>
            <w:tcW w:type="dxa" w:w="2448"/>
            <w:tcMar>
              <w:top w:w="80" w:type="dxa"/>
              <w:start w:w="120" w:type="dxa"/>
              <w:bottom w:w="80" w:type="dxa"/>
              <w:end w:w="120" w:type="dxa"/>
            </w:tcMar>
            <w:vAlign w:val="center"/>
          </w:tcPr>
          <w:p>
            <w:pPr>
              <w:spacing w:after="40"/>
            </w:pPr>
            <w:r>
              <w:rPr>
                <w:rFonts w:ascii="Calibri" w:hAnsi="Calibri"/>
                <w:sz w:val="19"/>
              </w:rPr>
              <w:t>Creates opening cash and word-of-mouth.</w:t>
            </w:r>
          </w:p>
        </w:tc>
      </w:tr>
      <w:tr>
        <w:tc>
          <w:tcPr>
            <w:tcW w:type="dxa" w:w="2376"/>
            <w:tcMar>
              <w:top w:w="80" w:type="dxa"/>
              <w:start w:w="120" w:type="dxa"/>
              <w:bottom w:w="80" w:type="dxa"/>
              <w:end w:w="120" w:type="dxa"/>
            </w:tcMar>
            <w:vAlign w:val="center"/>
          </w:tcPr>
          <w:p>
            <w:pPr>
              <w:spacing w:after="40"/>
            </w:pPr>
            <w:r>
              <w:rPr>
                <w:rFonts w:ascii="Calibri" w:hAnsi="Calibri"/>
                <w:sz w:val="19"/>
              </w:rPr>
              <w:t>Partner/rental nights</w:t>
            </w:r>
          </w:p>
        </w:tc>
        <w:tc>
          <w:tcPr>
            <w:tcW w:type="dxa" w:w="2088"/>
            <w:tcMar>
              <w:top w:w="80" w:type="dxa"/>
              <w:start w:w="120" w:type="dxa"/>
              <w:bottom w:w="80" w:type="dxa"/>
              <w:end w:w="120" w:type="dxa"/>
            </w:tcMar>
            <w:vAlign w:val="center"/>
          </w:tcPr>
          <w:p>
            <w:pPr>
              <w:spacing w:after="40"/>
            </w:pPr>
            <w:r>
              <w:rPr>
                <w:rFonts w:ascii="Calibri" w:hAnsi="Calibri"/>
                <w:sz w:val="19"/>
              </w:rPr>
              <w:t>6 commitments</w:t>
            </w:r>
          </w:p>
        </w:tc>
        <w:tc>
          <w:tcPr>
            <w:tcW w:type="dxa" w:w="2088"/>
            <w:tcMar>
              <w:top w:w="80" w:type="dxa"/>
              <w:start w:w="120" w:type="dxa"/>
              <w:bottom w:w="80" w:type="dxa"/>
              <w:end w:w="120" w:type="dxa"/>
            </w:tcMar>
            <w:vAlign w:val="center"/>
          </w:tcPr>
          <w:p>
            <w:pPr>
              <w:spacing w:after="40"/>
            </w:pPr>
            <w:r>
              <w:rPr>
                <w:rFonts w:ascii="Calibri" w:hAnsi="Calibri"/>
                <w:sz w:val="19"/>
              </w:rPr>
              <w:t>12 completed</w:t>
            </w:r>
          </w:p>
        </w:tc>
        <w:tc>
          <w:tcPr>
            <w:tcW w:type="dxa" w:w="2448"/>
            <w:tcMar>
              <w:top w:w="80" w:type="dxa"/>
              <w:start w:w="120" w:type="dxa"/>
              <w:bottom w:w="80" w:type="dxa"/>
              <w:end w:w="120" w:type="dxa"/>
            </w:tcMar>
            <w:vAlign w:val="center"/>
          </w:tcPr>
          <w:p>
            <w:pPr>
              <w:spacing w:after="40"/>
            </w:pPr>
            <w:r>
              <w:rPr>
                <w:rFonts w:ascii="Calibri" w:hAnsi="Calibri"/>
                <w:sz w:val="19"/>
              </w:rPr>
              <w:t>Uses off-peak hours and supports mission fit.</w:t>
            </w:r>
          </w:p>
        </w:tc>
      </w:tr>
      <w:tr>
        <w:tc>
          <w:tcPr>
            <w:tcW w:type="dxa" w:w="2376"/>
            <w:tcMar>
              <w:top w:w="80" w:type="dxa"/>
              <w:start w:w="120" w:type="dxa"/>
              <w:bottom w:w="80" w:type="dxa"/>
              <w:end w:w="120" w:type="dxa"/>
            </w:tcMar>
            <w:vAlign w:val="center"/>
          </w:tcPr>
          <w:p>
            <w:pPr>
              <w:spacing w:after="40"/>
            </w:pPr>
            <w:r>
              <w:rPr>
                <w:rFonts w:ascii="Calibri" w:hAnsi="Calibri"/>
                <w:sz w:val="19"/>
              </w:rPr>
              <w:t>Email/SMS list</w:t>
            </w:r>
          </w:p>
        </w:tc>
        <w:tc>
          <w:tcPr>
            <w:tcW w:type="dxa" w:w="2088"/>
            <w:tcMar>
              <w:top w:w="80" w:type="dxa"/>
              <w:start w:w="120" w:type="dxa"/>
              <w:bottom w:w="80" w:type="dxa"/>
              <w:end w:w="120" w:type="dxa"/>
            </w:tcMar>
            <w:vAlign w:val="center"/>
          </w:tcPr>
          <w:p>
            <w:pPr>
              <w:spacing w:after="40"/>
            </w:pPr>
            <w:r>
              <w:rPr>
                <w:rFonts w:ascii="Calibri" w:hAnsi="Calibri"/>
                <w:sz w:val="19"/>
              </w:rPr>
              <w:t>1,000 contacts</w:t>
            </w:r>
          </w:p>
        </w:tc>
        <w:tc>
          <w:tcPr>
            <w:tcW w:type="dxa" w:w="2088"/>
            <w:tcMar>
              <w:top w:w="80" w:type="dxa"/>
              <w:start w:w="120" w:type="dxa"/>
              <w:bottom w:w="80" w:type="dxa"/>
              <w:end w:w="120" w:type="dxa"/>
            </w:tcMar>
            <w:vAlign w:val="center"/>
          </w:tcPr>
          <w:p>
            <w:pPr>
              <w:spacing w:after="40"/>
            </w:pPr>
            <w:r>
              <w:rPr>
                <w:rFonts w:ascii="Calibri" w:hAnsi="Calibri"/>
                <w:sz w:val="19"/>
              </w:rPr>
              <w:t>1,500 contacts</w:t>
            </w:r>
          </w:p>
        </w:tc>
        <w:tc>
          <w:tcPr>
            <w:tcW w:type="dxa" w:w="2448"/>
            <w:tcMar>
              <w:top w:w="80" w:type="dxa"/>
              <w:start w:w="120" w:type="dxa"/>
              <w:bottom w:w="80" w:type="dxa"/>
              <w:end w:w="120" w:type="dxa"/>
            </w:tcMar>
            <w:vAlign w:val="center"/>
          </w:tcPr>
          <w:p>
            <w:pPr>
              <w:spacing w:after="40"/>
            </w:pPr>
            <w:r>
              <w:rPr>
                <w:rFonts w:ascii="Calibri" w:hAnsi="Calibri"/>
                <w:sz w:val="19"/>
              </w:rPr>
              <w:t>Reduces dependence on paid ads.</w:t>
            </w:r>
          </w:p>
        </w:tc>
      </w:tr>
      <w:tr>
        <w:tc>
          <w:tcPr>
            <w:tcW w:type="dxa" w:w="2376"/>
            <w:tcMar>
              <w:top w:w="80" w:type="dxa"/>
              <w:start w:w="120" w:type="dxa"/>
              <w:bottom w:w="80" w:type="dxa"/>
              <w:end w:w="120" w:type="dxa"/>
            </w:tcMar>
            <w:vAlign w:val="center"/>
          </w:tcPr>
          <w:p>
            <w:pPr>
              <w:spacing w:after="40"/>
            </w:pPr>
            <w:r>
              <w:rPr>
                <w:rFonts w:ascii="Calibri" w:hAnsi="Calibri"/>
                <w:sz w:val="19"/>
              </w:rPr>
              <w:t>Sponsor commitments</w:t>
            </w:r>
          </w:p>
        </w:tc>
        <w:tc>
          <w:tcPr>
            <w:tcW w:type="dxa" w:w="2088"/>
            <w:tcMar>
              <w:top w:w="80" w:type="dxa"/>
              <w:start w:w="120" w:type="dxa"/>
              <w:bottom w:w="80" w:type="dxa"/>
              <w:end w:w="120" w:type="dxa"/>
            </w:tcMar>
            <w:vAlign w:val="center"/>
          </w:tcPr>
          <w:p>
            <w:pPr>
              <w:spacing w:after="40"/>
            </w:pPr>
            <w:r>
              <w:rPr>
                <w:rFonts w:ascii="Calibri" w:hAnsi="Calibri"/>
                <w:sz w:val="19"/>
              </w:rPr>
              <w:t>$2,500 pledged</w:t>
            </w:r>
          </w:p>
        </w:tc>
        <w:tc>
          <w:tcPr>
            <w:tcW w:type="dxa" w:w="2088"/>
            <w:tcMar>
              <w:top w:w="80" w:type="dxa"/>
              <w:start w:w="120" w:type="dxa"/>
              <w:bottom w:w="80" w:type="dxa"/>
              <w:end w:w="120" w:type="dxa"/>
            </w:tcMar>
            <w:vAlign w:val="center"/>
          </w:tcPr>
          <w:p>
            <w:pPr>
              <w:spacing w:after="40"/>
            </w:pPr>
            <w:r>
              <w:rPr>
                <w:rFonts w:ascii="Calibri" w:hAnsi="Calibri"/>
                <w:sz w:val="19"/>
              </w:rPr>
              <w:t>$5,000 annualized pipeline</w:t>
            </w:r>
          </w:p>
        </w:tc>
        <w:tc>
          <w:tcPr>
            <w:tcW w:type="dxa" w:w="2448"/>
            <w:tcMar>
              <w:top w:w="80" w:type="dxa"/>
              <w:start w:w="120" w:type="dxa"/>
              <w:bottom w:w="80" w:type="dxa"/>
              <w:end w:w="120" w:type="dxa"/>
            </w:tcMar>
            <w:vAlign w:val="center"/>
          </w:tcPr>
          <w:p>
            <w:pPr>
              <w:spacing w:after="40"/>
            </w:pPr>
            <w:r>
              <w:rPr>
                <w:rFonts w:ascii="Calibri" w:hAnsi="Calibri"/>
                <w:sz w:val="19"/>
              </w:rPr>
              <w:t>Offsets prizes, access scholarships, and launch marketing.</w:t>
            </w:r>
          </w:p>
        </w:tc>
      </w:tr>
    </w:tbl>
    <w:p/>
    <w:p>
      <w:pPr>
        <w:pStyle w:val="Heading2"/>
      </w:pPr>
      <w:r>
        <w:t>Marketing Channels</w:t>
      </w:r>
    </w:p>
    <w:p>
      <w:pPr>
        <w:pStyle w:val="ListBullet"/>
        <w:spacing w:after="80"/>
      </w:pPr>
      <w:r>
        <w:t>Short-form social content showing tournaments, station setup, winners, birthday events, and community nights.</w:t>
      </w:r>
    </w:p>
    <w:p>
      <w:pPr>
        <w:pStyle w:val="ListBullet"/>
        <w:spacing w:after="80"/>
      </w:pPr>
      <w:r>
        <w:t>Direct outreach to schools, churches, youth-serving nonprofits, apartment communities, employers, and WKU student groups.</w:t>
      </w:r>
    </w:p>
    <w:p>
      <w:pPr>
        <w:pStyle w:val="ListBullet"/>
        <w:spacing w:after="80"/>
      </w:pPr>
      <w:r>
        <w:t>Launch-week offers that convert to memberships rather than one-time discounts.</w:t>
      </w:r>
    </w:p>
    <w:p>
      <w:pPr>
        <w:pStyle w:val="ListBullet"/>
        <w:spacing w:after="80"/>
      </w:pPr>
      <w:r>
        <w:t>Local sponsorships and co-hosted events with partners who already reach the target audience.</w:t>
      </w:r>
    </w:p>
    <w:p>
      <w:pPr>
        <w:pStyle w:val="ListBullet"/>
        <w:spacing w:after="80"/>
      </w:pPr>
      <w:r>
        <w:t>Referral rewards for members and party hosts.</w:t>
      </w:r>
    </w:p>
    <w:p>
      <w:pPr>
        <w:pStyle w:val="Heading1"/>
      </w:pPr>
      <w:r>
        <w:t>7. Funding Request</w:t>
      </w:r>
    </w:p>
    <w:p>
      <w:pPr>
        <w:spacing w:after="120"/>
      </w:pPr>
      <w:r>
        <w:t>The immediate funding request is $25,000. This request is structured for lease readiness and opening liquidity. Arrow's commitment to grant $25,000-$35,000 after opening and to own/service all gaming-related equipment materially reduces the unfunded equipment risk. It does not remove the need to confirm insurance, non-gaming buildout/furniture, inventory, staffing, and written Arrow terms.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592"/>
            <w:tcMar>
              <w:top w:w="80" w:type="dxa"/>
              <w:start w:w="120" w:type="dxa"/>
              <w:bottom w:w="80" w:type="dxa"/>
              <w:end w:w="120" w:type="dxa"/>
            </w:tcMar>
            <w:vAlign w:val="center"/>
            <w:shd w:fill="F2F4F7"/>
          </w:tcPr>
          <w:p>
            <w:pPr>
              <w:spacing w:after="40"/>
            </w:pPr>
            <w:r>
              <w:rPr>
                <w:rFonts w:ascii="Calibri" w:hAnsi="Calibri"/>
                <w:b/>
                <w:color w:val="1F4D78"/>
                <w:sz w:val="19"/>
              </w:rPr>
              <w:t>Use of funds</w:t>
            </w:r>
          </w:p>
        </w:tc>
        <w:tc>
          <w:tcPr>
            <w:tcW w:type="dxa" w:w="1440"/>
            <w:tcMar>
              <w:top w:w="80" w:type="dxa"/>
              <w:start w:w="120" w:type="dxa"/>
              <w:bottom w:w="80" w:type="dxa"/>
              <w:end w:w="120" w:type="dxa"/>
            </w:tcMar>
            <w:vAlign w:val="center"/>
            <w:shd w:fill="F2F4F7"/>
          </w:tcPr>
          <w:p>
            <w:pPr>
              <w:spacing w:after="40"/>
            </w:pPr>
            <w:r>
              <w:rPr>
                <w:rFonts w:ascii="Calibri" w:hAnsi="Calibri"/>
                <w:b/>
                <w:color w:val="1F4D78"/>
                <w:sz w:val="19"/>
              </w:rPr>
              <w:t>Amount</w:t>
            </w:r>
          </w:p>
        </w:tc>
        <w:tc>
          <w:tcPr>
            <w:tcW w:type="dxa" w:w="4968"/>
            <w:tcMar>
              <w:top w:w="80" w:type="dxa"/>
              <w:start w:w="120" w:type="dxa"/>
              <w:bottom w:w="80" w:type="dxa"/>
              <w:end w:w="120" w:type="dxa"/>
            </w:tcMar>
            <w:vAlign w:val="center"/>
            <w:shd w:fill="F2F4F7"/>
          </w:tcPr>
          <w:p>
            <w:pPr>
              <w:spacing w:after="40"/>
            </w:pPr>
            <w:r>
              <w:rPr>
                <w:rFonts w:ascii="Calibri" w:hAnsi="Calibri"/>
                <w:b/>
                <w:color w:val="1F4D78"/>
                <w:sz w:val="19"/>
              </w:rPr>
              <w:t>Purpose / control</w:t>
            </w:r>
          </w:p>
        </w:tc>
      </w:tr>
      <w:tr>
        <w:tc>
          <w:tcPr>
            <w:tcW w:type="dxa" w:w="2592"/>
            <w:tcMar>
              <w:top w:w="80" w:type="dxa"/>
              <w:start w:w="120" w:type="dxa"/>
              <w:bottom w:w="80" w:type="dxa"/>
              <w:end w:w="120" w:type="dxa"/>
            </w:tcMar>
            <w:vAlign w:val="center"/>
          </w:tcPr>
          <w:p>
            <w:pPr>
              <w:spacing w:after="40"/>
            </w:pPr>
            <w:r>
              <w:rPr>
                <w:rFonts w:ascii="Calibri" w:hAnsi="Calibri"/>
                <w:sz w:val="19"/>
              </w:rPr>
              <w:t>Opening cash till</w:t>
            </w:r>
          </w:p>
        </w:tc>
        <w:tc>
          <w:tcPr>
            <w:tcW w:type="dxa" w:w="1440"/>
            <w:tcMar>
              <w:top w:w="80" w:type="dxa"/>
              <w:start w:w="120" w:type="dxa"/>
              <w:bottom w:w="80" w:type="dxa"/>
              <w:end w:w="120" w:type="dxa"/>
            </w:tcMar>
            <w:vAlign w:val="center"/>
          </w:tcPr>
          <w:p>
            <w:pPr>
              <w:spacing w:after="40"/>
            </w:pPr>
            <w:r>
              <w:rPr>
                <w:rFonts w:ascii="Calibri" w:hAnsi="Calibri"/>
                <w:sz w:val="19"/>
              </w:rPr>
              <w:t>$10,000</w:t>
            </w:r>
          </w:p>
        </w:tc>
        <w:tc>
          <w:tcPr>
            <w:tcW w:type="dxa" w:w="4968"/>
            <w:tcMar>
              <w:top w:w="80" w:type="dxa"/>
              <w:start w:w="120" w:type="dxa"/>
              <w:bottom w:w="80" w:type="dxa"/>
              <w:end w:w="120" w:type="dxa"/>
            </w:tcMar>
            <w:vAlign w:val="center"/>
          </w:tcPr>
          <w:p>
            <w:pPr>
              <w:spacing w:after="40"/>
            </w:pPr>
            <w:r>
              <w:rPr>
                <w:rFonts w:ascii="Calibri" w:hAnsi="Calibri"/>
                <w:sz w:val="19"/>
              </w:rPr>
              <w:t>Start-up cash liquidity, change bank, and controlled operating cash. Requires written cash policy.</w:t>
            </w:r>
          </w:p>
        </w:tc>
      </w:tr>
      <w:tr>
        <w:tc>
          <w:tcPr>
            <w:tcW w:type="dxa" w:w="2592"/>
            <w:tcMar>
              <w:top w:w="80" w:type="dxa"/>
              <w:start w:w="120" w:type="dxa"/>
              <w:bottom w:w="80" w:type="dxa"/>
              <w:end w:w="120" w:type="dxa"/>
            </w:tcMar>
            <w:vAlign w:val="center"/>
          </w:tcPr>
          <w:p>
            <w:pPr>
              <w:spacing w:after="40"/>
            </w:pPr>
            <w:r>
              <w:rPr>
                <w:rFonts w:ascii="Calibri" w:hAnsi="Calibri"/>
                <w:sz w:val="19"/>
              </w:rPr>
              <w:t>First and last month rent</w:t>
            </w:r>
          </w:p>
        </w:tc>
        <w:tc>
          <w:tcPr>
            <w:tcW w:type="dxa" w:w="1440"/>
            <w:tcMar>
              <w:top w:w="80" w:type="dxa"/>
              <w:start w:w="120" w:type="dxa"/>
              <w:bottom w:w="80" w:type="dxa"/>
              <w:end w:w="120" w:type="dxa"/>
            </w:tcMar>
            <w:vAlign w:val="center"/>
          </w:tcPr>
          <w:p>
            <w:pPr>
              <w:spacing w:after="40"/>
            </w:pPr>
            <w:r>
              <w:rPr>
                <w:rFonts w:ascii="Calibri" w:hAnsi="Calibri"/>
                <w:sz w:val="19"/>
              </w:rPr>
              <w:t>$8,000</w:t>
            </w:r>
          </w:p>
        </w:tc>
        <w:tc>
          <w:tcPr>
            <w:tcW w:type="dxa" w:w="4968"/>
            <w:tcMar>
              <w:top w:w="80" w:type="dxa"/>
              <w:start w:w="120" w:type="dxa"/>
              <w:bottom w:w="80" w:type="dxa"/>
              <w:end w:w="120" w:type="dxa"/>
            </w:tcMar>
            <w:vAlign w:val="center"/>
          </w:tcPr>
          <w:p>
            <w:pPr>
              <w:spacing w:after="40"/>
            </w:pPr>
            <w:r>
              <w:rPr>
                <w:rFonts w:ascii="Calibri" w:hAnsi="Calibri"/>
                <w:sz w:val="19"/>
              </w:rPr>
              <w:t>Assumes $4,000/month rent. Supports lease execution.</w:t>
            </w:r>
          </w:p>
        </w:tc>
      </w:tr>
      <w:tr>
        <w:tc>
          <w:tcPr>
            <w:tcW w:type="dxa" w:w="2592"/>
            <w:tcMar>
              <w:top w:w="80" w:type="dxa"/>
              <w:start w:w="120" w:type="dxa"/>
              <w:bottom w:w="80" w:type="dxa"/>
              <w:end w:w="120" w:type="dxa"/>
            </w:tcMar>
            <w:vAlign w:val="center"/>
          </w:tcPr>
          <w:p>
            <w:pPr>
              <w:spacing w:after="40"/>
            </w:pPr>
            <w:r>
              <w:rPr>
                <w:rFonts w:ascii="Calibri" w:hAnsi="Calibri"/>
                <w:sz w:val="19"/>
              </w:rPr>
              <w:t>Utility deposits</w:t>
            </w:r>
          </w:p>
        </w:tc>
        <w:tc>
          <w:tcPr>
            <w:tcW w:type="dxa" w:w="1440"/>
            <w:tcMar>
              <w:top w:w="80" w:type="dxa"/>
              <w:start w:w="120" w:type="dxa"/>
              <w:bottom w:w="80" w:type="dxa"/>
              <w:end w:w="120" w:type="dxa"/>
            </w:tcMar>
            <w:vAlign w:val="center"/>
          </w:tcPr>
          <w:p>
            <w:pPr>
              <w:spacing w:after="40"/>
            </w:pPr>
            <w:r>
              <w:rPr>
                <w:rFonts w:ascii="Calibri" w:hAnsi="Calibri"/>
                <w:sz w:val="19"/>
              </w:rPr>
              <w:t>$2,000</w:t>
            </w:r>
          </w:p>
        </w:tc>
        <w:tc>
          <w:tcPr>
            <w:tcW w:type="dxa" w:w="4968"/>
            <w:tcMar>
              <w:top w:w="80" w:type="dxa"/>
              <w:start w:w="120" w:type="dxa"/>
              <w:bottom w:w="80" w:type="dxa"/>
              <w:end w:w="120" w:type="dxa"/>
            </w:tcMar>
            <w:vAlign w:val="center"/>
          </w:tcPr>
          <w:p>
            <w:pPr>
              <w:spacing w:after="40"/>
            </w:pPr>
            <w:r>
              <w:rPr>
                <w:rFonts w:ascii="Calibri" w:hAnsi="Calibri"/>
                <w:sz w:val="19"/>
              </w:rPr>
              <w:t>Deposits for electric, internet, water, waste, and related services.</w:t>
            </w:r>
          </w:p>
        </w:tc>
      </w:tr>
      <w:tr>
        <w:tc>
          <w:tcPr>
            <w:tcW w:type="dxa" w:w="2592"/>
            <w:tcMar>
              <w:top w:w="80" w:type="dxa"/>
              <w:start w:w="120" w:type="dxa"/>
              <w:bottom w:w="80" w:type="dxa"/>
              <w:end w:w="120" w:type="dxa"/>
            </w:tcMar>
            <w:vAlign w:val="center"/>
          </w:tcPr>
          <w:p>
            <w:pPr>
              <w:spacing w:after="40"/>
            </w:pPr>
            <w:r>
              <w:rPr>
                <w:rFonts w:ascii="Calibri" w:hAnsi="Calibri"/>
                <w:sz w:val="19"/>
              </w:rPr>
              <w:t>Operating buffer</w:t>
            </w:r>
          </w:p>
        </w:tc>
        <w:tc>
          <w:tcPr>
            <w:tcW w:type="dxa" w:w="1440"/>
            <w:tcMar>
              <w:top w:w="80" w:type="dxa"/>
              <w:start w:w="120" w:type="dxa"/>
              <w:bottom w:w="80" w:type="dxa"/>
              <w:end w:w="120" w:type="dxa"/>
            </w:tcMar>
            <w:vAlign w:val="center"/>
          </w:tcPr>
          <w:p>
            <w:pPr>
              <w:spacing w:after="40"/>
            </w:pPr>
            <w:r>
              <w:rPr>
                <w:rFonts w:ascii="Calibri" w:hAnsi="Calibri"/>
                <w:sz w:val="19"/>
              </w:rPr>
              <w:t>$5,000</w:t>
            </w:r>
          </w:p>
        </w:tc>
        <w:tc>
          <w:tcPr>
            <w:tcW w:type="dxa" w:w="4968"/>
            <w:tcMar>
              <w:top w:w="80" w:type="dxa"/>
              <w:start w:w="120" w:type="dxa"/>
              <w:bottom w:w="80" w:type="dxa"/>
              <w:end w:w="120" w:type="dxa"/>
            </w:tcMar>
            <w:vAlign w:val="center"/>
          </w:tcPr>
          <w:p>
            <w:pPr>
              <w:spacing w:after="40"/>
            </w:pPr>
            <w:r>
              <w:rPr>
                <w:rFonts w:ascii="Calibri" w:hAnsi="Calibri"/>
                <w:sz w:val="19"/>
              </w:rPr>
              <w:t>Short-term cushion for early timing gaps, repairs, supplies, and launch variance.</w:t>
            </w:r>
          </w:p>
        </w:tc>
      </w:tr>
      <w:tr>
        <w:tc>
          <w:tcPr>
            <w:tcW w:type="dxa" w:w="2592"/>
            <w:tcMar>
              <w:top w:w="80" w:type="dxa"/>
              <w:start w:w="120" w:type="dxa"/>
              <w:bottom w:w="80" w:type="dxa"/>
              <w:end w:w="120" w:type="dxa"/>
            </w:tcMar>
            <w:vAlign w:val="center"/>
          </w:tcPr>
          <w:p>
            <w:pPr>
              <w:spacing w:after="40"/>
            </w:pPr>
            <w:r>
              <w:rPr>
                <w:rFonts w:ascii="Calibri" w:hAnsi="Calibri"/>
                <w:sz w:val="19"/>
              </w:rPr>
              <w:t>Immediate lease-readiness total</w:t>
            </w:r>
          </w:p>
        </w:tc>
        <w:tc>
          <w:tcPr>
            <w:tcW w:type="dxa" w:w="1440"/>
            <w:tcMar>
              <w:top w:w="80" w:type="dxa"/>
              <w:start w:w="120" w:type="dxa"/>
              <w:bottom w:w="80" w:type="dxa"/>
              <w:end w:w="120" w:type="dxa"/>
            </w:tcMar>
            <w:vAlign w:val="center"/>
          </w:tcPr>
          <w:p>
            <w:pPr>
              <w:spacing w:after="40"/>
            </w:pPr>
            <w:r>
              <w:rPr>
                <w:rFonts w:ascii="Calibri" w:hAnsi="Calibri"/>
                <w:sz w:val="19"/>
              </w:rPr>
              <w:t>$25,000</w:t>
            </w:r>
          </w:p>
        </w:tc>
        <w:tc>
          <w:tcPr>
            <w:tcW w:type="dxa" w:w="4968"/>
            <w:tcMar>
              <w:top w:w="80" w:type="dxa"/>
              <w:start w:w="120" w:type="dxa"/>
              <w:bottom w:w="80" w:type="dxa"/>
              <w:end w:w="120" w:type="dxa"/>
            </w:tcMar>
            <w:vAlign w:val="center"/>
          </w:tcPr>
          <w:p>
            <w:pPr>
              <w:spacing w:after="40"/>
            </w:pPr>
            <w:r>
              <w:rPr>
                <w:rFonts w:ascii="Calibri" w:hAnsi="Calibri"/>
                <w:sz w:val="19"/>
              </w:rPr>
              <w:t>Minimum cash requirement before opening.</w:t>
            </w:r>
          </w:p>
        </w:tc>
      </w:tr>
      <w:tr>
        <w:tc>
          <w:tcPr>
            <w:tcW w:type="dxa" w:w="2592"/>
            <w:tcMar>
              <w:top w:w="80" w:type="dxa"/>
              <w:start w:w="120" w:type="dxa"/>
              <w:bottom w:w="80" w:type="dxa"/>
              <w:end w:w="120" w:type="dxa"/>
            </w:tcMar>
            <w:vAlign w:val="center"/>
          </w:tcPr>
          <w:p>
            <w:pPr>
              <w:spacing w:after="40"/>
            </w:pPr>
            <w:r>
              <w:rPr>
                <w:rFonts w:ascii="Calibri" w:hAnsi="Calibri"/>
                <w:sz w:val="19"/>
              </w:rPr>
              <w:t>Arrow post-opening grant</w:t>
            </w:r>
          </w:p>
        </w:tc>
        <w:tc>
          <w:tcPr>
            <w:tcW w:type="dxa" w:w="1440"/>
            <w:tcMar>
              <w:top w:w="80" w:type="dxa"/>
              <w:start w:w="120" w:type="dxa"/>
              <w:bottom w:w="80" w:type="dxa"/>
              <w:end w:w="120" w:type="dxa"/>
            </w:tcMar>
            <w:vAlign w:val="center"/>
          </w:tcPr>
          <w:p>
            <w:pPr>
              <w:spacing w:after="40"/>
            </w:pPr>
            <w:r>
              <w:rPr>
                <w:rFonts w:ascii="Calibri" w:hAnsi="Calibri"/>
                <w:sz w:val="19"/>
              </w:rPr>
              <w:t>$25,000-$35,000</w:t>
            </w:r>
          </w:p>
        </w:tc>
        <w:tc>
          <w:tcPr>
            <w:tcW w:type="dxa" w:w="4968"/>
            <w:tcMar>
              <w:top w:w="80" w:type="dxa"/>
              <w:start w:w="120" w:type="dxa"/>
              <w:bottom w:w="80" w:type="dxa"/>
              <w:end w:w="120" w:type="dxa"/>
            </w:tcMar>
            <w:vAlign w:val="center"/>
          </w:tcPr>
          <w:p>
            <w:pPr>
              <w:spacing w:after="40"/>
            </w:pPr>
            <w:r>
              <w:rPr>
                <w:rFonts w:ascii="Calibri" w:hAnsi="Calibri"/>
                <w:sz w:val="19"/>
              </w:rPr>
              <w:t>Supplemental source expected after doors open; should not be spent or pledged before written terms and timing are confirmed.</w:t>
            </w:r>
          </w:p>
        </w:tc>
      </w:tr>
    </w:tbl>
    <w:p/>
    <w:p>
      <w:pPr>
        <w:spacing w:after="120"/>
      </w:pPr>
      <w:r>
        <w:t>[GAP: Written Arrow terms, insurance requirements, furniture, signage, buildout outside gaming equipment, permits, legal/accounting setup, POS hardware, opening inventory, and pre-opening payroll still need confirmation.] If these items are not already secured or covered by Arrow/partners, the true funding need is higher than the initial $25,000 lease-readiness request.</w:t>
      </w:r>
    </w:p>
    <w:p>
      <w:pPr>
        <w:pStyle w:val="Heading1"/>
      </w:pPr>
      <w:r>
        <w:t>8. Financial Projections</w:t>
      </w:r>
    </w:p>
    <w:p>
      <w:pPr>
        <w:pStyle w:val="Heading2"/>
      </w:pPr>
      <w:r>
        <w:t>Key Modeling Assumptions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376"/>
            <w:tcMar>
              <w:top w:w="80" w:type="dxa"/>
              <w:start w:w="120" w:type="dxa"/>
              <w:bottom w:w="80" w:type="dxa"/>
              <w:end w:w="120" w:type="dxa"/>
            </w:tcMar>
            <w:vAlign w:val="center"/>
            <w:shd w:fill="F2F4F7"/>
          </w:tcPr>
          <w:p>
            <w:pPr>
              <w:spacing w:after="40"/>
            </w:pPr>
            <w:r>
              <w:rPr>
                <w:rFonts w:ascii="Calibri" w:hAnsi="Calibri"/>
                <w:b/>
                <w:color w:val="1F4D78"/>
                <w:sz w:val="19"/>
              </w:rPr>
              <w:t>Assumption</w:t>
            </w:r>
          </w:p>
        </w:tc>
        <w:tc>
          <w:tcPr>
            <w:tcW w:type="dxa" w:w="2520"/>
            <w:tcMar>
              <w:top w:w="80" w:type="dxa"/>
              <w:start w:w="120" w:type="dxa"/>
              <w:bottom w:w="80" w:type="dxa"/>
              <w:end w:w="120" w:type="dxa"/>
            </w:tcMar>
            <w:vAlign w:val="center"/>
            <w:shd w:fill="F2F4F7"/>
          </w:tcPr>
          <w:p>
            <w:pPr>
              <w:spacing w:after="40"/>
            </w:pPr>
            <w:r>
              <w:rPr>
                <w:rFonts w:ascii="Calibri" w:hAnsi="Calibri"/>
                <w:b/>
                <w:color w:val="1F4D78"/>
                <w:sz w:val="19"/>
              </w:rPr>
              <w:t>Year 1 base case</w:t>
            </w:r>
          </w:p>
        </w:tc>
        <w:tc>
          <w:tcPr>
            <w:tcW w:type="dxa" w:w="4104"/>
            <w:tcMar>
              <w:top w:w="80" w:type="dxa"/>
              <w:start w:w="120" w:type="dxa"/>
              <w:bottom w:w="80" w:type="dxa"/>
              <w:end w:w="120" w:type="dxa"/>
            </w:tcMar>
            <w:vAlign w:val="center"/>
            <w:shd w:fill="F2F4F7"/>
          </w:tcPr>
          <w:p>
            <w:pPr>
              <w:spacing w:after="40"/>
            </w:pPr>
            <w:r>
              <w:rPr>
                <w:rFonts w:ascii="Calibri" w:hAnsi="Calibri"/>
                <w:b/>
                <w:color w:val="1F4D78"/>
                <w:sz w:val="19"/>
              </w:rPr>
              <w:t>Why it matters</w:t>
            </w:r>
          </w:p>
        </w:tc>
      </w:tr>
      <w:tr>
        <w:tc>
          <w:tcPr>
            <w:tcW w:type="dxa" w:w="2376"/>
            <w:tcMar>
              <w:top w:w="80" w:type="dxa"/>
              <w:start w:w="120" w:type="dxa"/>
              <w:bottom w:w="80" w:type="dxa"/>
              <w:end w:w="120" w:type="dxa"/>
            </w:tcMar>
            <w:vAlign w:val="center"/>
          </w:tcPr>
          <w:p>
            <w:pPr>
              <w:spacing w:after="40"/>
            </w:pPr>
            <w:r>
              <w:rPr>
                <w:rFonts w:ascii="Calibri" w:hAnsi="Calibri"/>
                <w:sz w:val="19"/>
              </w:rPr>
              <w:t>Operating days</w:t>
            </w:r>
          </w:p>
        </w:tc>
        <w:tc>
          <w:tcPr>
            <w:tcW w:type="dxa" w:w="2520"/>
            <w:tcMar>
              <w:top w:w="80" w:type="dxa"/>
              <w:start w:w="120" w:type="dxa"/>
              <w:bottom w:w="80" w:type="dxa"/>
              <w:end w:w="120" w:type="dxa"/>
            </w:tcMar>
            <w:vAlign w:val="center"/>
          </w:tcPr>
          <w:p>
            <w:pPr>
              <w:spacing w:after="40"/>
            </w:pPr>
            <w:r>
              <w:rPr>
                <w:rFonts w:ascii="Calibri" w:hAnsi="Calibri"/>
                <w:sz w:val="19"/>
              </w:rPr>
              <w:t>312 days/year, 6 days/week</w:t>
            </w:r>
          </w:p>
        </w:tc>
        <w:tc>
          <w:tcPr>
            <w:tcW w:type="dxa" w:w="4104"/>
            <w:tcMar>
              <w:top w:w="80" w:type="dxa"/>
              <w:start w:w="120" w:type="dxa"/>
              <w:bottom w:w="80" w:type="dxa"/>
              <w:end w:w="120" w:type="dxa"/>
            </w:tcMar>
            <w:vAlign w:val="center"/>
          </w:tcPr>
          <w:p>
            <w:pPr>
              <w:spacing w:after="40"/>
            </w:pPr>
            <w:r>
              <w:rPr>
                <w:rFonts w:ascii="Calibri" w:hAnsi="Calibri"/>
                <w:sz w:val="19"/>
              </w:rPr>
              <w:t>Sets traffic capacity and staffing requirement.</w:t>
            </w:r>
          </w:p>
        </w:tc>
      </w:tr>
      <w:tr>
        <w:tc>
          <w:tcPr>
            <w:tcW w:type="dxa" w:w="2376"/>
            <w:tcMar>
              <w:top w:w="80" w:type="dxa"/>
              <w:start w:w="120" w:type="dxa"/>
              <w:bottom w:w="80" w:type="dxa"/>
              <w:end w:w="120" w:type="dxa"/>
            </w:tcMar>
            <w:vAlign w:val="center"/>
          </w:tcPr>
          <w:p>
            <w:pPr>
              <w:spacing w:after="40"/>
            </w:pPr>
            <w:r>
              <w:rPr>
                <w:rFonts w:ascii="Calibri" w:hAnsi="Calibri"/>
                <w:sz w:val="19"/>
              </w:rPr>
              <w:t>Operating hours</w:t>
            </w:r>
          </w:p>
        </w:tc>
        <w:tc>
          <w:tcPr>
            <w:tcW w:type="dxa" w:w="2520"/>
            <w:tcMar>
              <w:top w:w="80" w:type="dxa"/>
              <w:start w:w="120" w:type="dxa"/>
              <w:bottom w:w="80" w:type="dxa"/>
              <w:end w:w="120" w:type="dxa"/>
            </w:tcMar>
            <w:vAlign w:val="center"/>
          </w:tcPr>
          <w:p>
            <w:pPr>
              <w:spacing w:after="40"/>
            </w:pPr>
            <w:r>
              <w:rPr>
                <w:rFonts w:ascii="Calibri" w:hAnsi="Calibri"/>
                <w:sz w:val="19"/>
              </w:rPr>
              <w:t>8 hours/day at startup</w:t>
            </w:r>
          </w:p>
        </w:tc>
        <w:tc>
          <w:tcPr>
            <w:tcW w:type="dxa" w:w="4104"/>
            <w:tcMar>
              <w:top w:w="80" w:type="dxa"/>
              <w:start w:w="120" w:type="dxa"/>
              <w:bottom w:w="80" w:type="dxa"/>
              <w:end w:w="120" w:type="dxa"/>
            </w:tcMar>
            <w:vAlign w:val="center"/>
          </w:tcPr>
          <w:p>
            <w:pPr>
              <w:spacing w:after="40"/>
            </w:pPr>
            <w:r>
              <w:rPr>
                <w:rFonts w:ascii="Calibri" w:hAnsi="Calibri"/>
                <w:sz w:val="19"/>
              </w:rPr>
              <w:t>Supports controlled staffing, equipment monitoring, and demand testing before expanding hours.</w:t>
            </w:r>
          </w:p>
        </w:tc>
      </w:tr>
      <w:tr>
        <w:tc>
          <w:tcPr>
            <w:tcW w:type="dxa" w:w="2376"/>
            <w:tcMar>
              <w:top w:w="80" w:type="dxa"/>
              <w:start w:w="120" w:type="dxa"/>
              <w:bottom w:w="80" w:type="dxa"/>
              <w:end w:w="120" w:type="dxa"/>
            </w:tcMar>
            <w:vAlign w:val="center"/>
          </w:tcPr>
          <w:p>
            <w:pPr>
              <w:spacing w:after="40"/>
            </w:pPr>
            <w:r>
              <w:rPr>
                <w:rFonts w:ascii="Calibri" w:hAnsi="Calibri"/>
                <w:sz w:val="19"/>
              </w:rPr>
              <w:t>Gaming machines</w:t>
            </w:r>
          </w:p>
        </w:tc>
        <w:tc>
          <w:tcPr>
            <w:tcW w:type="dxa" w:w="2520"/>
            <w:tcMar>
              <w:top w:w="80" w:type="dxa"/>
              <w:start w:w="120" w:type="dxa"/>
              <w:bottom w:w="80" w:type="dxa"/>
              <w:end w:w="120" w:type="dxa"/>
            </w:tcMar>
            <w:vAlign w:val="center"/>
          </w:tcPr>
          <w:p>
            <w:pPr>
              <w:spacing w:after="40"/>
            </w:pPr>
            <w:r>
              <w:rPr>
                <w:rFonts w:ascii="Calibri" w:hAnsi="Calibri"/>
                <w:sz w:val="19"/>
              </w:rPr>
              <w:t>35 machines</w:t>
            </w:r>
          </w:p>
        </w:tc>
        <w:tc>
          <w:tcPr>
            <w:tcW w:type="dxa" w:w="4104"/>
            <w:tcMar>
              <w:top w:w="80" w:type="dxa"/>
              <w:start w:w="120" w:type="dxa"/>
              <w:bottom w:w="80" w:type="dxa"/>
              <w:end w:w="120" w:type="dxa"/>
            </w:tcMar>
            <w:vAlign w:val="center"/>
          </w:tcPr>
          <w:p>
            <w:pPr>
              <w:spacing w:after="40"/>
            </w:pPr>
            <w:r>
              <w:rPr>
                <w:rFonts w:ascii="Calibri" w:hAnsi="Calibri"/>
                <w:sz w:val="19"/>
              </w:rPr>
              <w:t>Capacity supports the base traffic model; utilization can be measured by paid visits per machine.</w:t>
            </w:r>
          </w:p>
        </w:tc>
      </w:tr>
      <w:tr>
        <w:tc>
          <w:tcPr>
            <w:tcW w:type="dxa" w:w="2376"/>
            <w:tcMar>
              <w:top w:w="80" w:type="dxa"/>
              <w:start w:w="120" w:type="dxa"/>
              <w:bottom w:w="80" w:type="dxa"/>
              <w:end w:w="120" w:type="dxa"/>
            </w:tcMar>
            <w:vAlign w:val="center"/>
          </w:tcPr>
          <w:p>
            <w:pPr>
              <w:spacing w:after="40"/>
            </w:pPr>
            <w:r>
              <w:rPr>
                <w:rFonts w:ascii="Calibri" w:hAnsi="Calibri"/>
                <w:sz w:val="19"/>
              </w:rPr>
              <w:t>Paid drop-in visits</w:t>
            </w:r>
          </w:p>
        </w:tc>
        <w:tc>
          <w:tcPr>
            <w:tcW w:type="dxa" w:w="2520"/>
            <w:tcMar>
              <w:top w:w="80" w:type="dxa"/>
              <w:start w:w="120" w:type="dxa"/>
              <w:bottom w:w="80" w:type="dxa"/>
              <w:end w:w="120" w:type="dxa"/>
            </w:tcMar>
            <w:vAlign w:val="center"/>
          </w:tcPr>
          <w:p>
            <w:pPr>
              <w:spacing w:after="40"/>
            </w:pPr>
            <w:r>
              <w:rPr>
                <w:rFonts w:ascii="Calibri" w:hAnsi="Calibri"/>
                <w:sz w:val="19"/>
              </w:rPr>
              <w:t>32 visits/open day</w:t>
            </w:r>
          </w:p>
        </w:tc>
        <w:tc>
          <w:tcPr>
            <w:tcW w:type="dxa" w:w="4104"/>
            <w:tcMar>
              <w:top w:w="80" w:type="dxa"/>
              <w:start w:w="120" w:type="dxa"/>
              <w:bottom w:w="80" w:type="dxa"/>
              <w:end w:w="120" w:type="dxa"/>
            </w:tcMar>
            <w:vAlign w:val="center"/>
          </w:tcPr>
          <w:p>
            <w:pPr>
              <w:spacing w:after="40"/>
            </w:pPr>
            <w:r>
              <w:rPr>
                <w:rFonts w:ascii="Calibri" w:hAnsi="Calibri"/>
                <w:sz w:val="19"/>
              </w:rPr>
              <w:t>Weakest assumption; drives core revenue.</w:t>
            </w:r>
          </w:p>
        </w:tc>
      </w:tr>
      <w:tr>
        <w:tc>
          <w:tcPr>
            <w:tcW w:type="dxa" w:w="2376"/>
            <w:tcMar>
              <w:top w:w="80" w:type="dxa"/>
              <w:start w:w="120" w:type="dxa"/>
              <w:bottom w:w="80" w:type="dxa"/>
              <w:end w:w="120" w:type="dxa"/>
            </w:tcMar>
            <w:vAlign w:val="center"/>
          </w:tcPr>
          <w:p>
            <w:pPr>
              <w:spacing w:after="40"/>
            </w:pPr>
            <w:r>
              <w:rPr>
                <w:rFonts w:ascii="Calibri" w:hAnsi="Calibri"/>
                <w:sz w:val="19"/>
              </w:rPr>
              <w:t>Average drop-in ticket</w:t>
            </w:r>
          </w:p>
        </w:tc>
        <w:tc>
          <w:tcPr>
            <w:tcW w:type="dxa" w:w="2520"/>
            <w:tcMar>
              <w:top w:w="80" w:type="dxa"/>
              <w:start w:w="120" w:type="dxa"/>
              <w:bottom w:w="80" w:type="dxa"/>
              <w:end w:w="120" w:type="dxa"/>
            </w:tcMar>
            <w:vAlign w:val="center"/>
          </w:tcPr>
          <w:p>
            <w:pPr>
              <w:spacing w:after="40"/>
            </w:pPr>
            <w:r>
              <w:rPr>
                <w:rFonts w:ascii="Calibri" w:hAnsi="Calibri"/>
                <w:sz w:val="19"/>
              </w:rPr>
              <w:t>$14.00</w:t>
            </w:r>
          </w:p>
        </w:tc>
        <w:tc>
          <w:tcPr>
            <w:tcW w:type="dxa" w:w="4104"/>
            <w:tcMar>
              <w:top w:w="80" w:type="dxa"/>
              <w:start w:w="120" w:type="dxa"/>
              <w:bottom w:w="80" w:type="dxa"/>
              <w:end w:w="120" w:type="dxa"/>
            </w:tcMar>
            <w:vAlign w:val="center"/>
          </w:tcPr>
          <w:p>
            <w:pPr>
              <w:spacing w:after="40"/>
            </w:pPr>
            <w:r>
              <w:rPr>
                <w:rFonts w:ascii="Calibri" w:hAnsi="Calibri"/>
                <w:sz w:val="19"/>
              </w:rPr>
              <w:t>Blended hourly/day-pass realized price after discounts.</w:t>
            </w:r>
          </w:p>
        </w:tc>
      </w:tr>
      <w:tr>
        <w:tc>
          <w:tcPr>
            <w:tcW w:type="dxa" w:w="2376"/>
            <w:tcMar>
              <w:top w:w="80" w:type="dxa"/>
              <w:start w:w="120" w:type="dxa"/>
              <w:bottom w:w="80" w:type="dxa"/>
              <w:end w:w="120" w:type="dxa"/>
            </w:tcMar>
            <w:vAlign w:val="center"/>
          </w:tcPr>
          <w:p>
            <w:pPr>
              <w:spacing w:after="40"/>
            </w:pPr>
            <w:r>
              <w:rPr>
                <w:rFonts w:ascii="Calibri" w:hAnsi="Calibri"/>
                <w:sz w:val="19"/>
              </w:rPr>
              <w:t>Average members</w:t>
            </w:r>
          </w:p>
        </w:tc>
        <w:tc>
          <w:tcPr>
            <w:tcW w:type="dxa" w:w="2520"/>
            <w:tcMar>
              <w:top w:w="80" w:type="dxa"/>
              <w:start w:w="120" w:type="dxa"/>
              <w:bottom w:w="80" w:type="dxa"/>
              <w:end w:w="120" w:type="dxa"/>
            </w:tcMar>
            <w:vAlign w:val="center"/>
          </w:tcPr>
          <w:p>
            <w:pPr>
              <w:spacing w:after="40"/>
            </w:pPr>
            <w:r>
              <w:rPr>
                <w:rFonts w:ascii="Calibri" w:hAnsi="Calibri"/>
                <w:sz w:val="19"/>
              </w:rPr>
              <w:t>80 active monthly members</w:t>
            </w:r>
          </w:p>
        </w:tc>
        <w:tc>
          <w:tcPr>
            <w:tcW w:type="dxa" w:w="4104"/>
            <w:tcMar>
              <w:top w:w="80" w:type="dxa"/>
              <w:start w:w="120" w:type="dxa"/>
              <w:bottom w:w="80" w:type="dxa"/>
              <w:end w:w="120" w:type="dxa"/>
            </w:tcMar>
            <w:vAlign w:val="center"/>
          </w:tcPr>
          <w:p>
            <w:pPr>
              <w:spacing w:after="40"/>
            </w:pPr>
            <w:r>
              <w:rPr>
                <w:rFonts w:ascii="Calibri" w:hAnsi="Calibri"/>
                <w:sz w:val="19"/>
              </w:rPr>
              <w:t>Stabilizes recurring revenue.</w:t>
            </w:r>
          </w:p>
        </w:tc>
      </w:tr>
      <w:tr>
        <w:tc>
          <w:tcPr>
            <w:tcW w:type="dxa" w:w="2376"/>
            <w:tcMar>
              <w:top w:w="80" w:type="dxa"/>
              <w:start w:w="120" w:type="dxa"/>
              <w:bottom w:w="80" w:type="dxa"/>
              <w:end w:w="120" w:type="dxa"/>
            </w:tcMar>
            <w:vAlign w:val="center"/>
          </w:tcPr>
          <w:p>
            <w:pPr>
              <w:spacing w:after="40"/>
            </w:pPr>
            <w:r>
              <w:rPr>
                <w:rFonts w:ascii="Calibri" w:hAnsi="Calibri"/>
                <w:sz w:val="19"/>
              </w:rPr>
              <w:t>Membership price</w:t>
            </w:r>
          </w:p>
        </w:tc>
        <w:tc>
          <w:tcPr>
            <w:tcW w:type="dxa" w:w="2520"/>
            <w:tcMar>
              <w:top w:w="80" w:type="dxa"/>
              <w:start w:w="120" w:type="dxa"/>
              <w:bottom w:w="80" w:type="dxa"/>
              <w:end w:w="120" w:type="dxa"/>
            </w:tcMar>
            <w:vAlign w:val="center"/>
          </w:tcPr>
          <w:p>
            <w:pPr>
              <w:spacing w:after="40"/>
            </w:pPr>
            <w:r>
              <w:rPr>
                <w:rFonts w:ascii="Calibri" w:hAnsi="Calibri"/>
                <w:sz w:val="19"/>
              </w:rPr>
              <w:t>$29/month</w:t>
            </w:r>
          </w:p>
        </w:tc>
        <w:tc>
          <w:tcPr>
            <w:tcW w:type="dxa" w:w="4104"/>
            <w:tcMar>
              <w:top w:w="80" w:type="dxa"/>
              <w:start w:w="120" w:type="dxa"/>
              <w:bottom w:w="80" w:type="dxa"/>
              <w:end w:w="120" w:type="dxa"/>
            </w:tcMar>
            <w:vAlign w:val="center"/>
          </w:tcPr>
          <w:p>
            <w:pPr>
              <w:spacing w:after="40"/>
            </w:pPr>
            <w:r>
              <w:rPr>
                <w:rFonts w:ascii="Calibri" w:hAnsi="Calibri"/>
                <w:sz w:val="19"/>
              </w:rPr>
              <w:t>Affordable positioning with recurring cash flow.</w:t>
            </w:r>
          </w:p>
        </w:tc>
      </w:tr>
      <w:tr>
        <w:tc>
          <w:tcPr>
            <w:tcW w:type="dxa" w:w="2376"/>
            <w:tcMar>
              <w:top w:w="80" w:type="dxa"/>
              <w:start w:w="120" w:type="dxa"/>
              <w:bottom w:w="80" w:type="dxa"/>
              <w:end w:w="120" w:type="dxa"/>
            </w:tcMar>
            <w:vAlign w:val="center"/>
          </w:tcPr>
          <w:p>
            <w:pPr>
              <w:spacing w:after="40"/>
            </w:pPr>
            <w:r>
              <w:rPr>
                <w:rFonts w:ascii="Calibri" w:hAnsi="Calibri"/>
                <w:sz w:val="19"/>
              </w:rPr>
              <w:t>Events</w:t>
            </w:r>
          </w:p>
        </w:tc>
        <w:tc>
          <w:tcPr>
            <w:tcW w:type="dxa" w:w="2520"/>
            <w:tcMar>
              <w:top w:w="80" w:type="dxa"/>
              <w:start w:w="120" w:type="dxa"/>
              <w:bottom w:w="80" w:type="dxa"/>
              <w:end w:w="120" w:type="dxa"/>
            </w:tcMar>
            <w:vAlign w:val="center"/>
          </w:tcPr>
          <w:p>
            <w:pPr>
              <w:spacing w:after="40"/>
            </w:pPr>
            <w:r>
              <w:rPr>
                <w:rFonts w:ascii="Calibri" w:hAnsi="Calibri"/>
                <w:sz w:val="19"/>
              </w:rPr>
              <w:t>8/month at $250 average</w:t>
            </w:r>
          </w:p>
        </w:tc>
        <w:tc>
          <w:tcPr>
            <w:tcW w:type="dxa" w:w="4104"/>
            <w:tcMar>
              <w:top w:w="80" w:type="dxa"/>
              <w:start w:w="120" w:type="dxa"/>
              <w:bottom w:w="80" w:type="dxa"/>
              <w:end w:w="120" w:type="dxa"/>
            </w:tcMar>
            <w:vAlign w:val="center"/>
          </w:tcPr>
          <w:p>
            <w:pPr>
              <w:spacing w:after="40"/>
            </w:pPr>
            <w:r>
              <w:rPr>
                <w:rFonts w:ascii="Calibri" w:hAnsi="Calibri"/>
                <w:sz w:val="19"/>
              </w:rPr>
              <w:t>Requires a programmed calendar and sales outreach.</w:t>
            </w:r>
          </w:p>
        </w:tc>
      </w:tr>
      <w:tr>
        <w:tc>
          <w:tcPr>
            <w:tcW w:type="dxa" w:w="2376"/>
            <w:tcMar>
              <w:top w:w="80" w:type="dxa"/>
              <w:start w:w="120" w:type="dxa"/>
              <w:bottom w:w="80" w:type="dxa"/>
              <w:end w:w="120" w:type="dxa"/>
            </w:tcMar>
            <w:vAlign w:val="center"/>
          </w:tcPr>
          <w:p>
            <w:pPr>
              <w:spacing w:after="40"/>
            </w:pPr>
            <w:r>
              <w:rPr>
                <w:rFonts w:ascii="Calibri" w:hAnsi="Calibri"/>
                <w:sz w:val="19"/>
              </w:rPr>
              <w:t>Rent</w:t>
            </w:r>
          </w:p>
        </w:tc>
        <w:tc>
          <w:tcPr>
            <w:tcW w:type="dxa" w:w="2520"/>
            <w:tcMar>
              <w:top w:w="80" w:type="dxa"/>
              <w:start w:w="120" w:type="dxa"/>
              <w:bottom w:w="80" w:type="dxa"/>
              <w:end w:w="120" w:type="dxa"/>
            </w:tcMar>
            <w:vAlign w:val="center"/>
          </w:tcPr>
          <w:p>
            <w:pPr>
              <w:spacing w:after="40"/>
            </w:pPr>
            <w:r>
              <w:rPr>
                <w:rFonts w:ascii="Calibri" w:hAnsi="Calibri"/>
                <w:sz w:val="19"/>
              </w:rPr>
              <w:t>$4,000/month including NNN/CAM</w:t>
            </w:r>
          </w:p>
        </w:tc>
        <w:tc>
          <w:tcPr>
            <w:tcW w:type="dxa" w:w="4104"/>
            <w:tcMar>
              <w:top w:w="80" w:type="dxa"/>
              <w:start w:w="120" w:type="dxa"/>
              <w:bottom w:w="80" w:type="dxa"/>
              <w:end w:w="120" w:type="dxa"/>
            </w:tcMar>
            <w:vAlign w:val="center"/>
          </w:tcPr>
          <w:p>
            <w:pPr>
              <w:spacing w:after="40"/>
            </w:pPr>
            <w:r>
              <w:rPr>
                <w:rFonts w:ascii="Calibri" w:hAnsi="Calibri"/>
                <w:sz w:val="19"/>
              </w:rPr>
              <w:t>Confirmed by user; may change only if insurance arrangement changes.</w:t>
            </w:r>
          </w:p>
        </w:tc>
      </w:tr>
      <w:tr>
        <w:tc>
          <w:tcPr>
            <w:tcW w:type="dxa" w:w="2376"/>
            <w:tcMar>
              <w:top w:w="80" w:type="dxa"/>
              <w:start w:w="120" w:type="dxa"/>
              <w:bottom w:w="80" w:type="dxa"/>
              <w:end w:w="120" w:type="dxa"/>
            </w:tcMar>
            <w:vAlign w:val="center"/>
          </w:tcPr>
          <w:p>
            <w:pPr>
              <w:spacing w:after="40"/>
            </w:pPr>
            <w:r>
              <w:rPr>
                <w:rFonts w:ascii="Calibri" w:hAnsi="Calibri"/>
                <w:sz w:val="19"/>
              </w:rPr>
              <w:t>Square footage</w:t>
            </w:r>
          </w:p>
        </w:tc>
        <w:tc>
          <w:tcPr>
            <w:tcW w:type="dxa" w:w="2520"/>
            <w:tcMar>
              <w:top w:w="80" w:type="dxa"/>
              <w:start w:w="120" w:type="dxa"/>
              <w:bottom w:w="80" w:type="dxa"/>
              <w:end w:w="120" w:type="dxa"/>
            </w:tcMar>
            <w:vAlign w:val="center"/>
          </w:tcPr>
          <w:p>
            <w:pPr>
              <w:spacing w:after="40"/>
            </w:pPr>
            <w:r>
              <w:rPr>
                <w:rFonts w:ascii="Calibri" w:hAnsi="Calibri"/>
                <w:sz w:val="19"/>
              </w:rPr>
              <w:t>2,000 SF</w:t>
            </w:r>
          </w:p>
        </w:tc>
        <w:tc>
          <w:tcPr>
            <w:tcW w:type="dxa" w:w="4104"/>
            <w:tcMar>
              <w:top w:w="80" w:type="dxa"/>
              <w:start w:w="120" w:type="dxa"/>
              <w:bottom w:w="80" w:type="dxa"/>
              <w:end w:w="120" w:type="dxa"/>
            </w:tcMar>
            <w:vAlign w:val="center"/>
          </w:tcPr>
          <w:p>
            <w:pPr>
              <w:spacing w:after="40"/>
            </w:pPr>
            <w:r>
              <w:rPr>
                <w:rFonts w:ascii="Calibri" w:hAnsi="Calibri"/>
                <w:sz w:val="19"/>
              </w:rPr>
              <w:t>Assumed for rent reasonableness; must be confirmed.</w:t>
            </w:r>
          </w:p>
        </w:tc>
      </w:tr>
      <w:tr>
        <w:tc>
          <w:tcPr>
            <w:tcW w:type="dxa" w:w="2376"/>
            <w:tcMar>
              <w:top w:w="80" w:type="dxa"/>
              <w:start w:w="120" w:type="dxa"/>
              <w:bottom w:w="80" w:type="dxa"/>
              <w:end w:w="120" w:type="dxa"/>
            </w:tcMar>
            <w:vAlign w:val="center"/>
          </w:tcPr>
          <w:p>
            <w:pPr>
              <w:spacing w:after="40"/>
            </w:pPr>
            <w:r>
              <w:rPr>
                <w:rFonts w:ascii="Calibri" w:hAnsi="Calibri"/>
                <w:sz w:val="19"/>
              </w:rPr>
              <w:t>Gaming equipment/service</w:t>
            </w:r>
          </w:p>
        </w:tc>
        <w:tc>
          <w:tcPr>
            <w:tcW w:type="dxa" w:w="2520"/>
            <w:tcMar>
              <w:top w:w="80" w:type="dxa"/>
              <w:start w:w="120" w:type="dxa"/>
              <w:bottom w:w="80" w:type="dxa"/>
              <w:end w:w="120" w:type="dxa"/>
            </w:tcMar>
            <w:vAlign w:val="center"/>
          </w:tcPr>
          <w:p>
            <w:pPr>
              <w:spacing w:after="40"/>
            </w:pPr>
            <w:r>
              <w:rPr>
                <w:rFonts w:ascii="Calibri" w:hAnsi="Calibri"/>
                <w:sz w:val="19"/>
              </w:rPr>
              <w:t>35 machines owned and serviced by Arrow</w:t>
            </w:r>
          </w:p>
        </w:tc>
        <w:tc>
          <w:tcPr>
            <w:tcW w:type="dxa" w:w="4104"/>
            <w:tcMar>
              <w:top w:w="80" w:type="dxa"/>
              <w:start w:w="120" w:type="dxa"/>
              <w:bottom w:w="80" w:type="dxa"/>
              <w:end w:w="120" w:type="dxa"/>
            </w:tcMar>
            <w:vAlign w:val="center"/>
          </w:tcPr>
          <w:p>
            <w:pPr>
              <w:spacing w:after="40"/>
            </w:pPr>
            <w:r>
              <w:rPr>
                <w:rFonts w:ascii="Calibri" w:hAnsi="Calibri"/>
                <w:sz w:val="19"/>
              </w:rPr>
              <w:t>Reduces capital expenditure and maintenance risk.</w:t>
            </w:r>
          </w:p>
        </w:tc>
      </w:tr>
      <w:tr>
        <w:tc>
          <w:tcPr>
            <w:tcW w:type="dxa" w:w="2376"/>
            <w:tcMar>
              <w:top w:w="80" w:type="dxa"/>
              <w:start w:w="120" w:type="dxa"/>
              <w:bottom w:w="80" w:type="dxa"/>
              <w:end w:w="120" w:type="dxa"/>
            </w:tcMar>
            <w:vAlign w:val="center"/>
          </w:tcPr>
          <w:p>
            <w:pPr>
              <w:spacing w:after="40"/>
            </w:pPr>
            <w:r>
              <w:rPr>
                <w:rFonts w:ascii="Calibri" w:hAnsi="Calibri"/>
                <w:sz w:val="19"/>
              </w:rPr>
              <w:t>Arrow grant</w:t>
            </w:r>
          </w:p>
        </w:tc>
        <w:tc>
          <w:tcPr>
            <w:tcW w:type="dxa" w:w="2520"/>
            <w:tcMar>
              <w:top w:w="80" w:type="dxa"/>
              <w:start w:w="120" w:type="dxa"/>
              <w:bottom w:w="80" w:type="dxa"/>
              <w:end w:w="120" w:type="dxa"/>
            </w:tcMar>
            <w:vAlign w:val="center"/>
          </w:tcPr>
          <w:p>
            <w:pPr>
              <w:spacing w:after="40"/>
            </w:pPr>
            <w:r>
              <w:rPr>
                <w:rFonts w:ascii="Calibri" w:hAnsi="Calibri"/>
                <w:sz w:val="19"/>
              </w:rPr>
              <w:t>$25,000-$35,000 after opening</w:t>
            </w:r>
          </w:p>
        </w:tc>
        <w:tc>
          <w:tcPr>
            <w:tcW w:type="dxa" w:w="4104"/>
            <w:tcMar>
              <w:top w:w="80" w:type="dxa"/>
              <w:start w:w="120" w:type="dxa"/>
              <w:bottom w:w="80" w:type="dxa"/>
              <w:end w:w="120" w:type="dxa"/>
            </w:tcMar>
            <w:vAlign w:val="center"/>
          </w:tcPr>
          <w:p>
            <w:pPr>
              <w:spacing w:after="40"/>
            </w:pPr>
            <w:r>
              <w:rPr>
                <w:rFonts w:ascii="Calibri" w:hAnsi="Calibri"/>
                <w:sz w:val="19"/>
              </w:rPr>
              <w:t>Improves runway after doors open; timing and written terms still need confirmation.</w:t>
            </w:r>
          </w:p>
        </w:tc>
      </w:tr>
    </w:tbl>
    <w:p/>
    <w:p>
      <w:pPr>
        <w:pStyle w:val="Heading2"/>
      </w:pPr>
      <w:r>
        <w:t>Revenue Projection</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3528"/>
            <w:tcMar>
              <w:top w:w="80" w:type="dxa"/>
              <w:start w:w="120" w:type="dxa"/>
              <w:bottom w:w="80" w:type="dxa"/>
              <w:end w:w="120" w:type="dxa"/>
            </w:tcMar>
            <w:vAlign w:val="center"/>
            <w:shd w:fill="F2F4F7"/>
          </w:tcPr>
          <w:p>
            <w:pPr>
              <w:spacing w:after="40"/>
            </w:pPr>
            <w:r>
              <w:rPr>
                <w:rFonts w:ascii="Calibri" w:hAnsi="Calibri"/>
                <w:b/>
                <w:color w:val="1F4D78"/>
                <w:sz w:val="19"/>
              </w:rPr>
              <w:t>Revenue stream</w:t>
            </w:r>
          </w:p>
        </w:tc>
        <w:tc>
          <w:tcPr>
            <w:tcW w:type="dxa" w:w="1800"/>
            <w:tcMar>
              <w:top w:w="80" w:type="dxa"/>
              <w:start w:w="120" w:type="dxa"/>
              <w:bottom w:w="80" w:type="dxa"/>
              <w:end w:w="120" w:type="dxa"/>
            </w:tcMar>
            <w:vAlign w:val="center"/>
            <w:shd w:fill="F2F4F7"/>
          </w:tcPr>
          <w:p>
            <w:pPr>
              <w:spacing w:after="40"/>
            </w:pPr>
            <w:r>
              <w:rPr>
                <w:rFonts w:ascii="Calibri" w:hAnsi="Calibri"/>
                <w:b/>
                <w:color w:val="1F4D78"/>
                <w:sz w:val="19"/>
              </w:rPr>
              <w:t>Year 1</w:t>
            </w:r>
          </w:p>
        </w:tc>
        <w:tc>
          <w:tcPr>
            <w:tcW w:type="dxa" w:w="1800"/>
            <w:tcMar>
              <w:top w:w="80" w:type="dxa"/>
              <w:start w:w="120" w:type="dxa"/>
              <w:bottom w:w="80" w:type="dxa"/>
              <w:end w:w="120" w:type="dxa"/>
            </w:tcMar>
            <w:vAlign w:val="center"/>
            <w:shd w:fill="F2F4F7"/>
          </w:tcPr>
          <w:p>
            <w:pPr>
              <w:spacing w:after="40"/>
            </w:pPr>
            <w:r>
              <w:rPr>
                <w:rFonts w:ascii="Calibri" w:hAnsi="Calibri"/>
                <w:b/>
                <w:color w:val="1F4D78"/>
                <w:sz w:val="19"/>
              </w:rPr>
              <w:t>Year 2</w:t>
            </w:r>
          </w:p>
        </w:tc>
        <w:tc>
          <w:tcPr>
            <w:tcW w:type="dxa" w:w="1800"/>
            <w:tcMar>
              <w:top w:w="80" w:type="dxa"/>
              <w:start w:w="120" w:type="dxa"/>
              <w:bottom w:w="80" w:type="dxa"/>
              <w:end w:w="120" w:type="dxa"/>
            </w:tcMar>
            <w:vAlign w:val="center"/>
            <w:shd w:fill="F2F4F7"/>
          </w:tcPr>
          <w:p>
            <w:pPr>
              <w:spacing w:after="40"/>
            </w:pPr>
            <w:r>
              <w:rPr>
                <w:rFonts w:ascii="Calibri" w:hAnsi="Calibri"/>
                <w:b/>
                <w:color w:val="1F4D78"/>
                <w:sz w:val="19"/>
              </w:rPr>
              <w:t>Year 3</w:t>
            </w:r>
          </w:p>
        </w:tc>
      </w:tr>
      <w:tr>
        <w:tc>
          <w:tcPr>
            <w:tcW w:type="dxa" w:w="3528"/>
            <w:tcMar>
              <w:top w:w="80" w:type="dxa"/>
              <w:start w:w="120" w:type="dxa"/>
              <w:bottom w:w="80" w:type="dxa"/>
              <w:end w:w="120" w:type="dxa"/>
            </w:tcMar>
            <w:vAlign w:val="center"/>
          </w:tcPr>
          <w:p>
            <w:pPr>
              <w:spacing w:after="40"/>
            </w:pPr>
            <w:r>
              <w:rPr>
                <w:rFonts w:ascii="Calibri" w:hAnsi="Calibri"/>
                <w:sz w:val="19"/>
              </w:rPr>
              <w:t>Drop-in gaming</w:t>
            </w:r>
          </w:p>
        </w:tc>
        <w:tc>
          <w:tcPr>
            <w:tcW w:type="dxa" w:w="1800"/>
            <w:tcMar>
              <w:top w:w="80" w:type="dxa"/>
              <w:start w:w="120" w:type="dxa"/>
              <w:bottom w:w="80" w:type="dxa"/>
              <w:end w:w="120" w:type="dxa"/>
            </w:tcMar>
            <w:vAlign w:val="center"/>
          </w:tcPr>
          <w:p>
            <w:pPr>
              <w:spacing w:after="40"/>
            </w:pPr>
            <w:r>
              <w:rPr>
                <w:rFonts w:ascii="Calibri" w:hAnsi="Calibri"/>
                <w:sz w:val="19"/>
              </w:rPr>
              <w:t>$139,776</w:t>
            </w:r>
          </w:p>
        </w:tc>
        <w:tc>
          <w:tcPr>
            <w:tcW w:type="dxa" w:w="1800"/>
            <w:tcMar>
              <w:top w:w="80" w:type="dxa"/>
              <w:start w:w="120" w:type="dxa"/>
              <w:bottom w:w="80" w:type="dxa"/>
              <w:end w:w="120" w:type="dxa"/>
            </w:tcMar>
            <w:vAlign w:val="center"/>
          </w:tcPr>
          <w:p>
            <w:pPr>
              <w:spacing w:after="40"/>
            </w:pPr>
            <w:r>
              <w:rPr>
                <w:rFonts w:ascii="Calibri" w:hAnsi="Calibri"/>
                <w:sz w:val="19"/>
              </w:rPr>
              <w:t>$180,960</w:t>
            </w:r>
          </w:p>
        </w:tc>
        <w:tc>
          <w:tcPr>
            <w:tcW w:type="dxa" w:w="1800"/>
            <w:tcMar>
              <w:top w:w="80" w:type="dxa"/>
              <w:start w:w="120" w:type="dxa"/>
              <w:bottom w:w="80" w:type="dxa"/>
              <w:end w:w="120" w:type="dxa"/>
            </w:tcMar>
            <w:vAlign w:val="center"/>
          </w:tcPr>
          <w:p>
            <w:pPr>
              <w:spacing w:after="40"/>
            </w:pPr>
            <w:r>
              <w:rPr>
                <w:rFonts w:ascii="Calibri" w:hAnsi="Calibri"/>
                <w:sz w:val="19"/>
              </w:rPr>
              <w:t>$224,640</w:t>
            </w:r>
          </w:p>
        </w:tc>
      </w:tr>
      <w:tr>
        <w:tc>
          <w:tcPr>
            <w:tcW w:type="dxa" w:w="3528"/>
            <w:tcMar>
              <w:top w:w="80" w:type="dxa"/>
              <w:start w:w="120" w:type="dxa"/>
              <w:bottom w:w="80" w:type="dxa"/>
              <w:end w:w="120" w:type="dxa"/>
            </w:tcMar>
            <w:vAlign w:val="center"/>
          </w:tcPr>
          <w:p>
            <w:pPr>
              <w:spacing w:after="40"/>
            </w:pPr>
            <w:r>
              <w:rPr>
                <w:rFonts w:ascii="Calibri" w:hAnsi="Calibri"/>
                <w:sz w:val="19"/>
              </w:rPr>
              <w:t>Memberships</w:t>
            </w:r>
          </w:p>
        </w:tc>
        <w:tc>
          <w:tcPr>
            <w:tcW w:type="dxa" w:w="1800"/>
            <w:tcMar>
              <w:top w:w="80" w:type="dxa"/>
              <w:start w:w="120" w:type="dxa"/>
              <w:bottom w:w="80" w:type="dxa"/>
              <w:end w:w="120" w:type="dxa"/>
            </w:tcMar>
            <w:vAlign w:val="center"/>
          </w:tcPr>
          <w:p>
            <w:pPr>
              <w:spacing w:after="40"/>
            </w:pPr>
            <w:r>
              <w:rPr>
                <w:rFonts w:ascii="Calibri" w:hAnsi="Calibri"/>
                <w:sz w:val="19"/>
              </w:rPr>
              <w:t>$27,840</w:t>
            </w:r>
          </w:p>
        </w:tc>
        <w:tc>
          <w:tcPr>
            <w:tcW w:type="dxa" w:w="1800"/>
            <w:tcMar>
              <w:top w:w="80" w:type="dxa"/>
              <w:start w:w="120" w:type="dxa"/>
              <w:bottom w:w="80" w:type="dxa"/>
              <w:end w:w="120" w:type="dxa"/>
            </w:tcMar>
            <w:vAlign w:val="center"/>
          </w:tcPr>
          <w:p>
            <w:pPr>
              <w:spacing w:after="40"/>
            </w:pPr>
            <w:r>
              <w:rPr>
                <w:rFonts w:ascii="Calibri" w:hAnsi="Calibri"/>
                <w:sz w:val="19"/>
              </w:rPr>
              <w:t>$40,020</w:t>
            </w:r>
          </w:p>
        </w:tc>
        <w:tc>
          <w:tcPr>
            <w:tcW w:type="dxa" w:w="1800"/>
            <w:tcMar>
              <w:top w:w="80" w:type="dxa"/>
              <w:start w:w="120" w:type="dxa"/>
              <w:bottom w:w="80" w:type="dxa"/>
              <w:end w:w="120" w:type="dxa"/>
            </w:tcMar>
            <w:vAlign w:val="center"/>
          </w:tcPr>
          <w:p>
            <w:pPr>
              <w:spacing w:after="40"/>
            </w:pPr>
            <w:r>
              <w:rPr>
                <w:rFonts w:ascii="Calibri" w:hAnsi="Calibri"/>
                <w:sz w:val="19"/>
              </w:rPr>
              <w:t>$52,200</w:t>
            </w:r>
          </w:p>
        </w:tc>
      </w:tr>
      <w:tr>
        <w:tc>
          <w:tcPr>
            <w:tcW w:type="dxa" w:w="3528"/>
            <w:tcMar>
              <w:top w:w="80" w:type="dxa"/>
              <w:start w:w="120" w:type="dxa"/>
              <w:bottom w:w="80" w:type="dxa"/>
              <w:end w:w="120" w:type="dxa"/>
            </w:tcMar>
            <w:vAlign w:val="center"/>
          </w:tcPr>
          <w:p>
            <w:pPr>
              <w:spacing w:after="40"/>
            </w:pPr>
            <w:r>
              <w:rPr>
                <w:rFonts w:ascii="Calibri" w:hAnsi="Calibri"/>
                <w:sz w:val="19"/>
              </w:rPr>
              <w:t>Events / tournaments / parties</w:t>
            </w:r>
          </w:p>
        </w:tc>
        <w:tc>
          <w:tcPr>
            <w:tcW w:type="dxa" w:w="1800"/>
            <w:tcMar>
              <w:top w:w="80" w:type="dxa"/>
              <w:start w:w="120" w:type="dxa"/>
              <w:bottom w:w="80" w:type="dxa"/>
              <w:end w:w="120" w:type="dxa"/>
            </w:tcMar>
            <w:vAlign w:val="center"/>
          </w:tcPr>
          <w:p>
            <w:pPr>
              <w:spacing w:after="40"/>
            </w:pPr>
            <w:r>
              <w:rPr>
                <w:rFonts w:ascii="Calibri" w:hAnsi="Calibri"/>
                <w:sz w:val="19"/>
              </w:rPr>
              <w:t>$24,000</w:t>
            </w:r>
          </w:p>
        </w:tc>
        <w:tc>
          <w:tcPr>
            <w:tcW w:type="dxa" w:w="1800"/>
            <w:tcMar>
              <w:top w:w="80" w:type="dxa"/>
              <w:start w:w="120" w:type="dxa"/>
              <w:bottom w:w="80" w:type="dxa"/>
              <w:end w:w="120" w:type="dxa"/>
            </w:tcMar>
            <w:vAlign w:val="center"/>
          </w:tcPr>
          <w:p>
            <w:pPr>
              <w:spacing w:after="40"/>
            </w:pPr>
            <w:r>
              <w:rPr>
                <w:rFonts w:ascii="Calibri" w:hAnsi="Calibri"/>
                <w:sz w:val="19"/>
              </w:rPr>
              <w:t>$33,000</w:t>
            </w:r>
          </w:p>
        </w:tc>
        <w:tc>
          <w:tcPr>
            <w:tcW w:type="dxa" w:w="1800"/>
            <w:tcMar>
              <w:top w:w="80" w:type="dxa"/>
              <w:start w:w="120" w:type="dxa"/>
              <w:bottom w:w="80" w:type="dxa"/>
              <w:end w:w="120" w:type="dxa"/>
            </w:tcMar>
            <w:vAlign w:val="center"/>
          </w:tcPr>
          <w:p>
            <w:pPr>
              <w:spacing w:after="40"/>
            </w:pPr>
            <w:r>
              <w:rPr>
                <w:rFonts w:ascii="Calibri" w:hAnsi="Calibri"/>
                <w:sz w:val="19"/>
              </w:rPr>
              <w:t>$43,200</w:t>
            </w:r>
          </w:p>
        </w:tc>
      </w:tr>
      <w:tr>
        <w:tc>
          <w:tcPr>
            <w:tcW w:type="dxa" w:w="3528"/>
            <w:tcMar>
              <w:top w:w="80" w:type="dxa"/>
              <w:start w:w="120" w:type="dxa"/>
              <w:bottom w:w="80" w:type="dxa"/>
              <w:end w:w="120" w:type="dxa"/>
            </w:tcMar>
            <w:vAlign w:val="center"/>
          </w:tcPr>
          <w:p>
            <w:pPr>
              <w:spacing w:after="40"/>
            </w:pPr>
            <w:r>
              <w:rPr>
                <w:rFonts w:ascii="Calibri" w:hAnsi="Calibri"/>
                <w:sz w:val="19"/>
              </w:rPr>
              <w:t>Concessions / merch</w:t>
            </w:r>
          </w:p>
        </w:tc>
        <w:tc>
          <w:tcPr>
            <w:tcW w:type="dxa" w:w="1800"/>
            <w:tcMar>
              <w:top w:w="80" w:type="dxa"/>
              <w:start w:w="120" w:type="dxa"/>
              <w:bottom w:w="80" w:type="dxa"/>
              <w:end w:w="120" w:type="dxa"/>
            </w:tcMar>
            <w:vAlign w:val="center"/>
          </w:tcPr>
          <w:p>
            <w:pPr>
              <w:spacing w:after="40"/>
            </w:pPr>
            <w:r>
              <w:rPr>
                <w:rFonts w:ascii="Calibri" w:hAnsi="Calibri"/>
                <w:sz w:val="19"/>
              </w:rPr>
              <w:t>$20,966</w:t>
            </w:r>
          </w:p>
        </w:tc>
        <w:tc>
          <w:tcPr>
            <w:tcW w:type="dxa" w:w="1800"/>
            <w:tcMar>
              <w:top w:w="80" w:type="dxa"/>
              <w:start w:w="120" w:type="dxa"/>
              <w:bottom w:w="80" w:type="dxa"/>
              <w:end w:w="120" w:type="dxa"/>
            </w:tcMar>
            <w:vAlign w:val="center"/>
          </w:tcPr>
          <w:p>
            <w:pPr>
              <w:spacing w:after="40"/>
            </w:pPr>
            <w:r>
              <w:rPr>
                <w:rFonts w:ascii="Calibri" w:hAnsi="Calibri"/>
                <w:sz w:val="19"/>
              </w:rPr>
              <w:t>$31,387</w:t>
            </w:r>
          </w:p>
        </w:tc>
        <w:tc>
          <w:tcPr>
            <w:tcW w:type="dxa" w:w="1800"/>
            <w:tcMar>
              <w:top w:w="80" w:type="dxa"/>
              <w:start w:w="120" w:type="dxa"/>
              <w:bottom w:w="80" w:type="dxa"/>
              <w:end w:w="120" w:type="dxa"/>
            </w:tcMar>
            <w:vAlign w:val="center"/>
          </w:tcPr>
          <w:p>
            <w:pPr>
              <w:spacing w:after="40"/>
            </w:pPr>
            <w:r>
              <w:rPr>
                <w:rFonts w:ascii="Calibri" w:hAnsi="Calibri"/>
                <w:sz w:val="19"/>
              </w:rPr>
              <w:t>$40,435</w:t>
            </w:r>
          </w:p>
        </w:tc>
      </w:tr>
      <w:tr>
        <w:tc>
          <w:tcPr>
            <w:tcW w:type="dxa" w:w="3528"/>
            <w:tcMar>
              <w:top w:w="80" w:type="dxa"/>
              <w:start w:w="120" w:type="dxa"/>
              <w:bottom w:w="80" w:type="dxa"/>
              <w:end w:w="120" w:type="dxa"/>
            </w:tcMar>
            <w:vAlign w:val="center"/>
          </w:tcPr>
          <w:p>
            <w:pPr>
              <w:spacing w:after="40"/>
            </w:pPr>
            <w:r>
              <w:rPr>
                <w:rFonts w:ascii="Calibri" w:hAnsi="Calibri"/>
                <w:sz w:val="19"/>
              </w:rPr>
              <w:t>Partner rentals / program blocks</w:t>
            </w:r>
          </w:p>
        </w:tc>
        <w:tc>
          <w:tcPr>
            <w:tcW w:type="dxa" w:w="1800"/>
            <w:tcMar>
              <w:top w:w="80" w:type="dxa"/>
              <w:start w:w="120" w:type="dxa"/>
              <w:bottom w:w="80" w:type="dxa"/>
              <w:end w:w="120" w:type="dxa"/>
            </w:tcMar>
            <w:vAlign w:val="center"/>
          </w:tcPr>
          <w:p>
            <w:pPr>
              <w:spacing w:after="40"/>
            </w:pPr>
            <w:r>
              <w:rPr>
                <w:rFonts w:ascii="Calibri" w:hAnsi="Calibri"/>
                <w:sz w:val="19"/>
              </w:rPr>
              <w:t>$7,200</w:t>
            </w:r>
          </w:p>
        </w:tc>
        <w:tc>
          <w:tcPr>
            <w:tcW w:type="dxa" w:w="1800"/>
            <w:tcMar>
              <w:top w:w="80" w:type="dxa"/>
              <w:start w:w="120" w:type="dxa"/>
              <w:bottom w:w="80" w:type="dxa"/>
              <w:end w:w="120" w:type="dxa"/>
            </w:tcMar>
            <w:vAlign w:val="center"/>
          </w:tcPr>
          <w:p>
            <w:pPr>
              <w:spacing w:after="40"/>
            </w:pPr>
            <w:r>
              <w:rPr>
                <w:rFonts w:ascii="Calibri" w:hAnsi="Calibri"/>
                <w:sz w:val="19"/>
              </w:rPr>
              <w:t>$10,800</w:t>
            </w:r>
          </w:p>
        </w:tc>
        <w:tc>
          <w:tcPr>
            <w:tcW w:type="dxa" w:w="1800"/>
            <w:tcMar>
              <w:top w:w="80" w:type="dxa"/>
              <w:start w:w="120" w:type="dxa"/>
              <w:bottom w:w="80" w:type="dxa"/>
              <w:end w:w="120" w:type="dxa"/>
            </w:tcMar>
            <w:vAlign w:val="center"/>
          </w:tcPr>
          <w:p>
            <w:pPr>
              <w:spacing w:after="40"/>
            </w:pPr>
            <w:r>
              <w:rPr>
                <w:rFonts w:ascii="Calibri" w:hAnsi="Calibri"/>
                <w:sz w:val="19"/>
              </w:rPr>
              <w:t>$14,400</w:t>
            </w:r>
          </w:p>
        </w:tc>
      </w:tr>
      <w:tr>
        <w:tc>
          <w:tcPr>
            <w:tcW w:type="dxa" w:w="3528"/>
            <w:tcMar>
              <w:top w:w="80" w:type="dxa"/>
              <w:start w:w="120" w:type="dxa"/>
              <w:bottom w:w="80" w:type="dxa"/>
              <w:end w:w="120" w:type="dxa"/>
            </w:tcMar>
            <w:vAlign w:val="center"/>
          </w:tcPr>
          <w:p>
            <w:pPr>
              <w:spacing w:after="40"/>
            </w:pPr>
            <w:r>
              <w:rPr>
                <w:rFonts w:ascii="Calibri" w:hAnsi="Calibri"/>
                <w:sz w:val="19"/>
              </w:rPr>
              <w:t>Total revenue</w:t>
            </w:r>
          </w:p>
        </w:tc>
        <w:tc>
          <w:tcPr>
            <w:tcW w:type="dxa" w:w="1800"/>
            <w:tcMar>
              <w:top w:w="80" w:type="dxa"/>
              <w:start w:w="120" w:type="dxa"/>
              <w:bottom w:w="80" w:type="dxa"/>
              <w:end w:w="120" w:type="dxa"/>
            </w:tcMar>
            <w:vAlign w:val="center"/>
          </w:tcPr>
          <w:p>
            <w:pPr>
              <w:spacing w:after="40"/>
            </w:pPr>
            <w:r>
              <w:rPr>
                <w:rFonts w:ascii="Calibri" w:hAnsi="Calibri"/>
                <w:sz w:val="19"/>
              </w:rPr>
              <w:t>$219,782</w:t>
            </w:r>
          </w:p>
        </w:tc>
        <w:tc>
          <w:tcPr>
            <w:tcW w:type="dxa" w:w="1800"/>
            <w:tcMar>
              <w:top w:w="80" w:type="dxa"/>
              <w:start w:w="120" w:type="dxa"/>
              <w:bottom w:w="80" w:type="dxa"/>
              <w:end w:w="120" w:type="dxa"/>
            </w:tcMar>
            <w:vAlign w:val="center"/>
          </w:tcPr>
          <w:p>
            <w:pPr>
              <w:spacing w:after="40"/>
            </w:pPr>
            <w:r>
              <w:rPr>
                <w:rFonts w:ascii="Calibri" w:hAnsi="Calibri"/>
                <w:sz w:val="19"/>
              </w:rPr>
              <w:t>$296,167</w:t>
            </w:r>
          </w:p>
        </w:tc>
        <w:tc>
          <w:tcPr>
            <w:tcW w:type="dxa" w:w="1800"/>
            <w:tcMar>
              <w:top w:w="80" w:type="dxa"/>
              <w:start w:w="120" w:type="dxa"/>
              <w:bottom w:w="80" w:type="dxa"/>
              <w:end w:w="120" w:type="dxa"/>
            </w:tcMar>
            <w:vAlign w:val="center"/>
          </w:tcPr>
          <w:p>
            <w:pPr>
              <w:spacing w:after="40"/>
            </w:pPr>
            <w:r>
              <w:rPr>
                <w:rFonts w:ascii="Calibri" w:hAnsi="Calibri"/>
                <w:sz w:val="19"/>
              </w:rPr>
              <w:t>$374,875</w:t>
            </w:r>
          </w:p>
        </w:tc>
      </w:tr>
    </w:tbl>
    <w:p/>
    <w:p>
      <w:r>
        <w:br w:type="page"/>
      </w:r>
    </w:p>
    <w:p>
      <w:pPr>
        <w:pStyle w:val="Heading2"/>
      </w:pPr>
      <w:r>
        <w:t>Operating Expense Projection</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3960"/>
            <w:tcMar>
              <w:top w:w="80" w:type="dxa"/>
              <w:start w:w="120" w:type="dxa"/>
              <w:bottom w:w="80" w:type="dxa"/>
              <w:end w:w="120" w:type="dxa"/>
            </w:tcMar>
            <w:vAlign w:val="center"/>
            <w:shd w:fill="F2F4F7"/>
          </w:tcPr>
          <w:p>
            <w:pPr>
              <w:spacing w:after="40"/>
            </w:pPr>
            <w:r>
              <w:rPr>
                <w:rFonts w:ascii="Calibri" w:hAnsi="Calibri"/>
                <w:b/>
                <w:color w:val="1F4D78"/>
                <w:sz w:val="19"/>
              </w:rPr>
              <w:t>Expense category</w:t>
            </w:r>
          </w:p>
        </w:tc>
        <w:tc>
          <w:tcPr>
            <w:tcW w:type="dxa" w:w="1656"/>
            <w:tcMar>
              <w:top w:w="80" w:type="dxa"/>
              <w:start w:w="120" w:type="dxa"/>
              <w:bottom w:w="80" w:type="dxa"/>
              <w:end w:w="120" w:type="dxa"/>
            </w:tcMar>
            <w:vAlign w:val="center"/>
            <w:shd w:fill="F2F4F7"/>
          </w:tcPr>
          <w:p>
            <w:pPr>
              <w:spacing w:after="40"/>
            </w:pPr>
            <w:r>
              <w:rPr>
                <w:rFonts w:ascii="Calibri" w:hAnsi="Calibri"/>
                <w:b/>
                <w:color w:val="1F4D78"/>
                <w:sz w:val="19"/>
              </w:rPr>
              <w:t>Year 1</w:t>
            </w:r>
          </w:p>
        </w:tc>
        <w:tc>
          <w:tcPr>
            <w:tcW w:type="dxa" w:w="1656"/>
            <w:tcMar>
              <w:top w:w="80" w:type="dxa"/>
              <w:start w:w="120" w:type="dxa"/>
              <w:bottom w:w="80" w:type="dxa"/>
              <w:end w:w="120" w:type="dxa"/>
            </w:tcMar>
            <w:vAlign w:val="center"/>
            <w:shd w:fill="F2F4F7"/>
          </w:tcPr>
          <w:p>
            <w:pPr>
              <w:spacing w:after="40"/>
            </w:pPr>
            <w:r>
              <w:rPr>
                <w:rFonts w:ascii="Calibri" w:hAnsi="Calibri"/>
                <w:b/>
                <w:color w:val="1F4D78"/>
                <w:sz w:val="19"/>
              </w:rPr>
              <w:t>Year 2</w:t>
            </w:r>
          </w:p>
        </w:tc>
        <w:tc>
          <w:tcPr>
            <w:tcW w:type="dxa" w:w="1656"/>
            <w:tcMar>
              <w:top w:w="80" w:type="dxa"/>
              <w:start w:w="120" w:type="dxa"/>
              <w:bottom w:w="80" w:type="dxa"/>
              <w:end w:w="120" w:type="dxa"/>
            </w:tcMar>
            <w:vAlign w:val="center"/>
            <w:shd w:fill="F2F4F7"/>
          </w:tcPr>
          <w:p>
            <w:pPr>
              <w:spacing w:after="40"/>
            </w:pPr>
            <w:r>
              <w:rPr>
                <w:rFonts w:ascii="Calibri" w:hAnsi="Calibri"/>
                <w:b/>
                <w:color w:val="1F4D78"/>
                <w:sz w:val="19"/>
              </w:rPr>
              <w:t>Year 3</w:t>
            </w:r>
          </w:p>
        </w:tc>
      </w:tr>
      <w:tr>
        <w:tc>
          <w:tcPr>
            <w:tcW w:type="dxa" w:w="3960"/>
            <w:tcMar>
              <w:top w:w="80" w:type="dxa"/>
              <w:start w:w="120" w:type="dxa"/>
              <w:bottom w:w="80" w:type="dxa"/>
              <w:end w:w="120" w:type="dxa"/>
            </w:tcMar>
            <w:vAlign w:val="center"/>
          </w:tcPr>
          <w:p>
            <w:pPr>
              <w:spacing w:after="40"/>
            </w:pPr>
            <w:r>
              <w:rPr>
                <w:rFonts w:ascii="Calibri" w:hAnsi="Calibri"/>
                <w:sz w:val="19"/>
              </w:rPr>
              <w:t>Concession/merch cost of goods</w:t>
            </w:r>
          </w:p>
        </w:tc>
        <w:tc>
          <w:tcPr>
            <w:tcW w:type="dxa" w:w="1656"/>
            <w:tcMar>
              <w:top w:w="80" w:type="dxa"/>
              <w:start w:w="120" w:type="dxa"/>
              <w:bottom w:w="80" w:type="dxa"/>
              <w:end w:w="120" w:type="dxa"/>
            </w:tcMar>
            <w:vAlign w:val="center"/>
          </w:tcPr>
          <w:p>
            <w:pPr>
              <w:spacing w:after="40"/>
            </w:pPr>
            <w:r>
              <w:rPr>
                <w:rFonts w:ascii="Calibri" w:hAnsi="Calibri"/>
                <w:sz w:val="19"/>
              </w:rPr>
              <w:t>$7,338</w:t>
            </w:r>
          </w:p>
        </w:tc>
        <w:tc>
          <w:tcPr>
            <w:tcW w:type="dxa" w:w="1656"/>
            <w:tcMar>
              <w:top w:w="80" w:type="dxa"/>
              <w:start w:w="120" w:type="dxa"/>
              <w:bottom w:w="80" w:type="dxa"/>
              <w:end w:w="120" w:type="dxa"/>
            </w:tcMar>
            <w:vAlign w:val="center"/>
          </w:tcPr>
          <w:p>
            <w:pPr>
              <w:spacing w:after="40"/>
            </w:pPr>
            <w:r>
              <w:rPr>
                <w:rFonts w:ascii="Calibri" w:hAnsi="Calibri"/>
                <w:sz w:val="19"/>
              </w:rPr>
              <w:t>$10,985</w:t>
            </w:r>
          </w:p>
        </w:tc>
        <w:tc>
          <w:tcPr>
            <w:tcW w:type="dxa" w:w="1656"/>
            <w:tcMar>
              <w:top w:w="80" w:type="dxa"/>
              <w:start w:w="120" w:type="dxa"/>
              <w:bottom w:w="80" w:type="dxa"/>
              <w:end w:w="120" w:type="dxa"/>
            </w:tcMar>
            <w:vAlign w:val="center"/>
          </w:tcPr>
          <w:p>
            <w:pPr>
              <w:spacing w:after="40"/>
            </w:pPr>
            <w:r>
              <w:rPr>
                <w:rFonts w:ascii="Calibri" w:hAnsi="Calibri"/>
                <w:sz w:val="19"/>
              </w:rPr>
              <w:t>$14,152</w:t>
            </w:r>
          </w:p>
        </w:tc>
      </w:tr>
      <w:tr>
        <w:tc>
          <w:tcPr>
            <w:tcW w:type="dxa" w:w="3960"/>
            <w:tcMar>
              <w:top w:w="80" w:type="dxa"/>
              <w:start w:w="120" w:type="dxa"/>
              <w:bottom w:w="80" w:type="dxa"/>
              <w:end w:w="120" w:type="dxa"/>
            </w:tcMar>
            <w:vAlign w:val="center"/>
          </w:tcPr>
          <w:p>
            <w:pPr>
              <w:spacing w:after="40"/>
            </w:pPr>
            <w:r>
              <w:rPr>
                <w:rFonts w:ascii="Calibri" w:hAnsi="Calibri"/>
                <w:sz w:val="19"/>
              </w:rPr>
              <w:t>Payment processing / platform fees</w:t>
            </w:r>
          </w:p>
        </w:tc>
        <w:tc>
          <w:tcPr>
            <w:tcW w:type="dxa" w:w="1656"/>
            <w:tcMar>
              <w:top w:w="80" w:type="dxa"/>
              <w:start w:w="120" w:type="dxa"/>
              <w:bottom w:w="80" w:type="dxa"/>
              <w:end w:w="120" w:type="dxa"/>
            </w:tcMar>
            <w:vAlign w:val="center"/>
          </w:tcPr>
          <w:p>
            <w:pPr>
              <w:spacing w:after="40"/>
            </w:pPr>
            <w:r>
              <w:rPr>
                <w:rFonts w:ascii="Calibri" w:hAnsi="Calibri"/>
                <w:sz w:val="19"/>
              </w:rPr>
              <w:t>$6,593</w:t>
            </w:r>
          </w:p>
        </w:tc>
        <w:tc>
          <w:tcPr>
            <w:tcW w:type="dxa" w:w="1656"/>
            <w:tcMar>
              <w:top w:w="80" w:type="dxa"/>
              <w:start w:w="120" w:type="dxa"/>
              <w:bottom w:w="80" w:type="dxa"/>
              <w:end w:w="120" w:type="dxa"/>
            </w:tcMar>
            <w:vAlign w:val="center"/>
          </w:tcPr>
          <w:p>
            <w:pPr>
              <w:spacing w:after="40"/>
            </w:pPr>
            <w:r>
              <w:rPr>
                <w:rFonts w:ascii="Calibri" w:hAnsi="Calibri"/>
                <w:sz w:val="19"/>
              </w:rPr>
              <w:t>$8,885</w:t>
            </w:r>
          </w:p>
        </w:tc>
        <w:tc>
          <w:tcPr>
            <w:tcW w:type="dxa" w:w="1656"/>
            <w:tcMar>
              <w:top w:w="80" w:type="dxa"/>
              <w:start w:w="120" w:type="dxa"/>
              <w:bottom w:w="80" w:type="dxa"/>
              <w:end w:w="120" w:type="dxa"/>
            </w:tcMar>
            <w:vAlign w:val="center"/>
          </w:tcPr>
          <w:p>
            <w:pPr>
              <w:spacing w:after="40"/>
            </w:pPr>
            <w:r>
              <w:rPr>
                <w:rFonts w:ascii="Calibri" w:hAnsi="Calibri"/>
                <w:sz w:val="19"/>
              </w:rPr>
              <w:t>$11,246</w:t>
            </w:r>
          </w:p>
        </w:tc>
      </w:tr>
      <w:tr>
        <w:tc>
          <w:tcPr>
            <w:tcW w:type="dxa" w:w="3960"/>
            <w:tcMar>
              <w:top w:w="80" w:type="dxa"/>
              <w:start w:w="120" w:type="dxa"/>
              <w:bottom w:w="80" w:type="dxa"/>
              <w:end w:w="120" w:type="dxa"/>
            </w:tcMar>
            <w:vAlign w:val="center"/>
          </w:tcPr>
          <w:p>
            <w:pPr>
              <w:spacing w:after="40"/>
            </w:pPr>
            <w:r>
              <w:rPr>
                <w:rFonts w:ascii="Calibri" w:hAnsi="Calibri"/>
                <w:sz w:val="19"/>
              </w:rPr>
              <w:t>Labor and payroll taxes</w:t>
            </w:r>
          </w:p>
        </w:tc>
        <w:tc>
          <w:tcPr>
            <w:tcW w:type="dxa" w:w="1656"/>
            <w:tcMar>
              <w:top w:w="80" w:type="dxa"/>
              <w:start w:w="120" w:type="dxa"/>
              <w:bottom w:w="80" w:type="dxa"/>
              <w:end w:w="120" w:type="dxa"/>
            </w:tcMar>
            <w:vAlign w:val="center"/>
          </w:tcPr>
          <w:p>
            <w:pPr>
              <w:spacing w:after="40"/>
            </w:pPr>
            <w:r>
              <w:rPr>
                <w:rFonts w:ascii="Calibri" w:hAnsi="Calibri"/>
                <w:sz w:val="19"/>
              </w:rPr>
              <w:t>$68,000</w:t>
            </w:r>
          </w:p>
        </w:tc>
        <w:tc>
          <w:tcPr>
            <w:tcW w:type="dxa" w:w="1656"/>
            <w:tcMar>
              <w:top w:w="80" w:type="dxa"/>
              <w:start w:w="120" w:type="dxa"/>
              <w:bottom w:w="80" w:type="dxa"/>
              <w:end w:w="120" w:type="dxa"/>
            </w:tcMar>
            <w:vAlign w:val="center"/>
          </w:tcPr>
          <w:p>
            <w:pPr>
              <w:spacing w:after="40"/>
            </w:pPr>
            <w:r>
              <w:rPr>
                <w:rFonts w:ascii="Calibri" w:hAnsi="Calibri"/>
                <w:sz w:val="19"/>
              </w:rPr>
              <w:t>$82,000</w:t>
            </w:r>
          </w:p>
        </w:tc>
        <w:tc>
          <w:tcPr>
            <w:tcW w:type="dxa" w:w="1656"/>
            <w:tcMar>
              <w:top w:w="80" w:type="dxa"/>
              <w:start w:w="120" w:type="dxa"/>
              <w:bottom w:w="80" w:type="dxa"/>
              <w:end w:w="120" w:type="dxa"/>
            </w:tcMar>
            <w:vAlign w:val="center"/>
          </w:tcPr>
          <w:p>
            <w:pPr>
              <w:spacing w:after="40"/>
            </w:pPr>
            <w:r>
              <w:rPr>
                <w:rFonts w:ascii="Calibri" w:hAnsi="Calibri"/>
                <w:sz w:val="19"/>
              </w:rPr>
              <w:t>$98,000</w:t>
            </w:r>
          </w:p>
        </w:tc>
      </w:tr>
      <w:tr>
        <w:tc>
          <w:tcPr>
            <w:tcW w:type="dxa" w:w="3960"/>
            <w:tcMar>
              <w:top w:w="80" w:type="dxa"/>
              <w:start w:w="120" w:type="dxa"/>
              <w:bottom w:w="80" w:type="dxa"/>
              <w:end w:w="120" w:type="dxa"/>
            </w:tcMar>
            <w:vAlign w:val="center"/>
          </w:tcPr>
          <w:p>
            <w:pPr>
              <w:spacing w:after="40"/>
            </w:pPr>
            <w:r>
              <w:rPr>
                <w:rFonts w:ascii="Calibri" w:hAnsi="Calibri"/>
                <w:sz w:val="19"/>
              </w:rPr>
              <w:t>Rent incl. NNN/CAM</w:t>
            </w:r>
          </w:p>
        </w:tc>
        <w:tc>
          <w:tcPr>
            <w:tcW w:type="dxa" w:w="1656"/>
            <w:tcMar>
              <w:top w:w="80" w:type="dxa"/>
              <w:start w:w="120" w:type="dxa"/>
              <w:bottom w:w="80" w:type="dxa"/>
              <w:end w:w="120" w:type="dxa"/>
            </w:tcMar>
            <w:vAlign w:val="center"/>
          </w:tcPr>
          <w:p>
            <w:pPr>
              <w:spacing w:after="40"/>
            </w:pPr>
            <w:r>
              <w:rPr>
                <w:rFonts w:ascii="Calibri" w:hAnsi="Calibri"/>
                <w:sz w:val="19"/>
              </w:rPr>
              <w:t>$48,000</w:t>
            </w:r>
          </w:p>
        </w:tc>
        <w:tc>
          <w:tcPr>
            <w:tcW w:type="dxa" w:w="1656"/>
            <w:tcMar>
              <w:top w:w="80" w:type="dxa"/>
              <w:start w:w="120" w:type="dxa"/>
              <w:bottom w:w="80" w:type="dxa"/>
              <w:end w:w="120" w:type="dxa"/>
            </w:tcMar>
            <w:vAlign w:val="center"/>
          </w:tcPr>
          <w:p>
            <w:pPr>
              <w:spacing w:after="40"/>
            </w:pPr>
            <w:r>
              <w:rPr>
                <w:rFonts w:ascii="Calibri" w:hAnsi="Calibri"/>
                <w:sz w:val="19"/>
              </w:rPr>
              <w:t>$49,440</w:t>
            </w:r>
          </w:p>
        </w:tc>
        <w:tc>
          <w:tcPr>
            <w:tcW w:type="dxa" w:w="1656"/>
            <w:tcMar>
              <w:top w:w="80" w:type="dxa"/>
              <w:start w:w="120" w:type="dxa"/>
              <w:bottom w:w="80" w:type="dxa"/>
              <w:end w:w="120" w:type="dxa"/>
            </w:tcMar>
            <w:vAlign w:val="center"/>
          </w:tcPr>
          <w:p>
            <w:pPr>
              <w:spacing w:after="40"/>
            </w:pPr>
            <w:r>
              <w:rPr>
                <w:rFonts w:ascii="Calibri" w:hAnsi="Calibri"/>
                <w:sz w:val="19"/>
              </w:rPr>
              <w:t>$50,923</w:t>
            </w:r>
          </w:p>
        </w:tc>
      </w:tr>
      <w:tr>
        <w:tc>
          <w:tcPr>
            <w:tcW w:type="dxa" w:w="3960"/>
            <w:tcMar>
              <w:top w:w="80" w:type="dxa"/>
              <w:start w:w="120" w:type="dxa"/>
              <w:bottom w:w="80" w:type="dxa"/>
              <w:end w:w="120" w:type="dxa"/>
            </w:tcMar>
            <w:vAlign w:val="center"/>
          </w:tcPr>
          <w:p>
            <w:pPr>
              <w:spacing w:after="40"/>
            </w:pPr>
            <w:r>
              <w:rPr>
                <w:rFonts w:ascii="Calibri" w:hAnsi="Calibri"/>
                <w:sz w:val="19"/>
              </w:rPr>
              <w:t>Utilities</w:t>
            </w:r>
          </w:p>
        </w:tc>
        <w:tc>
          <w:tcPr>
            <w:tcW w:type="dxa" w:w="1656"/>
            <w:tcMar>
              <w:top w:w="80" w:type="dxa"/>
              <w:start w:w="120" w:type="dxa"/>
              <w:bottom w:w="80" w:type="dxa"/>
              <w:end w:w="120" w:type="dxa"/>
            </w:tcMar>
            <w:vAlign w:val="center"/>
          </w:tcPr>
          <w:p>
            <w:pPr>
              <w:spacing w:after="40"/>
            </w:pPr>
            <w:r>
              <w:rPr>
                <w:rFonts w:ascii="Calibri" w:hAnsi="Calibri"/>
                <w:sz w:val="19"/>
              </w:rPr>
              <w:t>$12,000</w:t>
            </w:r>
          </w:p>
        </w:tc>
        <w:tc>
          <w:tcPr>
            <w:tcW w:type="dxa" w:w="1656"/>
            <w:tcMar>
              <w:top w:w="80" w:type="dxa"/>
              <w:start w:w="120" w:type="dxa"/>
              <w:bottom w:w="80" w:type="dxa"/>
              <w:end w:w="120" w:type="dxa"/>
            </w:tcMar>
            <w:vAlign w:val="center"/>
          </w:tcPr>
          <w:p>
            <w:pPr>
              <w:spacing w:after="40"/>
            </w:pPr>
            <w:r>
              <w:rPr>
                <w:rFonts w:ascii="Calibri" w:hAnsi="Calibri"/>
                <w:sz w:val="19"/>
              </w:rPr>
              <w:t>$13,000</w:t>
            </w:r>
          </w:p>
        </w:tc>
        <w:tc>
          <w:tcPr>
            <w:tcW w:type="dxa" w:w="1656"/>
            <w:tcMar>
              <w:top w:w="80" w:type="dxa"/>
              <w:start w:w="120" w:type="dxa"/>
              <w:bottom w:w="80" w:type="dxa"/>
              <w:end w:w="120" w:type="dxa"/>
            </w:tcMar>
            <w:vAlign w:val="center"/>
          </w:tcPr>
          <w:p>
            <w:pPr>
              <w:spacing w:after="40"/>
            </w:pPr>
            <w:r>
              <w:rPr>
                <w:rFonts w:ascii="Calibri" w:hAnsi="Calibri"/>
                <w:sz w:val="19"/>
              </w:rPr>
              <w:t>$14,000</w:t>
            </w:r>
          </w:p>
        </w:tc>
      </w:tr>
      <w:tr>
        <w:tc>
          <w:tcPr>
            <w:tcW w:type="dxa" w:w="3960"/>
            <w:tcMar>
              <w:top w:w="80" w:type="dxa"/>
              <w:start w:w="120" w:type="dxa"/>
              <w:bottom w:w="80" w:type="dxa"/>
              <w:end w:w="120" w:type="dxa"/>
            </w:tcMar>
            <w:vAlign w:val="center"/>
          </w:tcPr>
          <w:p>
            <w:pPr>
              <w:spacing w:after="40"/>
            </w:pPr>
            <w:r>
              <w:rPr>
                <w:rFonts w:ascii="Calibri" w:hAnsi="Calibri"/>
                <w:sz w:val="19"/>
              </w:rPr>
              <w:t>Internet / network services</w:t>
            </w:r>
          </w:p>
        </w:tc>
        <w:tc>
          <w:tcPr>
            <w:tcW w:type="dxa" w:w="1656"/>
            <w:tcMar>
              <w:top w:w="80" w:type="dxa"/>
              <w:start w:w="120" w:type="dxa"/>
              <w:bottom w:w="80" w:type="dxa"/>
              <w:end w:w="120" w:type="dxa"/>
            </w:tcMar>
            <w:vAlign w:val="center"/>
          </w:tcPr>
          <w:p>
            <w:pPr>
              <w:spacing w:after="40"/>
            </w:pPr>
            <w:r>
              <w:rPr>
                <w:rFonts w:ascii="Calibri" w:hAnsi="Calibri"/>
                <w:sz w:val="19"/>
              </w:rPr>
              <w:t>$3,600</w:t>
            </w:r>
          </w:p>
        </w:tc>
        <w:tc>
          <w:tcPr>
            <w:tcW w:type="dxa" w:w="1656"/>
            <w:tcMar>
              <w:top w:w="80" w:type="dxa"/>
              <w:start w:w="120" w:type="dxa"/>
              <w:bottom w:w="80" w:type="dxa"/>
              <w:end w:w="120" w:type="dxa"/>
            </w:tcMar>
            <w:vAlign w:val="center"/>
          </w:tcPr>
          <w:p>
            <w:pPr>
              <w:spacing w:after="40"/>
            </w:pPr>
            <w:r>
              <w:rPr>
                <w:rFonts w:ascii="Calibri" w:hAnsi="Calibri"/>
                <w:sz w:val="19"/>
              </w:rPr>
              <w:t>$3,900</w:t>
            </w:r>
          </w:p>
        </w:tc>
        <w:tc>
          <w:tcPr>
            <w:tcW w:type="dxa" w:w="1656"/>
            <w:tcMar>
              <w:top w:w="80" w:type="dxa"/>
              <w:start w:w="120" w:type="dxa"/>
              <w:bottom w:w="80" w:type="dxa"/>
              <w:end w:w="120" w:type="dxa"/>
            </w:tcMar>
            <w:vAlign w:val="center"/>
          </w:tcPr>
          <w:p>
            <w:pPr>
              <w:spacing w:after="40"/>
            </w:pPr>
            <w:r>
              <w:rPr>
                <w:rFonts w:ascii="Calibri" w:hAnsi="Calibri"/>
                <w:sz w:val="19"/>
              </w:rPr>
              <w:t>$4,200</w:t>
            </w:r>
          </w:p>
        </w:tc>
      </w:tr>
      <w:tr>
        <w:tc>
          <w:tcPr>
            <w:tcW w:type="dxa" w:w="3960"/>
            <w:tcMar>
              <w:top w:w="80" w:type="dxa"/>
              <w:start w:w="120" w:type="dxa"/>
              <w:bottom w:w="80" w:type="dxa"/>
              <w:end w:w="120" w:type="dxa"/>
            </w:tcMar>
            <w:vAlign w:val="center"/>
          </w:tcPr>
          <w:p>
            <w:pPr>
              <w:spacing w:after="40"/>
            </w:pPr>
            <w:r>
              <w:rPr>
                <w:rFonts w:ascii="Calibri" w:hAnsi="Calibri"/>
                <w:sz w:val="19"/>
              </w:rPr>
              <w:t>Insurance</w:t>
            </w:r>
          </w:p>
        </w:tc>
        <w:tc>
          <w:tcPr>
            <w:tcW w:type="dxa" w:w="1656"/>
            <w:tcMar>
              <w:top w:w="80" w:type="dxa"/>
              <w:start w:w="120" w:type="dxa"/>
              <w:bottom w:w="80" w:type="dxa"/>
              <w:end w:w="120" w:type="dxa"/>
            </w:tcMar>
            <w:vAlign w:val="center"/>
          </w:tcPr>
          <w:p>
            <w:pPr>
              <w:spacing w:after="40"/>
            </w:pPr>
            <w:r>
              <w:rPr>
                <w:rFonts w:ascii="Calibri" w:hAnsi="Calibri"/>
                <w:sz w:val="19"/>
              </w:rPr>
              <w:t>$5,000</w:t>
            </w:r>
          </w:p>
        </w:tc>
        <w:tc>
          <w:tcPr>
            <w:tcW w:type="dxa" w:w="1656"/>
            <w:tcMar>
              <w:top w:w="80" w:type="dxa"/>
              <w:start w:w="120" w:type="dxa"/>
              <w:bottom w:w="80" w:type="dxa"/>
              <w:end w:w="120" w:type="dxa"/>
            </w:tcMar>
            <w:vAlign w:val="center"/>
          </w:tcPr>
          <w:p>
            <w:pPr>
              <w:spacing w:after="40"/>
            </w:pPr>
            <w:r>
              <w:rPr>
                <w:rFonts w:ascii="Calibri" w:hAnsi="Calibri"/>
                <w:sz w:val="19"/>
              </w:rPr>
              <w:t>$5,500</w:t>
            </w:r>
          </w:p>
        </w:tc>
        <w:tc>
          <w:tcPr>
            <w:tcW w:type="dxa" w:w="1656"/>
            <w:tcMar>
              <w:top w:w="80" w:type="dxa"/>
              <w:start w:w="120" w:type="dxa"/>
              <w:bottom w:w="80" w:type="dxa"/>
              <w:end w:w="120" w:type="dxa"/>
            </w:tcMar>
            <w:vAlign w:val="center"/>
          </w:tcPr>
          <w:p>
            <w:pPr>
              <w:spacing w:after="40"/>
            </w:pPr>
            <w:r>
              <w:rPr>
                <w:rFonts w:ascii="Calibri" w:hAnsi="Calibri"/>
                <w:sz w:val="19"/>
              </w:rPr>
              <w:t>$6,000</w:t>
            </w:r>
          </w:p>
        </w:tc>
      </w:tr>
      <w:tr>
        <w:tc>
          <w:tcPr>
            <w:tcW w:type="dxa" w:w="3960"/>
            <w:tcMar>
              <w:top w:w="80" w:type="dxa"/>
              <w:start w:w="120" w:type="dxa"/>
              <w:bottom w:w="80" w:type="dxa"/>
              <w:end w:w="120" w:type="dxa"/>
            </w:tcMar>
            <w:vAlign w:val="center"/>
          </w:tcPr>
          <w:p>
            <w:pPr>
              <w:spacing w:after="40"/>
            </w:pPr>
            <w:r>
              <w:rPr>
                <w:rFonts w:ascii="Calibri" w:hAnsi="Calibri"/>
                <w:sz w:val="19"/>
              </w:rPr>
              <w:t>Maintenance / equipment reserve</w:t>
            </w:r>
          </w:p>
        </w:tc>
        <w:tc>
          <w:tcPr>
            <w:tcW w:type="dxa" w:w="1656"/>
            <w:tcMar>
              <w:top w:w="80" w:type="dxa"/>
              <w:start w:w="120" w:type="dxa"/>
              <w:bottom w:w="80" w:type="dxa"/>
              <w:end w:w="120" w:type="dxa"/>
            </w:tcMar>
            <w:vAlign w:val="center"/>
          </w:tcPr>
          <w:p>
            <w:pPr>
              <w:spacing w:after="40"/>
            </w:pPr>
            <w:r>
              <w:rPr>
                <w:rFonts w:ascii="Calibri" w:hAnsi="Calibri"/>
                <w:sz w:val="19"/>
              </w:rPr>
              <w:t>$7,200</w:t>
            </w:r>
          </w:p>
        </w:tc>
        <w:tc>
          <w:tcPr>
            <w:tcW w:type="dxa" w:w="1656"/>
            <w:tcMar>
              <w:top w:w="80" w:type="dxa"/>
              <w:start w:w="120" w:type="dxa"/>
              <w:bottom w:w="80" w:type="dxa"/>
              <w:end w:w="120" w:type="dxa"/>
            </w:tcMar>
            <w:vAlign w:val="center"/>
          </w:tcPr>
          <w:p>
            <w:pPr>
              <w:spacing w:after="40"/>
            </w:pPr>
            <w:r>
              <w:rPr>
                <w:rFonts w:ascii="Calibri" w:hAnsi="Calibri"/>
                <w:sz w:val="19"/>
              </w:rPr>
              <w:t>$9,000</w:t>
            </w:r>
          </w:p>
        </w:tc>
        <w:tc>
          <w:tcPr>
            <w:tcW w:type="dxa" w:w="1656"/>
            <w:tcMar>
              <w:top w:w="80" w:type="dxa"/>
              <w:start w:w="120" w:type="dxa"/>
              <w:bottom w:w="80" w:type="dxa"/>
              <w:end w:w="120" w:type="dxa"/>
            </w:tcMar>
            <w:vAlign w:val="center"/>
          </w:tcPr>
          <w:p>
            <w:pPr>
              <w:spacing w:after="40"/>
            </w:pPr>
            <w:r>
              <w:rPr>
                <w:rFonts w:ascii="Calibri" w:hAnsi="Calibri"/>
                <w:sz w:val="19"/>
              </w:rPr>
              <w:t>$12,000</w:t>
            </w:r>
          </w:p>
        </w:tc>
      </w:tr>
      <w:tr>
        <w:tc>
          <w:tcPr>
            <w:tcW w:type="dxa" w:w="3960"/>
            <w:tcMar>
              <w:top w:w="80" w:type="dxa"/>
              <w:start w:w="120" w:type="dxa"/>
              <w:bottom w:w="80" w:type="dxa"/>
              <w:end w:w="120" w:type="dxa"/>
            </w:tcMar>
            <w:vAlign w:val="center"/>
          </w:tcPr>
          <w:p>
            <w:pPr>
              <w:spacing w:after="40"/>
            </w:pPr>
            <w:r>
              <w:rPr>
                <w:rFonts w:ascii="Calibri" w:hAnsi="Calibri"/>
                <w:sz w:val="19"/>
              </w:rPr>
              <w:t>Marketing</w:t>
            </w:r>
          </w:p>
        </w:tc>
        <w:tc>
          <w:tcPr>
            <w:tcW w:type="dxa" w:w="1656"/>
            <w:tcMar>
              <w:top w:w="80" w:type="dxa"/>
              <w:start w:w="120" w:type="dxa"/>
              <w:bottom w:w="80" w:type="dxa"/>
              <w:end w:w="120" w:type="dxa"/>
            </w:tcMar>
            <w:vAlign w:val="center"/>
          </w:tcPr>
          <w:p>
            <w:pPr>
              <w:spacing w:after="40"/>
            </w:pPr>
            <w:r>
              <w:rPr>
                <w:rFonts w:ascii="Calibri" w:hAnsi="Calibri"/>
                <w:sz w:val="19"/>
              </w:rPr>
              <w:t>$7,500</w:t>
            </w:r>
          </w:p>
        </w:tc>
        <w:tc>
          <w:tcPr>
            <w:tcW w:type="dxa" w:w="1656"/>
            <w:tcMar>
              <w:top w:w="80" w:type="dxa"/>
              <w:start w:w="120" w:type="dxa"/>
              <w:bottom w:w="80" w:type="dxa"/>
              <w:end w:w="120" w:type="dxa"/>
            </w:tcMar>
            <w:vAlign w:val="center"/>
          </w:tcPr>
          <w:p>
            <w:pPr>
              <w:spacing w:after="40"/>
            </w:pPr>
            <w:r>
              <w:rPr>
                <w:rFonts w:ascii="Calibri" w:hAnsi="Calibri"/>
                <w:sz w:val="19"/>
              </w:rPr>
              <w:t>$9,000</w:t>
            </w:r>
          </w:p>
        </w:tc>
        <w:tc>
          <w:tcPr>
            <w:tcW w:type="dxa" w:w="1656"/>
            <w:tcMar>
              <w:top w:w="80" w:type="dxa"/>
              <w:start w:w="120" w:type="dxa"/>
              <w:bottom w:w="80" w:type="dxa"/>
              <w:end w:w="120" w:type="dxa"/>
            </w:tcMar>
            <w:vAlign w:val="center"/>
          </w:tcPr>
          <w:p>
            <w:pPr>
              <w:spacing w:after="40"/>
            </w:pPr>
            <w:r>
              <w:rPr>
                <w:rFonts w:ascii="Calibri" w:hAnsi="Calibri"/>
                <w:sz w:val="19"/>
              </w:rPr>
              <w:t>$11,000</w:t>
            </w:r>
          </w:p>
        </w:tc>
      </w:tr>
      <w:tr>
        <w:tc>
          <w:tcPr>
            <w:tcW w:type="dxa" w:w="3960"/>
            <w:tcMar>
              <w:top w:w="80" w:type="dxa"/>
              <w:start w:w="120" w:type="dxa"/>
              <w:bottom w:w="80" w:type="dxa"/>
              <w:end w:w="120" w:type="dxa"/>
            </w:tcMar>
            <w:vAlign w:val="center"/>
          </w:tcPr>
          <w:p>
            <w:pPr>
              <w:spacing w:after="40"/>
            </w:pPr>
            <w:r>
              <w:rPr>
                <w:rFonts w:ascii="Calibri" w:hAnsi="Calibri"/>
                <w:sz w:val="19"/>
              </w:rPr>
              <w:t>Supplies/security</w:t>
            </w:r>
          </w:p>
        </w:tc>
        <w:tc>
          <w:tcPr>
            <w:tcW w:type="dxa" w:w="1656"/>
            <w:tcMar>
              <w:top w:w="80" w:type="dxa"/>
              <w:start w:w="120" w:type="dxa"/>
              <w:bottom w:w="80" w:type="dxa"/>
              <w:end w:w="120" w:type="dxa"/>
            </w:tcMar>
            <w:vAlign w:val="center"/>
          </w:tcPr>
          <w:p>
            <w:pPr>
              <w:spacing w:after="40"/>
            </w:pPr>
            <w:r>
              <w:rPr>
                <w:rFonts w:ascii="Calibri" w:hAnsi="Calibri"/>
                <w:sz w:val="19"/>
              </w:rPr>
              <w:t>$5,400</w:t>
            </w:r>
          </w:p>
        </w:tc>
        <w:tc>
          <w:tcPr>
            <w:tcW w:type="dxa" w:w="1656"/>
            <w:tcMar>
              <w:top w:w="80" w:type="dxa"/>
              <w:start w:w="120" w:type="dxa"/>
              <w:bottom w:w="80" w:type="dxa"/>
              <w:end w:w="120" w:type="dxa"/>
            </w:tcMar>
            <w:vAlign w:val="center"/>
          </w:tcPr>
          <w:p>
            <w:pPr>
              <w:spacing w:after="40"/>
            </w:pPr>
            <w:r>
              <w:rPr>
                <w:rFonts w:ascii="Calibri" w:hAnsi="Calibri"/>
                <w:sz w:val="19"/>
              </w:rPr>
              <w:t>$6,200</w:t>
            </w:r>
          </w:p>
        </w:tc>
        <w:tc>
          <w:tcPr>
            <w:tcW w:type="dxa" w:w="1656"/>
            <w:tcMar>
              <w:top w:w="80" w:type="dxa"/>
              <w:start w:w="120" w:type="dxa"/>
              <w:bottom w:w="80" w:type="dxa"/>
              <w:end w:w="120" w:type="dxa"/>
            </w:tcMar>
            <w:vAlign w:val="center"/>
          </w:tcPr>
          <w:p>
            <w:pPr>
              <w:spacing w:after="40"/>
            </w:pPr>
            <w:r>
              <w:rPr>
                <w:rFonts w:ascii="Calibri" w:hAnsi="Calibri"/>
                <w:sz w:val="19"/>
              </w:rPr>
              <w:t>$7,000</w:t>
            </w:r>
          </w:p>
        </w:tc>
      </w:tr>
      <w:tr>
        <w:tc>
          <w:tcPr>
            <w:tcW w:type="dxa" w:w="3960"/>
            <w:tcMar>
              <w:top w:w="80" w:type="dxa"/>
              <w:start w:w="120" w:type="dxa"/>
              <w:bottom w:w="80" w:type="dxa"/>
              <w:end w:w="120" w:type="dxa"/>
            </w:tcMar>
            <w:vAlign w:val="center"/>
          </w:tcPr>
          <w:p>
            <w:pPr>
              <w:spacing w:after="40"/>
            </w:pPr>
            <w:r>
              <w:rPr>
                <w:rFonts w:ascii="Calibri" w:hAnsi="Calibri"/>
                <w:sz w:val="19"/>
              </w:rPr>
              <w:t>Software / licenses / POS</w:t>
            </w:r>
          </w:p>
        </w:tc>
        <w:tc>
          <w:tcPr>
            <w:tcW w:type="dxa" w:w="1656"/>
            <w:tcMar>
              <w:top w:w="80" w:type="dxa"/>
              <w:start w:w="120" w:type="dxa"/>
              <w:bottom w:w="80" w:type="dxa"/>
              <w:end w:w="120" w:type="dxa"/>
            </w:tcMar>
            <w:vAlign w:val="center"/>
          </w:tcPr>
          <w:p>
            <w:pPr>
              <w:spacing w:after="40"/>
            </w:pPr>
            <w:r>
              <w:rPr>
                <w:rFonts w:ascii="Calibri" w:hAnsi="Calibri"/>
                <w:sz w:val="19"/>
              </w:rPr>
              <w:t>$4,200</w:t>
            </w:r>
          </w:p>
        </w:tc>
        <w:tc>
          <w:tcPr>
            <w:tcW w:type="dxa" w:w="1656"/>
            <w:tcMar>
              <w:top w:w="80" w:type="dxa"/>
              <w:start w:w="120" w:type="dxa"/>
              <w:bottom w:w="80" w:type="dxa"/>
              <w:end w:w="120" w:type="dxa"/>
            </w:tcMar>
            <w:vAlign w:val="center"/>
          </w:tcPr>
          <w:p>
            <w:pPr>
              <w:spacing w:after="40"/>
            </w:pPr>
            <w:r>
              <w:rPr>
                <w:rFonts w:ascii="Calibri" w:hAnsi="Calibri"/>
                <w:sz w:val="19"/>
              </w:rPr>
              <w:t>$4,800</w:t>
            </w:r>
          </w:p>
        </w:tc>
        <w:tc>
          <w:tcPr>
            <w:tcW w:type="dxa" w:w="1656"/>
            <w:tcMar>
              <w:top w:w="80" w:type="dxa"/>
              <w:start w:w="120" w:type="dxa"/>
              <w:bottom w:w="80" w:type="dxa"/>
              <w:end w:w="120" w:type="dxa"/>
            </w:tcMar>
            <w:vAlign w:val="center"/>
          </w:tcPr>
          <w:p>
            <w:pPr>
              <w:spacing w:after="40"/>
            </w:pPr>
            <w:r>
              <w:rPr>
                <w:rFonts w:ascii="Calibri" w:hAnsi="Calibri"/>
                <w:sz w:val="19"/>
              </w:rPr>
              <w:t>$5,400</w:t>
            </w:r>
          </w:p>
        </w:tc>
      </w:tr>
      <w:tr>
        <w:tc>
          <w:tcPr>
            <w:tcW w:type="dxa" w:w="3960"/>
            <w:tcMar>
              <w:top w:w="80" w:type="dxa"/>
              <w:start w:w="120" w:type="dxa"/>
              <w:bottom w:w="80" w:type="dxa"/>
              <w:end w:w="120" w:type="dxa"/>
            </w:tcMar>
            <w:vAlign w:val="center"/>
          </w:tcPr>
          <w:p>
            <w:pPr>
              <w:spacing w:after="40"/>
            </w:pPr>
            <w:r>
              <w:rPr>
                <w:rFonts w:ascii="Calibri" w:hAnsi="Calibri"/>
                <w:sz w:val="19"/>
              </w:rPr>
              <w:t>Admin / accounting / professional</w:t>
            </w:r>
          </w:p>
        </w:tc>
        <w:tc>
          <w:tcPr>
            <w:tcW w:type="dxa" w:w="1656"/>
            <w:tcMar>
              <w:top w:w="80" w:type="dxa"/>
              <w:start w:w="120" w:type="dxa"/>
              <w:bottom w:w="80" w:type="dxa"/>
              <w:end w:w="120" w:type="dxa"/>
            </w:tcMar>
            <w:vAlign w:val="center"/>
          </w:tcPr>
          <w:p>
            <w:pPr>
              <w:spacing w:after="40"/>
            </w:pPr>
            <w:r>
              <w:rPr>
                <w:rFonts w:ascii="Calibri" w:hAnsi="Calibri"/>
                <w:sz w:val="19"/>
              </w:rPr>
              <w:t>$4,800</w:t>
            </w:r>
          </w:p>
        </w:tc>
        <w:tc>
          <w:tcPr>
            <w:tcW w:type="dxa" w:w="1656"/>
            <w:tcMar>
              <w:top w:w="80" w:type="dxa"/>
              <w:start w:w="120" w:type="dxa"/>
              <w:bottom w:w="80" w:type="dxa"/>
              <w:end w:w="120" w:type="dxa"/>
            </w:tcMar>
            <w:vAlign w:val="center"/>
          </w:tcPr>
          <w:p>
            <w:pPr>
              <w:spacing w:after="40"/>
            </w:pPr>
            <w:r>
              <w:rPr>
                <w:rFonts w:ascii="Calibri" w:hAnsi="Calibri"/>
                <w:sz w:val="19"/>
              </w:rPr>
              <w:t>$5,400</w:t>
            </w:r>
          </w:p>
        </w:tc>
        <w:tc>
          <w:tcPr>
            <w:tcW w:type="dxa" w:w="1656"/>
            <w:tcMar>
              <w:top w:w="80" w:type="dxa"/>
              <w:start w:w="120" w:type="dxa"/>
              <w:bottom w:w="80" w:type="dxa"/>
              <w:end w:w="120" w:type="dxa"/>
            </w:tcMar>
            <w:vAlign w:val="center"/>
          </w:tcPr>
          <w:p>
            <w:pPr>
              <w:spacing w:after="40"/>
            </w:pPr>
            <w:r>
              <w:rPr>
                <w:rFonts w:ascii="Calibri" w:hAnsi="Calibri"/>
                <w:sz w:val="19"/>
              </w:rPr>
              <w:t>$6,000</w:t>
            </w:r>
          </w:p>
        </w:tc>
      </w:tr>
      <w:tr>
        <w:tc>
          <w:tcPr>
            <w:tcW w:type="dxa" w:w="3960"/>
            <w:tcMar>
              <w:top w:w="80" w:type="dxa"/>
              <w:start w:w="120" w:type="dxa"/>
              <w:bottom w:w="80" w:type="dxa"/>
              <w:end w:w="120" w:type="dxa"/>
            </w:tcMar>
            <w:vAlign w:val="center"/>
          </w:tcPr>
          <w:p>
            <w:pPr>
              <w:spacing w:after="40"/>
            </w:pPr>
            <w:r>
              <w:rPr>
                <w:rFonts w:ascii="Calibri" w:hAnsi="Calibri"/>
                <w:sz w:val="19"/>
              </w:rPr>
              <w:t>Miscellaneous / contingency</w:t>
            </w:r>
          </w:p>
        </w:tc>
        <w:tc>
          <w:tcPr>
            <w:tcW w:type="dxa" w:w="1656"/>
            <w:tcMar>
              <w:top w:w="80" w:type="dxa"/>
              <w:start w:w="120" w:type="dxa"/>
              <w:bottom w:w="80" w:type="dxa"/>
              <w:end w:w="120" w:type="dxa"/>
            </w:tcMar>
            <w:vAlign w:val="center"/>
          </w:tcPr>
          <w:p>
            <w:pPr>
              <w:spacing w:after="40"/>
            </w:pPr>
            <w:r>
              <w:rPr>
                <w:rFonts w:ascii="Calibri" w:hAnsi="Calibri"/>
                <w:sz w:val="19"/>
              </w:rPr>
              <w:t>$6,434</w:t>
            </w:r>
          </w:p>
        </w:tc>
        <w:tc>
          <w:tcPr>
            <w:tcW w:type="dxa" w:w="1656"/>
            <w:tcMar>
              <w:top w:w="80" w:type="dxa"/>
              <w:start w:w="120" w:type="dxa"/>
              <w:bottom w:w="80" w:type="dxa"/>
              <w:end w:w="120" w:type="dxa"/>
            </w:tcMar>
            <w:vAlign w:val="center"/>
          </w:tcPr>
          <w:p>
            <w:pPr>
              <w:spacing w:after="40"/>
            </w:pPr>
            <w:r>
              <w:rPr>
                <w:rFonts w:ascii="Calibri" w:hAnsi="Calibri"/>
                <w:sz w:val="19"/>
              </w:rPr>
              <w:t>$7,300</w:t>
            </w:r>
          </w:p>
        </w:tc>
        <w:tc>
          <w:tcPr>
            <w:tcW w:type="dxa" w:w="1656"/>
            <w:tcMar>
              <w:top w:w="80" w:type="dxa"/>
              <w:start w:w="120" w:type="dxa"/>
              <w:bottom w:w="80" w:type="dxa"/>
              <w:end w:w="120" w:type="dxa"/>
            </w:tcMar>
            <w:vAlign w:val="center"/>
          </w:tcPr>
          <w:p>
            <w:pPr>
              <w:spacing w:after="40"/>
            </w:pPr>
            <w:r>
              <w:rPr>
                <w:rFonts w:ascii="Calibri" w:hAnsi="Calibri"/>
                <w:sz w:val="19"/>
              </w:rPr>
              <w:t>$8,100</w:t>
            </w:r>
          </w:p>
        </w:tc>
      </w:tr>
      <w:tr>
        <w:tc>
          <w:tcPr>
            <w:tcW w:type="dxa" w:w="3960"/>
            <w:tcMar>
              <w:top w:w="80" w:type="dxa"/>
              <w:start w:w="120" w:type="dxa"/>
              <w:bottom w:w="80" w:type="dxa"/>
              <w:end w:w="120" w:type="dxa"/>
            </w:tcMar>
            <w:vAlign w:val="center"/>
          </w:tcPr>
          <w:p>
            <w:pPr>
              <w:spacing w:after="40"/>
            </w:pPr>
            <w:r>
              <w:rPr>
                <w:rFonts w:ascii="Calibri" w:hAnsi="Calibri"/>
                <w:sz w:val="19"/>
              </w:rPr>
              <w:t>Total operating expenses</w:t>
            </w:r>
          </w:p>
        </w:tc>
        <w:tc>
          <w:tcPr>
            <w:tcW w:type="dxa" w:w="1656"/>
            <w:tcMar>
              <w:top w:w="80" w:type="dxa"/>
              <w:start w:w="120" w:type="dxa"/>
              <w:bottom w:w="80" w:type="dxa"/>
              <w:end w:w="120" w:type="dxa"/>
            </w:tcMar>
            <w:vAlign w:val="center"/>
          </w:tcPr>
          <w:p>
            <w:pPr>
              <w:spacing w:after="40"/>
            </w:pPr>
            <w:r>
              <w:rPr>
                <w:rFonts w:ascii="Calibri" w:hAnsi="Calibri"/>
                <w:sz w:val="19"/>
              </w:rPr>
              <w:t>$166,065</w:t>
            </w:r>
          </w:p>
        </w:tc>
        <w:tc>
          <w:tcPr>
            <w:tcW w:type="dxa" w:w="1656"/>
            <w:tcMar>
              <w:top w:w="80" w:type="dxa"/>
              <w:start w:w="120" w:type="dxa"/>
              <w:bottom w:w="80" w:type="dxa"/>
              <w:end w:w="120" w:type="dxa"/>
            </w:tcMar>
            <w:vAlign w:val="center"/>
          </w:tcPr>
          <w:p>
            <w:pPr>
              <w:spacing w:after="40"/>
            </w:pPr>
            <w:r>
              <w:rPr>
                <w:rFonts w:ascii="Calibri" w:hAnsi="Calibri"/>
                <w:sz w:val="19"/>
              </w:rPr>
              <w:t>$215,410</w:t>
            </w:r>
          </w:p>
        </w:tc>
        <w:tc>
          <w:tcPr>
            <w:tcW w:type="dxa" w:w="1656"/>
            <w:tcMar>
              <w:top w:w="80" w:type="dxa"/>
              <w:start w:w="120" w:type="dxa"/>
              <w:bottom w:w="80" w:type="dxa"/>
              <w:end w:w="120" w:type="dxa"/>
            </w:tcMar>
            <w:vAlign w:val="center"/>
          </w:tcPr>
          <w:p>
            <w:pPr>
              <w:spacing w:after="40"/>
            </w:pPr>
            <w:r>
              <w:rPr>
                <w:rFonts w:ascii="Calibri" w:hAnsi="Calibri"/>
                <w:sz w:val="19"/>
              </w:rPr>
              <w:t>$248,021</w:t>
            </w:r>
          </w:p>
        </w:tc>
      </w:tr>
      <w:tr>
        <w:tc>
          <w:tcPr>
            <w:tcW w:type="dxa" w:w="3960"/>
            <w:tcMar>
              <w:top w:w="80" w:type="dxa"/>
              <w:start w:w="120" w:type="dxa"/>
              <w:bottom w:w="80" w:type="dxa"/>
              <w:end w:w="120" w:type="dxa"/>
            </w:tcMar>
            <w:vAlign w:val="center"/>
          </w:tcPr>
          <w:p>
            <w:pPr>
              <w:spacing w:after="40"/>
            </w:pPr>
            <w:r>
              <w:rPr>
                <w:rFonts w:ascii="Calibri" w:hAnsi="Calibri"/>
                <w:sz w:val="19"/>
              </w:rPr>
              <w:t>Operating surplus (pre-tax/debt/depr.)</w:t>
            </w:r>
          </w:p>
        </w:tc>
        <w:tc>
          <w:tcPr>
            <w:tcW w:type="dxa" w:w="1656"/>
            <w:tcMar>
              <w:top w:w="80" w:type="dxa"/>
              <w:start w:w="120" w:type="dxa"/>
              <w:bottom w:w="80" w:type="dxa"/>
              <w:end w:w="120" w:type="dxa"/>
            </w:tcMar>
            <w:vAlign w:val="center"/>
          </w:tcPr>
          <w:p>
            <w:pPr>
              <w:spacing w:after="40"/>
            </w:pPr>
            <w:r>
              <w:rPr>
                <w:rFonts w:ascii="Calibri" w:hAnsi="Calibri"/>
                <w:sz w:val="19"/>
              </w:rPr>
              <w:t>$53,717</w:t>
            </w:r>
          </w:p>
        </w:tc>
        <w:tc>
          <w:tcPr>
            <w:tcW w:type="dxa" w:w="1656"/>
            <w:tcMar>
              <w:top w:w="80" w:type="dxa"/>
              <w:start w:w="120" w:type="dxa"/>
              <w:bottom w:w="80" w:type="dxa"/>
              <w:end w:w="120" w:type="dxa"/>
            </w:tcMar>
            <w:vAlign w:val="center"/>
          </w:tcPr>
          <w:p>
            <w:pPr>
              <w:spacing w:after="40"/>
            </w:pPr>
            <w:r>
              <w:rPr>
                <w:rFonts w:ascii="Calibri" w:hAnsi="Calibri"/>
                <w:sz w:val="19"/>
              </w:rPr>
              <w:t>$80,757</w:t>
            </w:r>
          </w:p>
        </w:tc>
        <w:tc>
          <w:tcPr>
            <w:tcW w:type="dxa" w:w="1656"/>
            <w:tcMar>
              <w:top w:w="80" w:type="dxa"/>
              <w:start w:w="120" w:type="dxa"/>
              <w:bottom w:w="80" w:type="dxa"/>
              <w:end w:w="120" w:type="dxa"/>
            </w:tcMar>
            <w:vAlign w:val="center"/>
          </w:tcPr>
          <w:p>
            <w:pPr>
              <w:spacing w:after="40"/>
            </w:pPr>
            <w:r>
              <w:rPr>
                <w:rFonts w:ascii="Calibri" w:hAnsi="Calibri"/>
                <w:sz w:val="19"/>
              </w:rPr>
              <w:t>$126,854</w:t>
            </w:r>
          </w:p>
        </w:tc>
      </w:tr>
    </w:tbl>
    <w:p/>
    <w:p>
      <w:pPr>
        <w:pStyle w:val="Heading2"/>
      </w:pPr>
      <w:r>
        <w:t>Year 1 Cash Flow View</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3384"/>
            <w:tcMar>
              <w:top w:w="80" w:type="dxa"/>
              <w:start w:w="120" w:type="dxa"/>
              <w:bottom w:w="80" w:type="dxa"/>
              <w:end w:w="120" w:type="dxa"/>
            </w:tcMar>
            <w:vAlign w:val="center"/>
            <w:shd w:fill="F2F4F7"/>
          </w:tcPr>
          <w:p>
            <w:pPr>
              <w:spacing w:after="40"/>
            </w:pPr>
            <w:r>
              <w:rPr>
                <w:rFonts w:ascii="Calibri" w:hAnsi="Calibri"/>
                <w:b/>
                <w:color w:val="1F4D78"/>
                <w:sz w:val="19"/>
              </w:rPr>
              <w:t>Cash flow item</w:t>
            </w:r>
          </w:p>
        </w:tc>
        <w:tc>
          <w:tcPr>
            <w:tcW w:type="dxa" w:w="1728"/>
            <w:tcMar>
              <w:top w:w="80" w:type="dxa"/>
              <w:start w:w="120" w:type="dxa"/>
              <w:bottom w:w="80" w:type="dxa"/>
              <w:end w:w="120" w:type="dxa"/>
            </w:tcMar>
            <w:vAlign w:val="center"/>
            <w:shd w:fill="F2F4F7"/>
          </w:tcPr>
          <w:p>
            <w:pPr>
              <w:spacing w:after="40"/>
            </w:pPr>
            <w:r>
              <w:rPr>
                <w:rFonts w:ascii="Calibri" w:hAnsi="Calibri"/>
                <w:b/>
                <w:color w:val="1F4D78"/>
                <w:sz w:val="19"/>
              </w:rPr>
              <w:t>Amount</w:t>
            </w:r>
          </w:p>
        </w:tc>
        <w:tc>
          <w:tcPr>
            <w:tcW w:type="dxa" w:w="3888"/>
            <w:tcMar>
              <w:top w:w="80" w:type="dxa"/>
              <w:start w:w="120" w:type="dxa"/>
              <w:bottom w:w="80" w:type="dxa"/>
              <w:end w:w="120" w:type="dxa"/>
            </w:tcMar>
            <w:vAlign w:val="center"/>
            <w:shd w:fill="F2F4F7"/>
          </w:tcPr>
          <w:p>
            <w:pPr>
              <w:spacing w:after="40"/>
            </w:pPr>
            <w:r>
              <w:rPr>
                <w:rFonts w:ascii="Calibri" w:hAnsi="Calibri"/>
                <w:b/>
                <w:color w:val="1F4D78"/>
                <w:sz w:val="19"/>
              </w:rPr>
              <w:t>Notes</w:t>
            </w:r>
          </w:p>
        </w:tc>
      </w:tr>
      <w:tr>
        <w:tc>
          <w:tcPr>
            <w:tcW w:type="dxa" w:w="3384"/>
            <w:tcMar>
              <w:top w:w="80" w:type="dxa"/>
              <w:start w:w="120" w:type="dxa"/>
              <w:bottom w:w="80" w:type="dxa"/>
              <w:end w:w="120" w:type="dxa"/>
            </w:tcMar>
            <w:vAlign w:val="center"/>
          </w:tcPr>
          <w:p>
            <w:pPr>
              <w:spacing w:after="40"/>
            </w:pPr>
            <w:r>
              <w:rPr>
                <w:rFonts w:ascii="Calibri" w:hAnsi="Calibri"/>
                <w:sz w:val="19"/>
              </w:rPr>
              <w:t>Starting lease-readiness funds</w:t>
            </w:r>
          </w:p>
        </w:tc>
        <w:tc>
          <w:tcPr>
            <w:tcW w:type="dxa" w:w="1728"/>
            <w:tcMar>
              <w:top w:w="80" w:type="dxa"/>
              <w:start w:w="120" w:type="dxa"/>
              <w:bottom w:w="80" w:type="dxa"/>
              <w:end w:w="120" w:type="dxa"/>
            </w:tcMar>
            <w:vAlign w:val="center"/>
          </w:tcPr>
          <w:p>
            <w:pPr>
              <w:spacing w:after="40"/>
            </w:pPr>
            <w:r>
              <w:rPr>
                <w:rFonts w:ascii="Calibri" w:hAnsi="Calibri"/>
                <w:sz w:val="19"/>
              </w:rPr>
              <w:t>$25,000</w:t>
            </w:r>
          </w:p>
        </w:tc>
        <w:tc>
          <w:tcPr>
            <w:tcW w:type="dxa" w:w="3888"/>
            <w:tcMar>
              <w:top w:w="80" w:type="dxa"/>
              <w:start w:w="120" w:type="dxa"/>
              <w:bottom w:w="80" w:type="dxa"/>
              <w:end w:w="120" w:type="dxa"/>
            </w:tcMar>
            <w:vAlign w:val="center"/>
          </w:tcPr>
          <w:p>
            <w:pPr>
              <w:spacing w:after="40"/>
            </w:pPr>
            <w:r>
              <w:rPr>
                <w:rFonts w:ascii="Calibri" w:hAnsi="Calibri"/>
                <w:sz w:val="19"/>
              </w:rPr>
              <w:t>Provided funding requirement.</w:t>
            </w:r>
          </w:p>
        </w:tc>
      </w:tr>
      <w:tr>
        <w:tc>
          <w:tcPr>
            <w:tcW w:type="dxa" w:w="3384"/>
            <w:tcMar>
              <w:top w:w="80" w:type="dxa"/>
              <w:start w:w="120" w:type="dxa"/>
              <w:bottom w:w="80" w:type="dxa"/>
              <w:end w:w="120" w:type="dxa"/>
            </w:tcMar>
            <w:vAlign w:val="center"/>
          </w:tcPr>
          <w:p>
            <w:pPr>
              <w:spacing w:after="40"/>
            </w:pPr>
            <w:r>
              <w:rPr>
                <w:rFonts w:ascii="Calibri" w:hAnsi="Calibri"/>
                <w:sz w:val="19"/>
              </w:rPr>
              <w:t>First/last rent and utility deposits</w:t>
            </w:r>
          </w:p>
        </w:tc>
        <w:tc>
          <w:tcPr>
            <w:tcW w:type="dxa" w:w="1728"/>
            <w:tcMar>
              <w:top w:w="80" w:type="dxa"/>
              <w:start w:w="120" w:type="dxa"/>
              <w:bottom w:w="80" w:type="dxa"/>
              <w:end w:w="120" w:type="dxa"/>
            </w:tcMar>
            <w:vAlign w:val="center"/>
          </w:tcPr>
          <w:p>
            <w:pPr>
              <w:spacing w:after="40"/>
            </w:pPr>
            <w:r>
              <w:rPr>
                <w:rFonts w:ascii="Calibri" w:hAnsi="Calibri"/>
                <w:sz w:val="19"/>
              </w:rPr>
              <w:t>($10,000)</w:t>
            </w:r>
          </w:p>
        </w:tc>
        <w:tc>
          <w:tcPr>
            <w:tcW w:type="dxa" w:w="3888"/>
            <w:tcMar>
              <w:top w:w="80" w:type="dxa"/>
              <w:start w:w="120" w:type="dxa"/>
              <w:bottom w:w="80" w:type="dxa"/>
              <w:end w:w="120" w:type="dxa"/>
            </w:tcMar>
            <w:vAlign w:val="center"/>
          </w:tcPr>
          <w:p>
            <w:pPr>
              <w:spacing w:after="40"/>
            </w:pPr>
            <w:r>
              <w:rPr>
                <w:rFonts w:ascii="Calibri" w:hAnsi="Calibri"/>
                <w:sz w:val="19"/>
              </w:rPr>
              <w:t>Lease cash out before/at opening.</w:t>
            </w:r>
          </w:p>
        </w:tc>
      </w:tr>
      <w:tr>
        <w:tc>
          <w:tcPr>
            <w:tcW w:type="dxa" w:w="3384"/>
            <w:tcMar>
              <w:top w:w="80" w:type="dxa"/>
              <w:start w:w="120" w:type="dxa"/>
              <w:bottom w:w="80" w:type="dxa"/>
              <w:end w:w="120" w:type="dxa"/>
            </w:tcMar>
            <w:vAlign w:val="center"/>
          </w:tcPr>
          <w:p>
            <w:pPr>
              <w:spacing w:after="40"/>
            </w:pPr>
            <w:r>
              <w:rPr>
                <w:rFonts w:ascii="Calibri" w:hAnsi="Calibri"/>
                <w:sz w:val="19"/>
              </w:rPr>
              <w:t>Opening cash till</w:t>
            </w:r>
          </w:p>
        </w:tc>
        <w:tc>
          <w:tcPr>
            <w:tcW w:type="dxa" w:w="1728"/>
            <w:tcMar>
              <w:top w:w="80" w:type="dxa"/>
              <w:start w:w="120" w:type="dxa"/>
              <w:bottom w:w="80" w:type="dxa"/>
              <w:end w:w="120" w:type="dxa"/>
            </w:tcMar>
            <w:vAlign w:val="center"/>
          </w:tcPr>
          <w:p>
            <w:pPr>
              <w:spacing w:after="40"/>
            </w:pPr>
            <w:r>
              <w:rPr>
                <w:rFonts w:ascii="Calibri" w:hAnsi="Calibri"/>
                <w:sz w:val="19"/>
              </w:rPr>
              <w:t>($10,000)</w:t>
            </w:r>
          </w:p>
        </w:tc>
        <w:tc>
          <w:tcPr>
            <w:tcW w:type="dxa" w:w="3888"/>
            <w:tcMar>
              <w:top w:w="80" w:type="dxa"/>
              <w:start w:w="120" w:type="dxa"/>
              <w:bottom w:w="80" w:type="dxa"/>
              <w:end w:w="120" w:type="dxa"/>
            </w:tcMar>
            <w:vAlign w:val="center"/>
          </w:tcPr>
          <w:p>
            <w:pPr>
              <w:spacing w:after="40"/>
            </w:pPr>
            <w:r>
              <w:rPr>
                <w:rFonts w:ascii="Calibri" w:hAnsi="Calibri"/>
                <w:sz w:val="19"/>
              </w:rPr>
              <w:t>Restricted operating cash/change bank; not treated as spend if retained.</w:t>
            </w:r>
          </w:p>
        </w:tc>
      </w:tr>
      <w:tr>
        <w:tc>
          <w:tcPr>
            <w:tcW w:type="dxa" w:w="3384"/>
            <w:tcMar>
              <w:top w:w="80" w:type="dxa"/>
              <w:start w:w="120" w:type="dxa"/>
              <w:bottom w:w="80" w:type="dxa"/>
              <w:end w:w="120" w:type="dxa"/>
            </w:tcMar>
            <w:vAlign w:val="center"/>
          </w:tcPr>
          <w:p>
            <w:pPr>
              <w:spacing w:after="40"/>
            </w:pPr>
            <w:r>
              <w:rPr>
                <w:rFonts w:ascii="Calibri" w:hAnsi="Calibri"/>
                <w:sz w:val="19"/>
              </w:rPr>
              <w:t>Operating buffer retained</w:t>
            </w:r>
          </w:p>
        </w:tc>
        <w:tc>
          <w:tcPr>
            <w:tcW w:type="dxa" w:w="1728"/>
            <w:tcMar>
              <w:top w:w="80" w:type="dxa"/>
              <w:start w:w="120" w:type="dxa"/>
              <w:bottom w:w="80" w:type="dxa"/>
              <w:end w:w="120" w:type="dxa"/>
            </w:tcMar>
            <w:vAlign w:val="center"/>
          </w:tcPr>
          <w:p>
            <w:pPr>
              <w:spacing w:after="40"/>
            </w:pPr>
            <w:r>
              <w:rPr>
                <w:rFonts w:ascii="Calibri" w:hAnsi="Calibri"/>
                <w:sz w:val="19"/>
              </w:rPr>
              <w:t>$5,000</w:t>
            </w:r>
          </w:p>
        </w:tc>
        <w:tc>
          <w:tcPr>
            <w:tcW w:type="dxa" w:w="3888"/>
            <w:tcMar>
              <w:top w:w="80" w:type="dxa"/>
              <w:start w:w="120" w:type="dxa"/>
              <w:bottom w:w="80" w:type="dxa"/>
              <w:end w:w="120" w:type="dxa"/>
            </w:tcMar>
            <w:vAlign w:val="center"/>
          </w:tcPr>
          <w:p>
            <w:pPr>
              <w:spacing w:after="40"/>
            </w:pPr>
            <w:r>
              <w:rPr>
                <w:rFonts w:ascii="Calibri" w:hAnsi="Calibri"/>
                <w:sz w:val="19"/>
              </w:rPr>
              <w:t>Available cushion after deposits/till allocation.</w:t>
            </w:r>
          </w:p>
        </w:tc>
      </w:tr>
      <w:tr>
        <w:tc>
          <w:tcPr>
            <w:tcW w:type="dxa" w:w="3384"/>
            <w:tcMar>
              <w:top w:w="80" w:type="dxa"/>
              <w:start w:w="120" w:type="dxa"/>
              <w:bottom w:w="80" w:type="dxa"/>
              <w:end w:w="120" w:type="dxa"/>
            </w:tcMar>
            <w:vAlign w:val="center"/>
          </w:tcPr>
          <w:p>
            <w:pPr>
              <w:spacing w:after="40"/>
            </w:pPr>
            <w:r>
              <w:rPr>
                <w:rFonts w:ascii="Calibri" w:hAnsi="Calibri"/>
                <w:sz w:val="19"/>
              </w:rPr>
              <w:t>Year 1 operating surplus</w:t>
            </w:r>
          </w:p>
        </w:tc>
        <w:tc>
          <w:tcPr>
            <w:tcW w:type="dxa" w:w="1728"/>
            <w:tcMar>
              <w:top w:w="80" w:type="dxa"/>
              <w:start w:w="120" w:type="dxa"/>
              <w:bottom w:w="80" w:type="dxa"/>
              <w:end w:w="120" w:type="dxa"/>
            </w:tcMar>
            <w:vAlign w:val="center"/>
          </w:tcPr>
          <w:p>
            <w:pPr>
              <w:spacing w:after="40"/>
            </w:pPr>
            <w:r>
              <w:rPr>
                <w:rFonts w:ascii="Calibri" w:hAnsi="Calibri"/>
                <w:sz w:val="19"/>
              </w:rPr>
              <w:t>$53,717</w:t>
            </w:r>
          </w:p>
        </w:tc>
        <w:tc>
          <w:tcPr>
            <w:tcW w:type="dxa" w:w="3888"/>
            <w:tcMar>
              <w:top w:w="80" w:type="dxa"/>
              <w:start w:w="120" w:type="dxa"/>
              <w:bottom w:w="80" w:type="dxa"/>
              <w:end w:w="120" w:type="dxa"/>
            </w:tcMar>
            <w:vAlign w:val="center"/>
          </w:tcPr>
          <w:p>
            <w:pPr>
              <w:spacing w:after="40"/>
            </w:pPr>
            <w:r>
              <w:rPr>
                <w:rFonts w:ascii="Calibri" w:hAnsi="Calibri"/>
                <w:sz w:val="19"/>
              </w:rPr>
              <w:t>Before taxes, debt service, depreciation, and owner distributions.</w:t>
            </w:r>
          </w:p>
        </w:tc>
      </w:tr>
      <w:tr>
        <w:tc>
          <w:tcPr>
            <w:tcW w:type="dxa" w:w="3384"/>
            <w:tcMar>
              <w:top w:w="80" w:type="dxa"/>
              <w:start w:w="120" w:type="dxa"/>
              <w:bottom w:w="80" w:type="dxa"/>
              <w:end w:w="120" w:type="dxa"/>
            </w:tcMar>
            <w:vAlign w:val="center"/>
          </w:tcPr>
          <w:p>
            <w:pPr>
              <w:spacing w:after="40"/>
            </w:pPr>
            <w:r>
              <w:rPr>
                <w:rFonts w:ascii="Calibri" w:hAnsi="Calibri"/>
                <w:sz w:val="19"/>
              </w:rPr>
              <w:t>Estimated end-of-year operating cash before distributions</w:t>
            </w:r>
          </w:p>
        </w:tc>
        <w:tc>
          <w:tcPr>
            <w:tcW w:type="dxa" w:w="1728"/>
            <w:tcMar>
              <w:top w:w="80" w:type="dxa"/>
              <w:start w:w="120" w:type="dxa"/>
              <w:bottom w:w="80" w:type="dxa"/>
              <w:end w:w="120" w:type="dxa"/>
            </w:tcMar>
            <w:vAlign w:val="center"/>
          </w:tcPr>
          <w:p>
            <w:pPr>
              <w:spacing w:after="40"/>
            </w:pPr>
            <w:r>
              <w:rPr>
                <w:rFonts w:ascii="Calibri" w:hAnsi="Calibri"/>
                <w:sz w:val="19"/>
              </w:rPr>
              <w:t>$58,717</w:t>
            </w:r>
          </w:p>
        </w:tc>
        <w:tc>
          <w:tcPr>
            <w:tcW w:type="dxa" w:w="3888"/>
            <w:tcMar>
              <w:top w:w="80" w:type="dxa"/>
              <w:start w:w="120" w:type="dxa"/>
              <w:bottom w:w="80" w:type="dxa"/>
              <w:end w:w="120" w:type="dxa"/>
            </w:tcMar>
            <w:vAlign w:val="center"/>
          </w:tcPr>
          <w:p>
            <w:pPr>
              <w:spacing w:after="40"/>
            </w:pPr>
            <w:r>
              <w:rPr>
                <w:rFonts w:ascii="Calibri" w:hAnsi="Calibri"/>
                <w:sz w:val="19"/>
              </w:rPr>
              <w:t>Assumes no debt service and no unbudgeted buildout/equipment purchases.</w:t>
            </w:r>
          </w:p>
        </w:tc>
      </w:tr>
      <w:tr>
        <w:tc>
          <w:tcPr>
            <w:tcW w:type="dxa" w:w="3384"/>
            <w:tcMar>
              <w:top w:w="80" w:type="dxa"/>
              <w:start w:w="120" w:type="dxa"/>
              <w:bottom w:w="80" w:type="dxa"/>
              <w:end w:w="120" w:type="dxa"/>
            </w:tcMar>
            <w:vAlign w:val="center"/>
          </w:tcPr>
          <w:p>
            <w:pPr>
              <w:spacing w:after="40"/>
            </w:pPr>
            <w:r>
              <w:rPr>
                <w:rFonts w:ascii="Calibri" w:hAnsi="Calibri"/>
                <w:sz w:val="19"/>
              </w:rPr>
              <w:t>Arrow grant proceeds after opening</w:t>
            </w:r>
          </w:p>
        </w:tc>
        <w:tc>
          <w:tcPr>
            <w:tcW w:type="dxa" w:w="1728"/>
            <w:tcMar>
              <w:top w:w="80" w:type="dxa"/>
              <w:start w:w="120" w:type="dxa"/>
              <w:bottom w:w="80" w:type="dxa"/>
              <w:end w:w="120" w:type="dxa"/>
            </w:tcMar>
            <w:vAlign w:val="center"/>
          </w:tcPr>
          <w:p>
            <w:pPr>
              <w:spacing w:after="40"/>
            </w:pPr>
            <w:r>
              <w:rPr>
                <w:rFonts w:ascii="Calibri" w:hAnsi="Calibri"/>
                <w:sz w:val="19"/>
              </w:rPr>
              <w:t>$25,000-$35,000</w:t>
            </w:r>
          </w:p>
        </w:tc>
        <w:tc>
          <w:tcPr>
            <w:tcW w:type="dxa" w:w="3888"/>
            <w:tcMar>
              <w:top w:w="80" w:type="dxa"/>
              <w:start w:w="120" w:type="dxa"/>
              <w:bottom w:w="80" w:type="dxa"/>
              <w:end w:w="120" w:type="dxa"/>
            </w:tcMar>
            <w:vAlign w:val="center"/>
          </w:tcPr>
          <w:p>
            <w:pPr>
              <w:spacing w:after="40"/>
            </w:pPr>
            <w:r>
              <w:rPr>
                <w:rFonts w:ascii="Calibri" w:hAnsi="Calibri"/>
                <w:sz w:val="19"/>
              </w:rPr>
              <w:t>Not included in operating surplus; improves cash runway when received.</w:t>
            </w:r>
          </w:p>
        </w:tc>
      </w:tr>
      <w:tr>
        <w:tc>
          <w:tcPr>
            <w:tcW w:type="dxa" w:w="3384"/>
            <w:tcMar>
              <w:top w:w="80" w:type="dxa"/>
              <w:start w:w="120" w:type="dxa"/>
              <w:bottom w:w="80" w:type="dxa"/>
              <w:end w:w="120" w:type="dxa"/>
            </w:tcMar>
            <w:vAlign w:val="center"/>
          </w:tcPr>
          <w:p>
            <w:pPr>
              <w:spacing w:after="40"/>
            </w:pPr>
            <w:r>
              <w:rPr>
                <w:rFonts w:ascii="Calibri" w:hAnsi="Calibri"/>
                <w:sz w:val="19"/>
              </w:rPr>
              <w:t>Estimated end-of-year cash including Arrow grant</w:t>
            </w:r>
          </w:p>
        </w:tc>
        <w:tc>
          <w:tcPr>
            <w:tcW w:type="dxa" w:w="1728"/>
            <w:tcMar>
              <w:top w:w="80" w:type="dxa"/>
              <w:start w:w="120" w:type="dxa"/>
              <w:bottom w:w="80" w:type="dxa"/>
              <w:end w:w="120" w:type="dxa"/>
            </w:tcMar>
            <w:vAlign w:val="center"/>
          </w:tcPr>
          <w:p>
            <w:pPr>
              <w:spacing w:after="40"/>
            </w:pPr>
            <w:r>
              <w:rPr>
                <w:rFonts w:ascii="Calibri" w:hAnsi="Calibri"/>
                <w:sz w:val="19"/>
              </w:rPr>
              <w:t>$83,717-$93,717</w:t>
            </w:r>
          </w:p>
        </w:tc>
        <w:tc>
          <w:tcPr>
            <w:tcW w:type="dxa" w:w="3888"/>
            <w:tcMar>
              <w:top w:w="80" w:type="dxa"/>
              <w:start w:w="120" w:type="dxa"/>
              <w:bottom w:w="80" w:type="dxa"/>
              <w:end w:w="120" w:type="dxa"/>
            </w:tcMar>
            <w:vAlign w:val="center"/>
          </w:tcPr>
          <w:p>
            <w:pPr>
              <w:spacing w:after="40"/>
            </w:pPr>
            <w:r>
              <w:rPr>
                <w:rFonts w:ascii="Calibri" w:hAnsi="Calibri"/>
                <w:sz w:val="19"/>
              </w:rPr>
              <w:t>Assumes written grant terms are satisfied and funds are received in Year 1.</w:t>
            </w:r>
          </w:p>
        </w:tc>
      </w:tr>
    </w:tbl>
    <w:p/>
    <w:p>
      <w:pPr>
        <w:spacing w:after="120"/>
      </w:pPr>
      <w:r>
        <w:t>[GAP: Tax status, depreciation, debt service, payroll structure, and owner/manager compensation policy were not provided. The projection should not be used for tax or lending approval without those details.]</w:t>
      </w:r>
    </w:p>
    <w:p>
      <w:pPr>
        <w:pStyle w:val="Heading2"/>
      </w:pPr>
      <w:r>
        <w:t>Break-Even View</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5040"/>
            <w:tcMar>
              <w:top w:w="80" w:type="dxa"/>
              <w:start w:w="120" w:type="dxa"/>
              <w:bottom w:w="80" w:type="dxa"/>
              <w:end w:w="120" w:type="dxa"/>
            </w:tcMar>
            <w:vAlign w:val="center"/>
            <w:shd w:fill="F2F4F7"/>
          </w:tcPr>
          <w:p>
            <w:pPr>
              <w:spacing w:after="40"/>
            </w:pPr>
            <w:r>
              <w:rPr>
                <w:rFonts w:ascii="Calibri" w:hAnsi="Calibri"/>
                <w:b/>
                <w:color w:val="1F4D78"/>
                <w:sz w:val="19"/>
              </w:rPr>
              <w:t>Break-even metric</w:t>
            </w:r>
          </w:p>
        </w:tc>
        <w:tc>
          <w:tcPr>
            <w:tcW w:type="dxa" w:w="3960"/>
            <w:tcMar>
              <w:top w:w="80" w:type="dxa"/>
              <w:start w:w="120" w:type="dxa"/>
              <w:bottom w:w="80" w:type="dxa"/>
              <w:end w:w="120" w:type="dxa"/>
            </w:tcMar>
            <w:vAlign w:val="center"/>
            <w:shd w:fill="F2F4F7"/>
          </w:tcPr>
          <w:p>
            <w:pPr>
              <w:spacing w:after="40"/>
            </w:pPr>
            <w:r>
              <w:rPr>
                <w:rFonts w:ascii="Calibri" w:hAnsi="Calibri"/>
                <w:b/>
                <w:color w:val="1F4D78"/>
                <w:sz w:val="19"/>
              </w:rPr>
              <w:t>Base-case estimate</w:t>
            </w:r>
          </w:p>
        </w:tc>
      </w:tr>
      <w:tr>
        <w:tc>
          <w:tcPr>
            <w:tcW w:type="dxa" w:w="5040"/>
            <w:tcMar>
              <w:top w:w="80" w:type="dxa"/>
              <w:start w:w="120" w:type="dxa"/>
              <w:bottom w:w="80" w:type="dxa"/>
              <w:end w:w="120" w:type="dxa"/>
            </w:tcMar>
            <w:vAlign w:val="center"/>
          </w:tcPr>
          <w:p>
            <w:pPr>
              <w:spacing w:after="40"/>
            </w:pPr>
            <w:r>
              <w:rPr>
                <w:rFonts w:ascii="Calibri" w:hAnsi="Calibri"/>
                <w:sz w:val="19"/>
              </w:rPr>
              <w:t>Estimated annual fixed operating costs</w:t>
            </w:r>
          </w:p>
        </w:tc>
        <w:tc>
          <w:tcPr>
            <w:tcW w:type="dxa" w:w="3960"/>
            <w:tcMar>
              <w:top w:w="80" w:type="dxa"/>
              <w:start w:w="120" w:type="dxa"/>
              <w:bottom w:w="80" w:type="dxa"/>
              <w:end w:w="120" w:type="dxa"/>
            </w:tcMar>
            <w:vAlign w:val="center"/>
          </w:tcPr>
          <w:p>
            <w:pPr>
              <w:spacing w:after="40"/>
            </w:pPr>
            <w:r>
              <w:rPr>
                <w:rFonts w:ascii="Calibri" w:hAnsi="Calibri"/>
                <w:sz w:val="19"/>
              </w:rPr>
              <w:t>$153,534</w:t>
            </w:r>
          </w:p>
        </w:tc>
      </w:tr>
      <w:tr>
        <w:tc>
          <w:tcPr>
            <w:tcW w:type="dxa" w:w="5040"/>
            <w:tcMar>
              <w:top w:w="80" w:type="dxa"/>
              <w:start w:w="120" w:type="dxa"/>
              <w:bottom w:w="80" w:type="dxa"/>
              <w:end w:w="120" w:type="dxa"/>
            </w:tcMar>
            <w:vAlign w:val="center"/>
          </w:tcPr>
          <w:p>
            <w:pPr>
              <w:spacing w:after="40"/>
            </w:pPr>
            <w:r>
              <w:rPr>
                <w:rFonts w:ascii="Calibri" w:hAnsi="Calibri"/>
                <w:sz w:val="19"/>
              </w:rPr>
              <w:t>Estimated variable cost rate</w:t>
            </w:r>
          </w:p>
        </w:tc>
        <w:tc>
          <w:tcPr>
            <w:tcW w:type="dxa" w:w="3960"/>
            <w:tcMar>
              <w:top w:w="80" w:type="dxa"/>
              <w:start w:w="120" w:type="dxa"/>
              <w:bottom w:w="80" w:type="dxa"/>
              <w:end w:w="120" w:type="dxa"/>
            </w:tcMar>
            <w:vAlign w:val="center"/>
          </w:tcPr>
          <w:p>
            <w:pPr>
              <w:spacing w:after="40"/>
            </w:pPr>
            <w:r>
              <w:rPr>
                <w:rFonts w:ascii="Calibri" w:hAnsi="Calibri"/>
                <w:sz w:val="19"/>
              </w:rPr>
              <w:t>13.5% of revenue</w:t>
            </w:r>
          </w:p>
        </w:tc>
      </w:tr>
      <w:tr>
        <w:tc>
          <w:tcPr>
            <w:tcW w:type="dxa" w:w="5040"/>
            <w:tcMar>
              <w:top w:w="80" w:type="dxa"/>
              <w:start w:w="120" w:type="dxa"/>
              <w:bottom w:w="80" w:type="dxa"/>
              <w:end w:w="120" w:type="dxa"/>
            </w:tcMar>
            <w:vAlign w:val="center"/>
          </w:tcPr>
          <w:p>
            <w:pPr>
              <w:spacing w:after="40"/>
            </w:pPr>
            <w:r>
              <w:rPr>
                <w:rFonts w:ascii="Calibri" w:hAnsi="Calibri"/>
                <w:sz w:val="19"/>
              </w:rPr>
              <w:t>Contribution margin</w:t>
            </w:r>
          </w:p>
        </w:tc>
        <w:tc>
          <w:tcPr>
            <w:tcW w:type="dxa" w:w="3960"/>
            <w:tcMar>
              <w:top w:w="80" w:type="dxa"/>
              <w:start w:w="120" w:type="dxa"/>
              <w:bottom w:w="80" w:type="dxa"/>
              <w:end w:w="120" w:type="dxa"/>
            </w:tcMar>
            <w:vAlign w:val="center"/>
          </w:tcPr>
          <w:p>
            <w:pPr>
              <w:spacing w:after="40"/>
            </w:pPr>
            <w:r>
              <w:rPr>
                <w:rFonts w:ascii="Calibri" w:hAnsi="Calibri"/>
                <w:sz w:val="19"/>
              </w:rPr>
              <w:t>86.5%</w:t>
            </w:r>
          </w:p>
        </w:tc>
      </w:tr>
      <w:tr>
        <w:tc>
          <w:tcPr>
            <w:tcW w:type="dxa" w:w="5040"/>
            <w:tcMar>
              <w:top w:w="80" w:type="dxa"/>
              <w:start w:w="120" w:type="dxa"/>
              <w:bottom w:w="80" w:type="dxa"/>
              <w:end w:w="120" w:type="dxa"/>
            </w:tcMar>
            <w:vAlign w:val="center"/>
          </w:tcPr>
          <w:p>
            <w:pPr>
              <w:spacing w:after="40"/>
            </w:pPr>
            <w:r>
              <w:rPr>
                <w:rFonts w:ascii="Calibri" w:hAnsi="Calibri"/>
                <w:sz w:val="19"/>
              </w:rPr>
              <w:t>Annual break-even revenue</w:t>
            </w:r>
          </w:p>
        </w:tc>
        <w:tc>
          <w:tcPr>
            <w:tcW w:type="dxa" w:w="3960"/>
            <w:tcMar>
              <w:top w:w="80" w:type="dxa"/>
              <w:start w:w="120" w:type="dxa"/>
              <w:bottom w:w="80" w:type="dxa"/>
              <w:end w:w="120" w:type="dxa"/>
            </w:tcMar>
            <w:vAlign w:val="center"/>
          </w:tcPr>
          <w:p>
            <w:pPr>
              <w:spacing w:after="40"/>
            </w:pPr>
            <w:r>
              <w:rPr>
                <w:rFonts w:ascii="Calibri" w:hAnsi="Calibri"/>
                <w:sz w:val="19"/>
              </w:rPr>
              <w:t>$177,496</w:t>
            </w:r>
          </w:p>
        </w:tc>
      </w:tr>
      <w:tr>
        <w:tc>
          <w:tcPr>
            <w:tcW w:type="dxa" w:w="5040"/>
            <w:tcMar>
              <w:top w:w="80" w:type="dxa"/>
              <w:start w:w="120" w:type="dxa"/>
              <w:bottom w:w="80" w:type="dxa"/>
              <w:end w:w="120" w:type="dxa"/>
            </w:tcMar>
            <w:vAlign w:val="center"/>
          </w:tcPr>
          <w:p>
            <w:pPr>
              <w:spacing w:after="40"/>
            </w:pPr>
            <w:r>
              <w:rPr>
                <w:rFonts w:ascii="Calibri" w:hAnsi="Calibri"/>
                <w:sz w:val="19"/>
              </w:rPr>
              <w:t>Monthly break-even revenue</w:t>
            </w:r>
          </w:p>
        </w:tc>
        <w:tc>
          <w:tcPr>
            <w:tcW w:type="dxa" w:w="3960"/>
            <w:tcMar>
              <w:top w:w="80" w:type="dxa"/>
              <w:start w:w="120" w:type="dxa"/>
              <w:bottom w:w="80" w:type="dxa"/>
              <w:end w:w="120" w:type="dxa"/>
            </w:tcMar>
            <w:vAlign w:val="center"/>
          </w:tcPr>
          <w:p>
            <w:pPr>
              <w:spacing w:after="40"/>
            </w:pPr>
            <w:r>
              <w:rPr>
                <w:rFonts w:ascii="Calibri" w:hAnsi="Calibri"/>
                <w:sz w:val="19"/>
              </w:rPr>
              <w:t>$14,791</w:t>
            </w:r>
          </w:p>
        </w:tc>
      </w:tr>
      <w:tr>
        <w:tc>
          <w:tcPr>
            <w:tcW w:type="dxa" w:w="5040"/>
            <w:tcMar>
              <w:top w:w="80" w:type="dxa"/>
              <w:start w:w="120" w:type="dxa"/>
              <w:bottom w:w="80" w:type="dxa"/>
              <w:end w:w="120" w:type="dxa"/>
            </w:tcMar>
            <w:vAlign w:val="center"/>
          </w:tcPr>
          <w:p>
            <w:pPr>
              <w:spacing w:after="40"/>
            </w:pPr>
            <w:r>
              <w:rPr>
                <w:rFonts w:ascii="Calibri" w:hAnsi="Calibri"/>
                <w:sz w:val="19"/>
              </w:rPr>
              <w:t>Required drop-in equivalent at $14 ticket</w:t>
            </w:r>
          </w:p>
        </w:tc>
        <w:tc>
          <w:tcPr>
            <w:tcW w:type="dxa" w:w="3960"/>
            <w:tcMar>
              <w:top w:w="80" w:type="dxa"/>
              <w:start w:w="120" w:type="dxa"/>
              <w:bottom w:w="80" w:type="dxa"/>
              <w:end w:w="120" w:type="dxa"/>
            </w:tcMar>
            <w:vAlign w:val="center"/>
          </w:tcPr>
          <w:p>
            <w:pPr>
              <w:spacing w:after="40"/>
            </w:pPr>
            <w:r>
              <w:rPr>
                <w:rFonts w:ascii="Calibri" w:hAnsi="Calibri"/>
                <w:sz w:val="19"/>
              </w:rPr>
              <w:t>35 visits/day if relying only on drop-ins</w:t>
            </w:r>
          </w:p>
        </w:tc>
      </w:tr>
      <w:tr>
        <w:tc>
          <w:tcPr>
            <w:tcW w:type="dxa" w:w="5040"/>
            <w:tcMar>
              <w:top w:w="80" w:type="dxa"/>
              <w:start w:w="120" w:type="dxa"/>
              <w:bottom w:w="80" w:type="dxa"/>
              <w:end w:w="120" w:type="dxa"/>
            </w:tcMar>
            <w:vAlign w:val="center"/>
          </w:tcPr>
          <w:p>
            <w:pPr>
              <w:spacing w:after="40"/>
            </w:pPr>
            <w:r>
              <w:rPr>
                <w:rFonts w:ascii="Calibri" w:hAnsi="Calibri"/>
                <w:sz w:val="19"/>
              </w:rPr>
              <w:t>Base-case Year 1 revenue</w:t>
            </w:r>
          </w:p>
        </w:tc>
        <w:tc>
          <w:tcPr>
            <w:tcW w:type="dxa" w:w="3960"/>
            <w:tcMar>
              <w:top w:w="80" w:type="dxa"/>
              <w:start w:w="120" w:type="dxa"/>
              <w:bottom w:w="80" w:type="dxa"/>
              <w:end w:w="120" w:type="dxa"/>
            </w:tcMar>
            <w:vAlign w:val="center"/>
          </w:tcPr>
          <w:p>
            <w:pPr>
              <w:spacing w:after="40"/>
            </w:pPr>
            <w:r>
              <w:rPr>
                <w:rFonts w:ascii="Calibri" w:hAnsi="Calibri"/>
                <w:sz w:val="19"/>
              </w:rPr>
              <w:t>$219,782</w:t>
            </w:r>
          </w:p>
        </w:tc>
      </w:tr>
      <w:tr>
        <w:tc>
          <w:tcPr>
            <w:tcW w:type="dxa" w:w="5040"/>
            <w:tcMar>
              <w:top w:w="80" w:type="dxa"/>
              <w:start w:w="120" w:type="dxa"/>
              <w:bottom w:w="80" w:type="dxa"/>
              <w:end w:w="120" w:type="dxa"/>
            </w:tcMar>
            <w:vAlign w:val="center"/>
          </w:tcPr>
          <w:p>
            <w:pPr>
              <w:spacing w:after="40"/>
            </w:pPr>
            <w:r>
              <w:rPr>
                <w:rFonts w:ascii="Calibri" w:hAnsi="Calibri"/>
                <w:sz w:val="19"/>
              </w:rPr>
              <w:t>Year 1 margin above break-even</w:t>
            </w:r>
          </w:p>
        </w:tc>
        <w:tc>
          <w:tcPr>
            <w:tcW w:type="dxa" w:w="3960"/>
            <w:tcMar>
              <w:top w:w="80" w:type="dxa"/>
              <w:start w:w="120" w:type="dxa"/>
              <w:bottom w:w="80" w:type="dxa"/>
              <w:end w:w="120" w:type="dxa"/>
            </w:tcMar>
            <w:vAlign w:val="center"/>
          </w:tcPr>
          <w:p>
            <w:pPr>
              <w:spacing w:after="40"/>
            </w:pPr>
            <w:r>
              <w:rPr>
                <w:rFonts w:ascii="Calibri" w:hAnsi="Calibri"/>
                <w:sz w:val="19"/>
              </w:rPr>
              <w:t>$42,286</w:t>
            </w:r>
          </w:p>
        </w:tc>
      </w:tr>
    </w:tbl>
    <w:p/>
    <w:p>
      <w:pPr>
        <w:spacing w:after="120"/>
      </w:pPr>
      <w:r>
        <w:t>The base case clears break-even, and Arrow's post-opening grant materially improves cash runway after launch. The remaining risk is timing: if paid traffic is weak before the grant arrives, or if insurance/buildout costs are higher than expected, the lounge may still need additional short-term working capital. The board should require a 90-day pre-opening sales plan and weekly launch dashboard.</w:t>
      </w:r>
    </w:p>
    <w:p>
      <w:pPr>
        <w:pStyle w:val="Heading2"/>
      </w:pPr>
      <w:r>
        <w:t>Sensitivity Check</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376"/>
            <w:tcMar>
              <w:top w:w="80" w:type="dxa"/>
              <w:start w:w="120" w:type="dxa"/>
              <w:bottom w:w="80" w:type="dxa"/>
              <w:end w:w="120" w:type="dxa"/>
            </w:tcMar>
            <w:vAlign w:val="center"/>
            <w:shd w:fill="F2F4F7"/>
          </w:tcPr>
          <w:p>
            <w:pPr>
              <w:spacing w:after="40"/>
            </w:pPr>
            <w:r>
              <w:rPr>
                <w:rFonts w:ascii="Calibri" w:hAnsi="Calibri"/>
                <w:b/>
                <w:color w:val="1F4D78"/>
                <w:sz w:val="19"/>
              </w:rPr>
              <w:t>Scenario</w:t>
            </w:r>
          </w:p>
        </w:tc>
        <w:tc>
          <w:tcPr>
            <w:tcW w:type="dxa" w:w="2808"/>
            <w:tcMar>
              <w:top w:w="80" w:type="dxa"/>
              <w:start w:w="120" w:type="dxa"/>
              <w:bottom w:w="80" w:type="dxa"/>
              <w:end w:w="120" w:type="dxa"/>
            </w:tcMar>
            <w:vAlign w:val="center"/>
            <w:shd w:fill="F2F4F7"/>
          </w:tcPr>
          <w:p>
            <w:pPr>
              <w:spacing w:after="40"/>
            </w:pPr>
            <w:r>
              <w:rPr>
                <w:rFonts w:ascii="Calibri" w:hAnsi="Calibri"/>
                <w:b/>
                <w:color w:val="1F4D78"/>
                <w:sz w:val="19"/>
              </w:rPr>
              <w:t>Revenue impact</w:t>
            </w:r>
          </w:p>
        </w:tc>
        <w:tc>
          <w:tcPr>
            <w:tcW w:type="dxa" w:w="3816"/>
            <w:tcMar>
              <w:top w:w="80" w:type="dxa"/>
              <w:start w:w="120" w:type="dxa"/>
              <w:bottom w:w="80" w:type="dxa"/>
              <w:end w:w="120" w:type="dxa"/>
            </w:tcMar>
            <w:vAlign w:val="center"/>
            <w:shd w:fill="F2F4F7"/>
          </w:tcPr>
          <w:p>
            <w:pPr>
              <w:spacing w:after="40"/>
            </w:pPr>
            <w:r>
              <w:rPr>
                <w:rFonts w:ascii="Calibri" w:hAnsi="Calibri"/>
                <w:b/>
                <w:color w:val="1F4D78"/>
                <w:sz w:val="19"/>
              </w:rPr>
              <w:t>Likely result</w:t>
            </w:r>
          </w:p>
        </w:tc>
      </w:tr>
      <w:tr>
        <w:tc>
          <w:tcPr>
            <w:tcW w:type="dxa" w:w="2376"/>
            <w:tcMar>
              <w:top w:w="80" w:type="dxa"/>
              <w:start w:w="120" w:type="dxa"/>
              <w:bottom w:w="80" w:type="dxa"/>
              <w:end w:w="120" w:type="dxa"/>
            </w:tcMar>
            <w:vAlign w:val="center"/>
          </w:tcPr>
          <w:p>
            <w:pPr>
              <w:spacing w:after="40"/>
            </w:pPr>
            <w:r>
              <w:rPr>
                <w:rFonts w:ascii="Calibri" w:hAnsi="Calibri"/>
                <w:sz w:val="19"/>
              </w:rPr>
              <w:t>Base case</w:t>
            </w:r>
          </w:p>
        </w:tc>
        <w:tc>
          <w:tcPr>
            <w:tcW w:type="dxa" w:w="2808"/>
            <w:tcMar>
              <w:top w:w="80" w:type="dxa"/>
              <w:start w:w="120" w:type="dxa"/>
              <w:bottom w:w="80" w:type="dxa"/>
              <w:end w:w="120" w:type="dxa"/>
            </w:tcMar>
            <w:vAlign w:val="center"/>
          </w:tcPr>
          <w:p>
            <w:pPr>
              <w:spacing w:after="40"/>
            </w:pPr>
            <w:r>
              <w:rPr>
                <w:rFonts w:ascii="Calibri" w:hAnsi="Calibri"/>
                <w:sz w:val="19"/>
              </w:rPr>
              <w:t>$219,782 Year 1 revenue</w:t>
            </w:r>
          </w:p>
        </w:tc>
        <w:tc>
          <w:tcPr>
            <w:tcW w:type="dxa" w:w="3816"/>
            <w:tcMar>
              <w:top w:w="80" w:type="dxa"/>
              <w:start w:w="120" w:type="dxa"/>
              <w:bottom w:w="80" w:type="dxa"/>
              <w:end w:w="120" w:type="dxa"/>
            </w:tcMar>
            <w:vAlign w:val="center"/>
          </w:tcPr>
          <w:p>
            <w:pPr>
              <w:spacing w:after="40"/>
            </w:pPr>
            <w:r>
              <w:rPr>
                <w:rFonts w:ascii="Calibri" w:hAnsi="Calibri"/>
                <w:sz w:val="19"/>
              </w:rPr>
              <w:t>$53,717 operating surplus before taxes/debt/depreciation.</w:t>
            </w:r>
          </w:p>
        </w:tc>
      </w:tr>
      <w:tr>
        <w:tc>
          <w:tcPr>
            <w:tcW w:type="dxa" w:w="2376"/>
            <w:tcMar>
              <w:top w:w="80" w:type="dxa"/>
              <w:start w:w="120" w:type="dxa"/>
              <w:bottom w:w="80" w:type="dxa"/>
              <w:end w:w="120" w:type="dxa"/>
            </w:tcMar>
            <w:vAlign w:val="center"/>
          </w:tcPr>
          <w:p>
            <w:pPr>
              <w:spacing w:after="40"/>
            </w:pPr>
            <w:r>
              <w:rPr>
                <w:rFonts w:ascii="Calibri" w:hAnsi="Calibri"/>
                <w:sz w:val="19"/>
              </w:rPr>
              <w:t>Traffic 20% below plan</w:t>
            </w:r>
          </w:p>
        </w:tc>
        <w:tc>
          <w:tcPr>
            <w:tcW w:type="dxa" w:w="2808"/>
            <w:tcMar>
              <w:top w:w="80" w:type="dxa"/>
              <w:start w:w="120" w:type="dxa"/>
              <w:bottom w:w="80" w:type="dxa"/>
              <w:end w:w="120" w:type="dxa"/>
            </w:tcMar>
            <w:vAlign w:val="center"/>
          </w:tcPr>
          <w:p>
            <w:pPr>
              <w:spacing w:after="40"/>
            </w:pPr>
            <w:r>
              <w:rPr>
                <w:rFonts w:ascii="Calibri" w:hAnsi="Calibri"/>
                <w:sz w:val="19"/>
              </w:rPr>
              <w:t>Approx. $191,827 revenue</w:t>
            </w:r>
          </w:p>
        </w:tc>
        <w:tc>
          <w:tcPr>
            <w:tcW w:type="dxa" w:w="3816"/>
            <w:tcMar>
              <w:top w:w="80" w:type="dxa"/>
              <w:start w:w="120" w:type="dxa"/>
              <w:bottom w:w="80" w:type="dxa"/>
              <w:end w:w="120" w:type="dxa"/>
            </w:tcMar>
            <w:vAlign w:val="center"/>
          </w:tcPr>
          <w:p>
            <w:pPr>
              <w:spacing w:after="40"/>
            </w:pPr>
            <w:r>
              <w:rPr>
                <w:rFonts w:ascii="Calibri" w:hAnsi="Calibri"/>
                <w:sz w:val="19"/>
              </w:rPr>
              <w:t>Surplus falls materially; cash cushion becomes thin but may remain positive if labor flexes.</w:t>
            </w:r>
          </w:p>
        </w:tc>
      </w:tr>
      <w:tr>
        <w:tc>
          <w:tcPr>
            <w:tcW w:type="dxa" w:w="2376"/>
            <w:tcMar>
              <w:top w:w="80" w:type="dxa"/>
              <w:start w:w="120" w:type="dxa"/>
              <w:bottom w:w="80" w:type="dxa"/>
              <w:end w:w="120" w:type="dxa"/>
            </w:tcMar>
            <w:vAlign w:val="center"/>
          </w:tcPr>
          <w:p>
            <w:pPr>
              <w:spacing w:after="40"/>
            </w:pPr>
            <w:r>
              <w:rPr>
                <w:rFonts w:ascii="Calibri" w:hAnsi="Calibri"/>
                <w:sz w:val="19"/>
              </w:rPr>
              <w:t>Traffic 30% below plan</w:t>
            </w:r>
          </w:p>
        </w:tc>
        <w:tc>
          <w:tcPr>
            <w:tcW w:type="dxa" w:w="2808"/>
            <w:tcMar>
              <w:top w:w="80" w:type="dxa"/>
              <w:start w:w="120" w:type="dxa"/>
              <w:bottom w:w="80" w:type="dxa"/>
              <w:end w:w="120" w:type="dxa"/>
            </w:tcMar>
            <w:vAlign w:val="center"/>
          </w:tcPr>
          <w:p>
            <w:pPr>
              <w:spacing w:after="40"/>
            </w:pPr>
            <w:r>
              <w:rPr>
                <w:rFonts w:ascii="Calibri" w:hAnsi="Calibri"/>
                <w:sz w:val="19"/>
              </w:rPr>
              <w:t>Approx. $177,860 revenue</w:t>
            </w:r>
          </w:p>
        </w:tc>
        <w:tc>
          <w:tcPr>
            <w:tcW w:type="dxa" w:w="3816"/>
            <w:tcMar>
              <w:top w:w="80" w:type="dxa"/>
              <w:start w:w="120" w:type="dxa"/>
              <w:bottom w:w="80" w:type="dxa"/>
              <w:end w:w="120" w:type="dxa"/>
            </w:tcMar>
            <w:vAlign w:val="center"/>
          </w:tcPr>
          <w:p>
            <w:pPr>
              <w:spacing w:after="40"/>
            </w:pPr>
            <w:r>
              <w:rPr>
                <w:rFonts w:ascii="Calibri" w:hAnsi="Calibri"/>
                <w:sz w:val="19"/>
              </w:rPr>
              <w:t>Near break-even; additional working capital likely needed.</w:t>
            </w:r>
          </w:p>
        </w:tc>
      </w:tr>
      <w:tr>
        <w:tc>
          <w:tcPr>
            <w:tcW w:type="dxa" w:w="2376"/>
            <w:tcMar>
              <w:top w:w="80" w:type="dxa"/>
              <w:start w:w="120" w:type="dxa"/>
              <w:bottom w:w="80" w:type="dxa"/>
              <w:end w:w="120" w:type="dxa"/>
            </w:tcMar>
            <w:vAlign w:val="center"/>
          </w:tcPr>
          <w:p>
            <w:pPr>
              <w:spacing w:after="40"/>
            </w:pPr>
            <w:r>
              <w:rPr>
                <w:rFonts w:ascii="Calibri" w:hAnsi="Calibri"/>
                <w:sz w:val="19"/>
              </w:rPr>
              <w:t>Events underperform by 50%</w:t>
            </w:r>
          </w:p>
        </w:tc>
        <w:tc>
          <w:tcPr>
            <w:tcW w:type="dxa" w:w="2808"/>
            <w:tcMar>
              <w:top w:w="80" w:type="dxa"/>
              <w:start w:w="120" w:type="dxa"/>
              <w:bottom w:w="80" w:type="dxa"/>
              <w:end w:w="120" w:type="dxa"/>
            </w:tcMar>
            <w:vAlign w:val="center"/>
          </w:tcPr>
          <w:p>
            <w:pPr>
              <w:spacing w:after="40"/>
            </w:pPr>
            <w:r>
              <w:rPr>
                <w:rFonts w:ascii="Calibri" w:hAnsi="Calibri"/>
                <w:sz w:val="19"/>
              </w:rPr>
              <w:t>Revenue down $12,000</w:t>
            </w:r>
          </w:p>
        </w:tc>
        <w:tc>
          <w:tcPr>
            <w:tcW w:type="dxa" w:w="3816"/>
            <w:tcMar>
              <w:top w:w="80" w:type="dxa"/>
              <w:start w:w="120" w:type="dxa"/>
              <w:bottom w:w="80" w:type="dxa"/>
              <w:end w:w="120" w:type="dxa"/>
            </w:tcMar>
            <w:vAlign w:val="center"/>
          </w:tcPr>
          <w:p>
            <w:pPr>
              <w:spacing w:after="40"/>
            </w:pPr>
            <w:r>
              <w:rPr>
                <w:rFonts w:ascii="Calibri" w:hAnsi="Calibri"/>
                <w:sz w:val="19"/>
              </w:rPr>
              <w:t>Still viable if drop-in and membership targets hold.</w:t>
            </w:r>
          </w:p>
        </w:tc>
      </w:tr>
      <w:tr>
        <w:tc>
          <w:tcPr>
            <w:tcW w:type="dxa" w:w="2376"/>
            <w:tcMar>
              <w:top w:w="80" w:type="dxa"/>
              <w:start w:w="120" w:type="dxa"/>
              <w:bottom w:w="80" w:type="dxa"/>
              <w:end w:w="120" w:type="dxa"/>
            </w:tcMar>
            <w:vAlign w:val="center"/>
          </w:tcPr>
          <w:p>
            <w:pPr>
              <w:spacing w:after="40"/>
            </w:pPr>
            <w:r>
              <w:rPr>
                <w:rFonts w:ascii="Calibri" w:hAnsi="Calibri"/>
                <w:sz w:val="19"/>
              </w:rPr>
              <w:t>Rent 10% higher</w:t>
            </w:r>
          </w:p>
        </w:tc>
        <w:tc>
          <w:tcPr>
            <w:tcW w:type="dxa" w:w="2808"/>
            <w:tcMar>
              <w:top w:w="80" w:type="dxa"/>
              <w:start w:w="120" w:type="dxa"/>
              <w:bottom w:w="80" w:type="dxa"/>
              <w:end w:w="120" w:type="dxa"/>
            </w:tcMar>
            <w:vAlign w:val="center"/>
          </w:tcPr>
          <w:p>
            <w:pPr>
              <w:spacing w:after="40"/>
            </w:pPr>
            <w:r>
              <w:rPr>
                <w:rFonts w:ascii="Calibri" w:hAnsi="Calibri"/>
                <w:sz w:val="19"/>
              </w:rPr>
              <w:t>Expense up $4,800/year</w:t>
            </w:r>
          </w:p>
        </w:tc>
        <w:tc>
          <w:tcPr>
            <w:tcW w:type="dxa" w:w="3816"/>
            <w:tcMar>
              <w:top w:w="80" w:type="dxa"/>
              <w:start w:w="120" w:type="dxa"/>
              <w:bottom w:w="80" w:type="dxa"/>
              <w:end w:w="120" w:type="dxa"/>
            </w:tcMar>
            <w:vAlign w:val="center"/>
          </w:tcPr>
          <w:p>
            <w:pPr>
              <w:spacing w:after="40"/>
            </w:pPr>
            <w:r>
              <w:rPr>
                <w:rFonts w:ascii="Calibri" w:hAnsi="Calibri"/>
                <w:sz w:val="19"/>
              </w:rPr>
              <w:t>Manageable only if traffic and membership targets hold.</w:t>
            </w:r>
          </w:p>
        </w:tc>
      </w:tr>
    </w:tbl>
    <w:p/>
    <w:p>
      <w:pPr>
        <w:pStyle w:val="Heading1"/>
      </w:pPr>
      <w:r>
        <w:t>9. Appendix</w:t>
      </w:r>
    </w:p>
    <w:p>
      <w:pPr>
        <w:pStyle w:val="Heading2"/>
      </w:pPr>
      <w:r>
        <w:t>Missing Critical Inputs</w:t>
      </w:r>
    </w:p>
    <w:p>
      <w:pPr>
        <w:pStyle w:val="ListBullet"/>
        <w:spacing w:after="80"/>
      </w:pPr>
      <w:r>
        <w:t>[GAP: Existing financials or confirmation that none exist.]</w:t>
      </w:r>
    </w:p>
    <w:p>
      <w:pPr>
        <w:pStyle w:val="ListBullet"/>
        <w:spacing w:after="80"/>
      </w:pPr>
      <w:r>
        <w:t>[GAP: Deadline for final version and any lease/application submission requirements.]</w:t>
      </w:r>
    </w:p>
    <w:p>
      <w:pPr>
        <w:pStyle w:val="ListBullet"/>
        <w:spacing w:after="80"/>
      </w:pPr>
      <w:r>
        <w:t>[GAP: Exact address, square footage, lease term, escalation, security deposit, tenant improvement responsibilities, insurance obligations, and permitted use clause.]</w:t>
      </w:r>
    </w:p>
    <w:p>
      <w:pPr>
        <w:pStyle w:val="ListBullet"/>
        <w:spacing w:after="80"/>
      </w:pPr>
      <w:r>
        <w:t>[GAP: Written Arrow grant terms, gaming equipment inventory, gaming station count, service standards, replacement plan, furniture list, POS/security/network setup, and what items fall outside Arrow's responsibility.]</w:t>
      </w:r>
    </w:p>
    <w:p>
      <w:pPr>
        <w:pStyle w:val="ListBullet"/>
        <w:spacing w:after="80"/>
      </w:pPr>
      <w:r>
        <w:t>[GAP: Legal entity, tax status, bank account controls, board authorization process, insurance quotes, licenses/permits, and payroll approach.]</w:t>
      </w:r>
    </w:p>
    <w:p>
      <w:pPr>
        <w:pStyle w:val="ListBullet"/>
        <w:spacing w:after="80"/>
      </w:pPr>
      <w:r>
        <w:t>[GAP: Staffing names, compensation commitments, volunteer policy if used, youth safety policy, and background-check requirements where applicable.]</w:t>
      </w:r>
    </w:p>
    <w:p>
      <w:pPr>
        <w:pStyle w:val="Heading2"/>
      </w:pPr>
      <w:r>
        <w:t>First 30 Approval Conditions</w:t>
      </w:r>
    </w:p>
    <w:p>
      <w:pPr>
        <w:pStyle w:val="ListBullet"/>
        <w:spacing w:after="80"/>
      </w:pPr>
      <w:r>
        <w:t>Confirm full lease economics in writing: rent, term, escalations, deposits, utilities, CAM, insurance requirements, signage, buildout responsibilities, and early termination exposure.</w:t>
      </w:r>
    </w:p>
    <w:p>
      <w:pPr>
        <w:pStyle w:val="ListBullet"/>
        <w:spacing w:after="80"/>
      </w:pPr>
      <w:r>
        <w:t>Document all opening assets already secured and identify any unfunded equipment/buildout needs before signing.</w:t>
      </w:r>
    </w:p>
    <w:p>
      <w:pPr>
        <w:pStyle w:val="ListBullet"/>
        <w:spacing w:after="80"/>
      </w:pPr>
      <w:r>
        <w:t>Approve a cash control policy for the $10,000 till and define who can access, reconcile, and deposit funds.</w:t>
      </w:r>
    </w:p>
    <w:p>
      <w:pPr>
        <w:pStyle w:val="ListBullet"/>
        <w:spacing w:after="80"/>
      </w:pPr>
      <w:r>
        <w:t>Obtain insurance quotes and confirm allowed use with landlord and insurer.</w:t>
      </w:r>
    </w:p>
    <w:p>
      <w:pPr>
        <w:pStyle w:val="ListBullet"/>
        <w:spacing w:after="80"/>
      </w:pPr>
      <w:r>
        <w:t>Pre-sell founding memberships, private events, and partner nights to reduce launch-risk guesswork.</w:t>
      </w:r>
    </w:p>
    <w:p>
      <w:pPr>
        <w:pStyle w:val="ListBullet"/>
        <w:spacing w:after="80"/>
      </w:pPr>
      <w:r>
        <w:t>Build a 13-week opening cash forecast using actual lease and staffing numbers.</w:t>
      </w:r>
    </w:p>
    <w:p>
      <w:pPr>
        <w:pStyle w:val="Heading2"/>
      </w:pPr>
      <w:r>
        <w:t>Sources Reviewed</w:t>
      </w:r>
    </w:p>
    <w:p>
      <w:pPr>
        <w:pStyle w:val="ListBullet"/>
        <w:spacing w:after="80"/>
      </w:pPr>
      <w:r>
        <w:t>U.S. Census Bureau QuickFacts, Bowling Green city, Kentucky: https://www.census.gov/quickfacts/fact/table/bowlinggreencitykentucky/PST045224</w:t>
      </w:r>
    </w:p>
    <w:p>
      <w:pPr>
        <w:pStyle w:val="ListBullet"/>
        <w:spacing w:after="80"/>
      </w:pPr>
      <w:r>
        <w:t>WKU News, fall enrollment and retention update: https://www.wku.edu/news/articles/index.php?articleid=12797&amp;view=article</w:t>
      </w:r>
    </w:p>
    <w:p>
      <w:pPr>
        <w:pStyle w:val="ListBullet"/>
        <w:spacing w:after="80"/>
      </w:pPr>
      <w:r>
        <w:t>CommercialCafe, Bowling Green commercial real estate rent context: https://www.commercialcafe.com/commercial-real-estate/us/ky/bowling-green/</w:t>
      </w:r>
    </w:p>
    <w:p>
      <w:pPr>
        <w:pStyle w:val="ListBullet"/>
        <w:spacing w:after="80"/>
      </w:pPr>
      <w:r>
        <w:t>Ralphie's Fun Center arcade page: https://ralphiesfuncenter.com/services/arcade/</w:t>
      </w:r>
    </w:p>
    <w:p>
      <w:pPr>
        <w:pStyle w:val="ListBullet"/>
        <w:spacing w:after="80"/>
      </w:pPr>
      <w:r>
        <w:t>Southern Lanes Family Fun Center: https://www.southernlanesinc.com/</w:t>
      </w:r>
    </w:p>
    <w:p>
      <w:pPr>
        <w:pStyle w:val="ListBullet"/>
        <w:spacing w:after="80"/>
      </w:pPr>
      <w:r>
        <w:t>Boys &amp; Girls Club of Bowling Green Teen Center: https://www.bgcbg.org/teen-center/</w:t>
      </w:r>
    </w:p>
    <w:p>
      <w:pPr>
        <w:pStyle w:val="ListBullet"/>
        <w:spacing w:after="80"/>
      </w:pPr>
      <w:r>
        <w:t>Bowling Green Parks and Recreation athletics/community programming: https://www.bgky.org/bgpr/athletics</w:t>
      </w:r>
    </w:p>
    <w:p>
      <w:pPr>
        <w:pStyle w:val="ListBullet"/>
        <w:spacing w:after="80"/>
      </w:pPr>
      <w:r>
        <w:t>The Mint Gaming Hall Bowling Green: https://themintbowlinggreen.com/</w:t>
      </w:r>
    </w:p>
    <w:p>
      <w:pPr>
        <w:spacing w:after="120"/>
      </w:pPr>
      <w:r>
        <w:t>Research note: external sources were used only for local market context, competitor positioning, and rent reasonableness. All projections are assumption-driven because operating history and confirmed lease/equipment details were not provided.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