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The Golden Door Business Plan</w:t>
      </w:r>
    </w:p>
    <w:p>
      <w:pPr>
        <w:spacing w:after="240"/>
      </w:pPr>
      <w:r>
        <w:rPr>
          <w:rFonts w:ascii="Calibri" w:hAnsi="Calibri"/>
          <w:color w:val="555555"/>
          <w:sz w:val="22"/>
        </w:rPr>
        <w:t>A Common Good Network Inc. charitable gaming location | Bowling Green, Kentucky | Draft prepared for lease approval, application approval, and internal strategy | June 30, 2026</w:t>
      </w:r>
    </w:p>
    <w:p>
      <w:pPr>
        <w:spacing w:after="120"/>
      </w:pPr>
      <w:r>
        <w:rPr>
          <w:b/>
        </w:rPr>
        <w:t>Decision recommendation:</w:t>
      </w:r>
      <w:r>
        <w:t xml:space="preserve"> approve lease pursuit if management verifies Kentucky charitable gaming authority, insurance requirements, operating controls, staffing coverage, and written Arrow terms before signing. The current $25,000 request covers lease-readiness cash, while Arrow's post-opening grant and equipment/service support materially reduce launch risk.</w:t>
      </w:r>
    </w:p>
    <w:p>
      <w:pPr>
        <w:pStyle w:val="Heading1"/>
      </w:pPr>
      <w:r>
        <w:t>1. Executive Summary</w:t>
      </w:r>
    </w:p>
    <w:p>
      <w:pPr>
        <w:spacing w:after="120"/>
      </w:pPr>
      <w:r>
        <w:t>Common Good Network Inc. proposes to open The Golden Door, a Kentucky charitable gaming operation and community gaming lounge in Bowling Green. The launch footprint includes 35 charitable gaming machines, operated 6 days per week for 8 hours per day to start, with Arrow owning and servicing the equipment. The concept should be presented as a regulated charitable gaming facility with a community-centered operating model, not as an arcade, casino, adult bar, or informal gaming room.</w:t>
      </w:r>
    </w:p>
    <w:p>
      <w:pPr>
        <w:spacing w:after="120"/>
      </w:pPr>
      <w:r>
        <w:t>[TERM NOTE: Because the operation will run under Kentucky charitable gaming statutes, use 'Kentucky charitable gaming operation,' 'charitable gaming facility,' or 'charitable gaming lounge,' with compliance language tied to KRS Chapter 238 and 820 KAR Chapter 1.]</w:t>
      </w:r>
    </w:p>
    <w:p>
      <w:pPr>
        <w:spacing w:after="120"/>
      </w:pPr>
      <w:r>
        <w:t>The immediate lease-readiness requirement is $25,000: $10,000 for the opening cash till, $8,000 for first and last month rent, $2,000 for utility deposits, and $5,000 for an operating buffer. Monthly rent is confirmed at $4,000 and includes triple net and CAM. Arrow will grant $25,000-$35,000 once the doors are open and owns/services the 35 machines. [GAP: Charitable gaming license/exemption status, facility authorization, machine type, payout structure, Arrow/vendor split, charitable gaming fees, insurance structure, opening inventory, and pre-opening payroll funding still need confirmation.]</w:t>
      </w:r>
    </w:p>
    <w:p>
      <w:pPr>
        <w:spacing w:after="120"/>
      </w:pPr>
      <w:r>
        <w:t>The local case is credible but must be compliance-led. Bowling Green's growth and WKU's student base support local recreation and fundraising activity, while existing entertainment and adult gaming venues already serve parts of the market. The Golden Door's defensible lane is a properly licensed charitable gaming facility, operated under Common Good Network Inc., with transparent controls, mission use of proceeds, compliant machine operations, and partner/community programming around the core activity.</w:t>
      </w:r>
    </w:p>
    <w:p>
      <w:pPr>
        <w:spacing w:after="120"/>
      </w:pPr>
      <w:r>
        <w:t>GitHub source documents identify the operating model as pull-tabs only under Common Good Network 501(c)(4), with a target gross of $95,000/month, retained net of approximately $44,000/month, and a compliance floor requiring retention of at least 40% of adjusted gross receipts. The weakest assumption is machine-level economics: gross receipts per machine, prizes/payouts, Arrow/vendor share, charitable gaming fees, and required charitable-use restrictions must be confirmed in writing before the board treats projections as final.</w:t>
      </w:r>
    </w:p>
    <w:p>
      <w:pPr>
        <w:spacing w:after="120"/>
      </w:pPr>
      <w:r>
        <w:t>[GAP: Existing financials, confirmed opening date/deadline, exact location, square footage, staffing plan, insurance quotes, legal entity details, charitable gaming license/facility status, machine economics, and written Arrow grant/equipment terms were not provided.]</w:t>
      </w:r>
    </w:p>
    <w:p>
      <w:pPr>
        <w:pStyle w:val="Heading1"/>
      </w:pPr>
      <w:r>
        <w:t>2. Company Description</w:t>
      </w:r>
    </w:p>
    <w:p>
      <w:pPr>
        <w:spacing w:after="120"/>
      </w:pPr>
      <w:r>
        <w:t>The Golden Door will be a Kentucky charitable gaming operation and community-centered venue in Bowling Green, KY, operated under Common Good Network Inc. The launch plan starts with 35 charitable gaming machines and an operating schedule of 6 days per week, 8 hours per day. The core revenue model will be driven by charitable gaming receipts, with potential secondary income from compliant community programming, private events, concessions, merchandise, and sponsorships where allowed.</w:t>
      </w:r>
    </w:p>
    <w:p>
      <w:pPr>
        <w:spacing w:after="120"/>
      </w:pPr>
      <w:r>
        <w:t>The concept fits best as a compliance-led charitable gaming facility with a community-facing location identity. That structure matters for lease and internal approval: The Golden Door must comply with Kentucky charitable gaming rules, retain enough net proceeds to satisfy the compliance floor and operating needs, and document mission use of proceeds under Common Good Network Inc.</w:t>
      </w:r>
    </w:p>
    <w:p>
      <w:pPr>
        <w:pStyle w:val="Heading2"/>
      </w:pPr>
      <w:r>
        <w:t>Mission Fit</w:t>
      </w:r>
    </w:p>
    <w:p>
      <w:pPr>
        <w:pStyle w:val="ListBullet"/>
        <w:spacing w:after="80"/>
      </w:pPr>
      <w:r>
        <w:t>Operate a compliant charitable gaming facility under Common Good Network Inc.</w:t>
      </w:r>
    </w:p>
    <w:p>
      <w:pPr>
        <w:pStyle w:val="ListBullet"/>
        <w:spacing w:after="80"/>
      </w:pPr>
      <w:r>
        <w:t>Generate charitable gaming proceeds that can support the organization's mission.</w:t>
      </w:r>
    </w:p>
    <w:p>
      <w:pPr>
        <w:pStyle w:val="ListBullet"/>
        <w:spacing w:after="80"/>
      </w:pPr>
      <w:r>
        <w:t>Maintain transparent controls over gross receipts, payouts, vendor share, retained proceeds, and reporting.</w:t>
      </w:r>
    </w:p>
    <w:p>
      <w:pPr>
        <w:pStyle w:val="ListBullet"/>
        <w:spacing w:after="80"/>
      </w:pPr>
      <w:r>
        <w:t>Use the location identity, where allowed, to support community presence and partner relationships around the core charitable gaming activity.</w:t>
      </w:r>
    </w:p>
    <w:p>
      <w:pPr>
        <w:pStyle w:val="Heading2"/>
      </w:pPr>
      <w:r>
        <w:t>Business Model</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Revenue stream</w:t>
            </w:r>
          </w:p>
        </w:tc>
        <w:tc>
          <w:tcPr>
            <w:tcW w:type="dxa" w:w="4824"/>
            <w:tcMar>
              <w:top w:w="80" w:type="dxa"/>
              <w:start w:w="120" w:type="dxa"/>
              <w:bottom w:w="80" w:type="dxa"/>
              <w:end w:w="120" w:type="dxa"/>
            </w:tcMar>
            <w:vAlign w:val="center"/>
            <w:shd w:fill="F2F4F7"/>
          </w:tcPr>
          <w:p>
            <w:pPr>
              <w:spacing w:after="40"/>
            </w:pPr>
            <w:r>
              <w:rPr>
                <w:rFonts w:ascii="Calibri" w:hAnsi="Calibri"/>
                <w:b/>
                <w:color w:val="1F4D78"/>
                <w:sz w:val="19"/>
              </w:rPr>
              <w:t>Operating logic</w:t>
            </w:r>
          </w:p>
        </w:tc>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Year 1 role</w:t>
            </w:r>
          </w:p>
        </w:tc>
      </w:tr>
      <w:tr>
        <w:tc>
          <w:tcPr>
            <w:tcW w:type="dxa" w:w="1944"/>
            <w:tcMar>
              <w:top w:w="80" w:type="dxa"/>
              <w:start w:w="120" w:type="dxa"/>
              <w:bottom w:w="80" w:type="dxa"/>
              <w:end w:w="120" w:type="dxa"/>
            </w:tcMar>
            <w:vAlign w:val="center"/>
          </w:tcPr>
          <w:p>
            <w:pPr>
              <w:spacing w:after="40"/>
            </w:pPr>
            <w:r>
              <w:rPr>
                <w:rFonts w:ascii="Calibri" w:hAnsi="Calibri"/>
                <w:sz w:val="19"/>
              </w:rPr>
              <w:t>Pull-tab charitable gaming</w:t>
            </w:r>
          </w:p>
        </w:tc>
        <w:tc>
          <w:tcPr>
            <w:tcW w:type="dxa" w:w="4824"/>
            <w:tcMar>
              <w:top w:w="80" w:type="dxa"/>
              <w:start w:w="120" w:type="dxa"/>
              <w:bottom w:w="80" w:type="dxa"/>
              <w:end w:w="120" w:type="dxa"/>
            </w:tcMar>
            <w:vAlign w:val="center"/>
          </w:tcPr>
          <w:p>
            <w:pPr>
              <w:spacing w:after="40"/>
            </w:pPr>
            <w:r>
              <w:rPr>
                <w:rFonts w:ascii="Calibri" w:hAnsi="Calibri"/>
                <w:sz w:val="19"/>
              </w:rPr>
              <w:t>GitHub source note identifies pull tabs only. Revenue model must track gross receipts, payouts/prizes, vendor share, fees, and retained net.</w:t>
            </w:r>
          </w:p>
        </w:tc>
        <w:tc>
          <w:tcPr>
            <w:tcW w:type="dxa" w:w="2232"/>
            <w:tcMar>
              <w:top w:w="80" w:type="dxa"/>
              <w:start w:w="120" w:type="dxa"/>
              <w:bottom w:w="80" w:type="dxa"/>
              <w:end w:w="120" w:type="dxa"/>
            </w:tcMar>
            <w:vAlign w:val="center"/>
          </w:tcPr>
          <w:p>
            <w:pPr>
              <w:spacing w:after="40"/>
            </w:pPr>
            <w:r>
              <w:rPr>
                <w:rFonts w:ascii="Calibri" w:hAnsi="Calibri"/>
                <w:sz w:val="19"/>
              </w:rPr>
              <w:t>Primary revenue engine</w:t>
            </w:r>
          </w:p>
        </w:tc>
      </w:tr>
      <w:tr>
        <w:tc>
          <w:tcPr>
            <w:tcW w:type="dxa" w:w="1944"/>
            <w:tcMar>
              <w:top w:w="80" w:type="dxa"/>
              <w:start w:w="120" w:type="dxa"/>
              <w:bottom w:w="80" w:type="dxa"/>
              <w:end w:w="120" w:type="dxa"/>
            </w:tcMar>
            <w:vAlign w:val="center"/>
          </w:tcPr>
          <w:p>
            <w:pPr>
              <w:spacing w:after="40"/>
            </w:pPr>
            <w:r>
              <w:rPr>
                <w:rFonts w:ascii="Calibri" w:hAnsi="Calibri"/>
                <w:sz w:val="19"/>
              </w:rPr>
              <w:t>Arrow equipment/service support</w:t>
            </w:r>
          </w:p>
        </w:tc>
        <w:tc>
          <w:tcPr>
            <w:tcW w:type="dxa" w:w="4824"/>
            <w:tcMar>
              <w:top w:w="80" w:type="dxa"/>
              <w:start w:w="120" w:type="dxa"/>
              <w:bottom w:w="80" w:type="dxa"/>
              <w:end w:w="120" w:type="dxa"/>
            </w:tcMar>
            <w:vAlign w:val="center"/>
          </w:tcPr>
          <w:p>
            <w:pPr>
              <w:spacing w:after="40"/>
            </w:pPr>
            <w:r>
              <w:rPr>
                <w:rFonts w:ascii="Calibri" w:hAnsi="Calibri"/>
                <w:sz w:val="19"/>
              </w:rPr>
              <w:t>Arrow owns and services the 35 machines and is expected to grant $25K-$35K after opening.</w:t>
            </w:r>
          </w:p>
        </w:tc>
        <w:tc>
          <w:tcPr>
            <w:tcW w:type="dxa" w:w="2232"/>
            <w:tcMar>
              <w:top w:w="80" w:type="dxa"/>
              <w:start w:w="120" w:type="dxa"/>
              <w:bottom w:w="80" w:type="dxa"/>
              <w:end w:w="120" w:type="dxa"/>
            </w:tcMar>
            <w:vAlign w:val="center"/>
          </w:tcPr>
          <w:p>
            <w:pPr>
              <w:spacing w:after="40"/>
            </w:pPr>
            <w:r>
              <w:rPr>
                <w:rFonts w:ascii="Calibri" w:hAnsi="Calibri"/>
                <w:sz w:val="19"/>
              </w:rPr>
              <w:t>Reduces capital risk</w:t>
            </w:r>
          </w:p>
        </w:tc>
      </w:tr>
      <w:tr>
        <w:tc>
          <w:tcPr>
            <w:tcW w:type="dxa" w:w="1944"/>
            <w:tcMar>
              <w:top w:w="80" w:type="dxa"/>
              <w:start w:w="120" w:type="dxa"/>
              <w:bottom w:w="80" w:type="dxa"/>
              <w:end w:w="120" w:type="dxa"/>
            </w:tcMar>
            <w:vAlign w:val="center"/>
          </w:tcPr>
          <w:p>
            <w:pPr>
              <w:spacing w:after="40"/>
            </w:pPr>
            <w:r>
              <w:rPr>
                <w:rFonts w:ascii="Calibri" w:hAnsi="Calibri"/>
                <w:sz w:val="19"/>
              </w:rPr>
              <w:t>Community-facing location identity</w:t>
            </w:r>
          </w:p>
        </w:tc>
        <w:tc>
          <w:tcPr>
            <w:tcW w:type="dxa" w:w="4824"/>
            <w:tcMar>
              <w:top w:w="80" w:type="dxa"/>
              <w:start w:w="120" w:type="dxa"/>
              <w:bottom w:w="80" w:type="dxa"/>
              <w:end w:w="120" w:type="dxa"/>
            </w:tcMar>
            <w:vAlign w:val="center"/>
          </w:tcPr>
          <w:p>
            <w:pPr>
              <w:spacing w:after="40"/>
            </w:pPr>
            <w:r>
              <w:rPr>
                <w:rFonts w:ascii="Calibri" w:hAnsi="Calibri"/>
                <w:sz w:val="19"/>
              </w:rPr>
              <w:t>The Golden Door provides a clear local brand for a regulated charitable gaming facility.</w:t>
            </w:r>
          </w:p>
        </w:tc>
        <w:tc>
          <w:tcPr>
            <w:tcW w:type="dxa" w:w="2232"/>
            <w:tcMar>
              <w:top w:w="80" w:type="dxa"/>
              <w:start w:w="120" w:type="dxa"/>
              <w:bottom w:w="80" w:type="dxa"/>
              <w:end w:w="120" w:type="dxa"/>
            </w:tcMar>
            <w:vAlign w:val="center"/>
          </w:tcPr>
          <w:p>
            <w:pPr>
              <w:spacing w:after="40"/>
            </w:pPr>
            <w:r>
              <w:rPr>
                <w:rFonts w:ascii="Calibri" w:hAnsi="Calibri"/>
                <w:sz w:val="19"/>
              </w:rPr>
              <w:t>Supports visibility and lease narrative</w:t>
            </w:r>
          </w:p>
        </w:tc>
      </w:tr>
      <w:tr>
        <w:tc>
          <w:tcPr>
            <w:tcW w:type="dxa" w:w="1944"/>
            <w:tcMar>
              <w:top w:w="80" w:type="dxa"/>
              <w:start w:w="120" w:type="dxa"/>
              <w:bottom w:w="80" w:type="dxa"/>
              <w:end w:w="120" w:type="dxa"/>
            </w:tcMar>
            <w:vAlign w:val="center"/>
          </w:tcPr>
          <w:p>
            <w:pPr>
              <w:spacing w:after="40"/>
            </w:pPr>
            <w:r>
              <w:rPr>
                <w:rFonts w:ascii="Calibri" w:hAnsi="Calibri"/>
                <w:sz w:val="19"/>
              </w:rPr>
              <w:t>Ancillary concessions/events</w:t>
            </w:r>
          </w:p>
        </w:tc>
        <w:tc>
          <w:tcPr>
            <w:tcW w:type="dxa" w:w="4824"/>
            <w:tcMar>
              <w:top w:w="80" w:type="dxa"/>
              <w:start w:w="120" w:type="dxa"/>
              <w:bottom w:w="80" w:type="dxa"/>
              <w:end w:w="120" w:type="dxa"/>
            </w:tcMar>
            <w:vAlign w:val="center"/>
          </w:tcPr>
          <w:p>
            <w:pPr>
              <w:spacing w:after="40"/>
            </w:pPr>
            <w:r>
              <w:rPr>
                <w:rFonts w:ascii="Calibri" w:hAnsi="Calibri"/>
                <w:sz w:val="19"/>
              </w:rPr>
              <w:t>Only where allowed by lease, license, and internal controls; should not drive the core financial case.</w:t>
            </w:r>
          </w:p>
        </w:tc>
        <w:tc>
          <w:tcPr>
            <w:tcW w:type="dxa" w:w="2232"/>
            <w:tcMar>
              <w:top w:w="80" w:type="dxa"/>
              <w:start w:w="120" w:type="dxa"/>
              <w:bottom w:w="80" w:type="dxa"/>
              <w:end w:w="120" w:type="dxa"/>
            </w:tcMar>
            <w:vAlign w:val="center"/>
          </w:tcPr>
          <w:p>
            <w:pPr>
              <w:spacing w:after="40"/>
            </w:pPr>
            <w:r>
              <w:rPr>
                <w:rFonts w:ascii="Calibri" w:hAnsi="Calibri"/>
                <w:sz w:val="19"/>
              </w:rPr>
              <w:t>Secondary and optional</w:t>
            </w:r>
          </w:p>
        </w:tc>
      </w:tr>
      <w:tr>
        <w:tc>
          <w:tcPr>
            <w:tcW w:type="dxa" w:w="1944"/>
            <w:tcMar>
              <w:top w:w="80" w:type="dxa"/>
              <w:start w:w="120" w:type="dxa"/>
              <w:bottom w:w="80" w:type="dxa"/>
              <w:end w:w="120" w:type="dxa"/>
            </w:tcMar>
            <w:vAlign w:val="center"/>
          </w:tcPr>
          <w:p>
            <w:pPr>
              <w:spacing w:after="40"/>
            </w:pPr>
            <w:r>
              <w:rPr>
                <w:rFonts w:ascii="Calibri" w:hAnsi="Calibri"/>
                <w:sz w:val="19"/>
              </w:rPr>
              <w:t>Mission use of proceeds</w:t>
            </w:r>
          </w:p>
        </w:tc>
        <w:tc>
          <w:tcPr>
            <w:tcW w:type="dxa" w:w="4824"/>
            <w:tcMar>
              <w:top w:w="80" w:type="dxa"/>
              <w:start w:w="120" w:type="dxa"/>
              <w:bottom w:w="80" w:type="dxa"/>
              <w:end w:w="120" w:type="dxa"/>
            </w:tcMar>
            <w:vAlign w:val="center"/>
          </w:tcPr>
          <w:p>
            <w:pPr>
              <w:spacing w:after="40"/>
            </w:pPr>
            <w:r>
              <w:rPr>
                <w:rFonts w:ascii="Calibri" w:hAnsi="Calibri"/>
                <w:sz w:val="19"/>
              </w:rPr>
              <w:t>Retained net proceeds must be traceable to Common Good Network Inc. mission use and reporting.</w:t>
            </w:r>
          </w:p>
        </w:tc>
        <w:tc>
          <w:tcPr>
            <w:tcW w:type="dxa" w:w="2232"/>
            <w:tcMar>
              <w:top w:w="80" w:type="dxa"/>
              <w:start w:w="120" w:type="dxa"/>
              <w:bottom w:w="80" w:type="dxa"/>
              <w:end w:w="120" w:type="dxa"/>
            </w:tcMar>
            <w:vAlign w:val="center"/>
          </w:tcPr>
          <w:p>
            <w:pPr>
              <w:spacing w:after="40"/>
            </w:pPr>
            <w:r>
              <w:rPr>
                <w:rFonts w:ascii="Calibri" w:hAnsi="Calibri"/>
                <w:sz w:val="19"/>
              </w:rPr>
              <w:t>Board and compliance priority</w:t>
            </w:r>
          </w:p>
        </w:tc>
      </w:tr>
    </w:tbl>
    <w:p/>
    <w:p>
      <w:pPr>
        <w:pStyle w:val="Heading1"/>
      </w:pPr>
      <w:r>
        <w:t>3. Market Analysis</w:t>
      </w:r>
    </w:p>
    <w:p>
      <w:pPr>
        <w:pStyle w:val="Heading2"/>
      </w:pPr>
      <w:r>
        <w:t>Local Demand Context</w:t>
      </w:r>
    </w:p>
    <w:p>
      <w:pPr>
        <w:spacing w:after="120"/>
      </w:pPr>
      <w:r>
        <w:t>Bowling Green is Kentucky's third-largest city by 2020 Census count and remains a growing regional market. U.S. Census QuickFacts estimated Bowling Green city population at 78,505 in 2025, up 8.6% from the 2020 estimate base. WKU reported preliminary fall 2025 enrollment of 15,920 students, creating a visible student and young-adult demand base for affordable, social entertainment.</w:t>
      </w:r>
    </w:p>
    <w:p>
      <w:pPr>
        <w:spacing w:after="120"/>
      </w:pPr>
      <w:r>
        <w:t>Commercial rent context supports the confirmed rent. CommercialCafe reported Bowling Green commercial real estate asking rents averaging $19.26 per square foot, with listed range examples from $11 to $27.50 per square foot. Rent is confirmed at $4,000 per month including triple net and CAM. [ASSUMPTION: If the lounge occupies approximately 2,000 square feet, total rent equals about $24 per square foot annually, which is within the observed listed market range but toward the higher end.]</w:t>
      </w:r>
    </w:p>
    <w:p>
      <w:pPr>
        <w:pStyle w:val="Heading2"/>
      </w:pPr>
      <w:r>
        <w:t>Competitive Landscape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Category</w:t>
            </w:r>
          </w:p>
        </w:tc>
        <w:tc>
          <w:tcPr>
            <w:tcW w:type="dxa" w:w="4248"/>
            <w:tcMar>
              <w:top w:w="80" w:type="dxa"/>
              <w:start w:w="120" w:type="dxa"/>
              <w:bottom w:w="80" w:type="dxa"/>
              <w:end w:w="120" w:type="dxa"/>
            </w:tcMar>
            <w:vAlign w:val="center"/>
            <w:shd w:fill="F2F4F7"/>
          </w:tcPr>
          <w:p>
            <w:pPr>
              <w:spacing w:after="40"/>
            </w:pPr>
            <w:r>
              <w:rPr>
                <w:rFonts w:ascii="Calibri" w:hAnsi="Calibri"/>
                <w:b/>
                <w:color w:val="1F4D78"/>
                <w:sz w:val="19"/>
              </w:rPr>
              <w:t>Examples / evidence</w:t>
            </w:r>
          </w:p>
        </w:tc>
        <w:tc>
          <w:tcPr>
            <w:tcW w:type="dxa" w:w="2880"/>
            <w:tcMar>
              <w:top w:w="80" w:type="dxa"/>
              <w:start w:w="120" w:type="dxa"/>
              <w:bottom w:w="80" w:type="dxa"/>
              <w:end w:w="120" w:type="dxa"/>
            </w:tcMar>
            <w:vAlign w:val="center"/>
            <w:shd w:fill="F2F4F7"/>
          </w:tcPr>
          <w:p>
            <w:pPr>
              <w:spacing w:after="40"/>
            </w:pPr>
            <w:r>
              <w:rPr>
                <w:rFonts w:ascii="Calibri" w:hAnsi="Calibri"/>
                <w:b/>
                <w:color w:val="1F4D78"/>
                <w:sz w:val="19"/>
              </w:rPr>
              <w:t>Implication for The Golden Door</w:t>
            </w:r>
          </w:p>
        </w:tc>
      </w:tr>
      <w:tr>
        <w:tc>
          <w:tcPr>
            <w:tcW w:type="dxa" w:w="1944"/>
            <w:tcMar>
              <w:top w:w="80" w:type="dxa"/>
              <w:start w:w="120" w:type="dxa"/>
              <w:bottom w:w="80" w:type="dxa"/>
              <w:end w:w="120" w:type="dxa"/>
            </w:tcMar>
            <w:vAlign w:val="center"/>
          </w:tcPr>
          <w:p>
            <w:pPr>
              <w:spacing w:after="40"/>
            </w:pPr>
            <w:r>
              <w:rPr>
                <w:rFonts w:ascii="Calibri" w:hAnsi="Calibri"/>
                <w:sz w:val="19"/>
              </w:rPr>
              <w:t>Family entertainment</w:t>
            </w:r>
          </w:p>
        </w:tc>
        <w:tc>
          <w:tcPr>
            <w:tcW w:type="dxa" w:w="4248"/>
            <w:tcMar>
              <w:top w:w="80" w:type="dxa"/>
              <w:start w:w="120" w:type="dxa"/>
              <w:bottom w:w="80" w:type="dxa"/>
              <w:end w:w="120" w:type="dxa"/>
            </w:tcMar>
            <w:vAlign w:val="center"/>
          </w:tcPr>
          <w:p>
            <w:pPr>
              <w:spacing w:after="40"/>
            </w:pPr>
            <w:r>
              <w:rPr>
                <w:rFonts w:ascii="Calibri" w:hAnsi="Calibri"/>
                <w:sz w:val="19"/>
              </w:rPr>
              <w:t>Ralphie's Fun Center advertises 40+ arcade games and attractions; Southern Lanes promotes bowling, laser tag, billiards, batting cages, arcade games, and party rooms.</w:t>
            </w:r>
          </w:p>
        </w:tc>
        <w:tc>
          <w:tcPr>
            <w:tcW w:type="dxa" w:w="2880"/>
            <w:tcMar>
              <w:top w:w="80" w:type="dxa"/>
              <w:start w:w="120" w:type="dxa"/>
              <w:bottom w:w="80" w:type="dxa"/>
              <w:end w:w="120" w:type="dxa"/>
            </w:tcMar>
            <w:vAlign w:val="center"/>
          </w:tcPr>
          <w:p>
            <w:pPr>
              <w:spacing w:after="40"/>
            </w:pPr>
            <w:r>
              <w:rPr>
                <w:rFonts w:ascii="Calibri" w:hAnsi="Calibri"/>
                <w:sz w:val="19"/>
              </w:rPr>
              <w:t>Compete on community programming, gaming specialization, and recurring memberships rather than broad attractions.</w:t>
            </w:r>
          </w:p>
        </w:tc>
      </w:tr>
      <w:tr>
        <w:tc>
          <w:tcPr>
            <w:tcW w:type="dxa" w:w="1944"/>
            <w:tcMar>
              <w:top w:w="80" w:type="dxa"/>
              <w:start w:w="120" w:type="dxa"/>
              <w:bottom w:w="80" w:type="dxa"/>
              <w:end w:w="120" w:type="dxa"/>
            </w:tcMar>
            <w:vAlign w:val="center"/>
          </w:tcPr>
          <w:p>
            <w:pPr>
              <w:spacing w:after="40"/>
            </w:pPr>
            <w:r>
              <w:rPr>
                <w:rFonts w:ascii="Calibri" w:hAnsi="Calibri"/>
                <w:sz w:val="19"/>
              </w:rPr>
              <w:t>Youth/community centers</w:t>
            </w:r>
          </w:p>
        </w:tc>
        <w:tc>
          <w:tcPr>
            <w:tcW w:type="dxa" w:w="4248"/>
            <w:tcMar>
              <w:top w:w="80" w:type="dxa"/>
              <w:start w:w="120" w:type="dxa"/>
              <w:bottom w:w="80" w:type="dxa"/>
              <w:end w:w="120" w:type="dxa"/>
            </w:tcMar>
            <w:vAlign w:val="center"/>
          </w:tcPr>
          <w:p>
            <w:pPr>
              <w:spacing w:after="40"/>
            </w:pPr>
            <w:r>
              <w:rPr>
                <w:rFonts w:ascii="Calibri" w:hAnsi="Calibri"/>
                <w:sz w:val="19"/>
              </w:rPr>
              <w:t>Boys &amp; Girls Club of Bowling Green's Teen Center serves ages 13-18 and offers multiple gaming systems, laptops, pool table, seating, and programming. City recreation centers offer game rooms and youth programs.</w:t>
            </w:r>
          </w:p>
        </w:tc>
        <w:tc>
          <w:tcPr>
            <w:tcW w:type="dxa" w:w="2880"/>
            <w:tcMar>
              <w:top w:w="80" w:type="dxa"/>
              <w:start w:w="120" w:type="dxa"/>
              <w:bottom w:w="80" w:type="dxa"/>
              <w:end w:w="120" w:type="dxa"/>
            </w:tcMar>
            <w:vAlign w:val="center"/>
          </w:tcPr>
          <w:p>
            <w:pPr>
              <w:spacing w:after="40"/>
            </w:pPr>
            <w:r>
              <w:rPr>
                <w:rFonts w:ascii="Calibri" w:hAnsi="Calibri"/>
                <w:sz w:val="19"/>
              </w:rPr>
              <w:t>Partner, do not duplicate. Common Good should serve evenings, tournaments, families, young adults, and partner events.</w:t>
            </w:r>
          </w:p>
        </w:tc>
      </w:tr>
      <w:tr>
        <w:tc>
          <w:tcPr>
            <w:tcW w:type="dxa" w:w="1944"/>
            <w:tcMar>
              <w:top w:w="80" w:type="dxa"/>
              <w:start w:w="120" w:type="dxa"/>
              <w:bottom w:w="80" w:type="dxa"/>
              <w:end w:w="120" w:type="dxa"/>
            </w:tcMar>
            <w:vAlign w:val="center"/>
          </w:tcPr>
          <w:p>
            <w:pPr>
              <w:spacing w:after="40"/>
            </w:pPr>
            <w:r>
              <w:rPr>
                <w:rFonts w:ascii="Calibri" w:hAnsi="Calibri"/>
                <w:sz w:val="19"/>
              </w:rPr>
              <w:t>Adult gaming/entertainment</w:t>
            </w:r>
          </w:p>
        </w:tc>
        <w:tc>
          <w:tcPr>
            <w:tcW w:type="dxa" w:w="4248"/>
            <w:tcMar>
              <w:top w:w="80" w:type="dxa"/>
              <w:start w:w="120" w:type="dxa"/>
              <w:bottom w:w="80" w:type="dxa"/>
              <w:end w:w="120" w:type="dxa"/>
            </w:tcMar>
            <w:vAlign w:val="center"/>
          </w:tcPr>
          <w:p>
            <w:pPr>
              <w:spacing w:after="40"/>
            </w:pPr>
            <w:r>
              <w:rPr>
                <w:rFonts w:ascii="Calibri" w:hAnsi="Calibri"/>
                <w:sz w:val="19"/>
              </w:rPr>
              <w:t>The Mint Gaming Hall promotes nearly 500 gaming machines, sportsbook, Top Golf Swing Suites, food, bar, and live entertainment.</w:t>
            </w:r>
          </w:p>
        </w:tc>
        <w:tc>
          <w:tcPr>
            <w:tcW w:type="dxa" w:w="2880"/>
            <w:tcMar>
              <w:top w:w="80" w:type="dxa"/>
              <w:start w:w="120" w:type="dxa"/>
              <w:bottom w:w="80" w:type="dxa"/>
              <w:end w:w="120" w:type="dxa"/>
            </w:tcMar>
            <w:vAlign w:val="center"/>
          </w:tcPr>
          <w:p>
            <w:pPr>
              <w:spacing w:after="40"/>
            </w:pPr>
            <w:r>
              <w:rPr>
                <w:rFonts w:ascii="Calibri" w:hAnsi="Calibri"/>
                <w:sz w:val="19"/>
              </w:rPr>
              <w:t>Differentiate clearly from gambling and adult gaming. The lounge should be safe, supervised, and mission-aligned.</w:t>
            </w:r>
          </w:p>
        </w:tc>
      </w:tr>
      <w:tr>
        <w:tc>
          <w:tcPr>
            <w:tcW w:type="dxa" w:w="1944"/>
            <w:tcMar>
              <w:top w:w="80" w:type="dxa"/>
              <w:start w:w="120" w:type="dxa"/>
              <w:bottom w:w="80" w:type="dxa"/>
              <w:end w:w="120" w:type="dxa"/>
            </w:tcMar>
            <w:vAlign w:val="center"/>
          </w:tcPr>
          <w:p>
            <w:pPr>
              <w:spacing w:after="40"/>
            </w:pPr>
            <w:r>
              <w:rPr>
                <w:rFonts w:ascii="Calibri" w:hAnsi="Calibri"/>
                <w:sz w:val="19"/>
              </w:rPr>
              <w:t>Regional esports/barcade options</w:t>
            </w:r>
          </w:p>
        </w:tc>
        <w:tc>
          <w:tcPr>
            <w:tcW w:type="dxa" w:w="4248"/>
            <w:tcMar>
              <w:top w:w="80" w:type="dxa"/>
              <w:start w:w="120" w:type="dxa"/>
              <w:bottom w:w="80" w:type="dxa"/>
              <w:end w:w="120" w:type="dxa"/>
            </w:tcMar>
            <w:vAlign w:val="center"/>
          </w:tcPr>
          <w:p>
            <w:pPr>
              <w:spacing w:after="40"/>
            </w:pPr>
            <w:r>
              <w:rPr>
                <w:rFonts w:ascii="Calibri" w:hAnsi="Calibri"/>
                <w:sz w:val="19"/>
              </w:rPr>
              <w:t>Search results and local discussion indicate stronger barcade/esports options in larger nearby markets such as Nashville, Louisville, Lexington, or Elizabethtown.</w:t>
            </w:r>
          </w:p>
        </w:tc>
        <w:tc>
          <w:tcPr>
            <w:tcW w:type="dxa" w:w="2880"/>
            <w:tcMar>
              <w:top w:w="80" w:type="dxa"/>
              <w:start w:w="120" w:type="dxa"/>
              <w:bottom w:w="80" w:type="dxa"/>
              <w:end w:w="120" w:type="dxa"/>
            </w:tcMar>
            <w:vAlign w:val="center"/>
          </w:tcPr>
          <w:p>
            <w:pPr>
              <w:spacing w:after="40"/>
            </w:pPr>
            <w:r>
              <w:rPr>
                <w:rFonts w:ascii="Calibri" w:hAnsi="Calibri"/>
                <w:sz w:val="19"/>
              </w:rPr>
              <w:t>Opportunity exists for a local, non-bar, accessible gaming hub if programming is consistent.</w:t>
            </w:r>
          </w:p>
        </w:tc>
      </w:tr>
    </w:tbl>
    <w:p/>
    <w:p>
      <w:pPr>
        <w:pStyle w:val="Heading2"/>
      </w:pPr>
      <w:r>
        <w:t>Target Customers</w:t>
      </w:r>
    </w:p>
    <w:p>
      <w:pPr>
        <w:pStyle w:val="ListBullet"/>
        <w:spacing w:after="80"/>
      </w:pPr>
      <w:r>
        <w:t>Students and young adults seeking affordable evening/weekend social gaming.</w:t>
      </w:r>
    </w:p>
    <w:p>
      <w:pPr>
        <w:pStyle w:val="ListBullet"/>
        <w:spacing w:after="80"/>
      </w:pPr>
      <w:r>
        <w:t>Parents and families seeking supervised recreation, parties, and school-break activities.</w:t>
      </w:r>
    </w:p>
    <w:p>
      <w:pPr>
        <w:pStyle w:val="ListBullet"/>
        <w:spacing w:after="80"/>
      </w:pPr>
      <w:r>
        <w:t>Competitive and casual gamers who want tournaments, leagues, and reliable equipment.</w:t>
      </w:r>
    </w:p>
    <w:p>
      <w:pPr>
        <w:pStyle w:val="ListBullet"/>
        <w:spacing w:after="80"/>
      </w:pPr>
      <w:r>
        <w:t>Community partners needing a flexible, youth-friendly event space.</w:t>
      </w:r>
    </w:p>
    <w:p>
      <w:pPr>
        <w:pStyle w:val="ListBullet"/>
        <w:spacing w:after="80"/>
      </w:pPr>
      <w:r>
        <w:t>Local businesses that want sponsorship visibility with youth, family, and college-age audiences.</w:t>
      </w:r>
    </w:p>
    <w:p>
      <w:pPr>
        <w:pStyle w:val="Heading2"/>
      </w:pPr>
      <w:r>
        <w:t>Market Position</w:t>
      </w:r>
    </w:p>
    <w:p>
      <w:pPr>
        <w:spacing w:after="120"/>
      </w:pPr>
      <w:r>
        <w:t>The Golden Door should position itself as Bowling Green's compliance-led charitable gaming lounge with a community-centered operating model. The plan should avoid claiming there is no competition. The defensible claim is that the location combines regulated charitable gaming, mission use of proceeds, transparent operating controls, and partner/community programming under Common Good Network Inc.</w:t>
      </w:r>
    </w:p>
    <w:p>
      <w:pPr>
        <w:pStyle w:val="Heading1"/>
      </w:pPr>
      <w:r>
        <w:t>4. Organization &amp; Management</w:t>
      </w:r>
    </w:p>
    <w:p>
      <w:pPr>
        <w:spacing w:after="120"/>
      </w:pPr>
      <w:r>
        <w:t>[GAP: Board composition, manager name, charitable gaming operating authority, and internal approval process have not been provided.] For this draft, the plan assumes Common Good Network Inc. will designate one accountable operating lead for The Golden Door with authority over scheduling, staffing, cash controls, vendor relationships, safety procedures, and partner programming.</w:t>
      </w:r>
    </w:p>
    <w:p>
      <w:pPr>
        <w:pStyle w:val="Heading2"/>
      </w:pPr>
      <w:r>
        <w:t>Recommended Management Structure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Role</w:t>
            </w:r>
          </w:p>
        </w:tc>
        <w:tc>
          <w:tcPr>
            <w:tcW w:type="dxa" w:w="4824"/>
            <w:tcMar>
              <w:top w:w="80" w:type="dxa"/>
              <w:start w:w="120" w:type="dxa"/>
              <w:bottom w:w="80" w:type="dxa"/>
              <w:end w:w="120" w:type="dxa"/>
            </w:tcMar>
            <w:vAlign w:val="center"/>
            <w:shd w:fill="F2F4F7"/>
          </w:tcPr>
          <w:p>
            <w:pPr>
              <w:spacing w:after="40"/>
            </w:pPr>
            <w:r>
              <w:rPr>
                <w:rFonts w:ascii="Calibri" w:hAnsi="Calibri"/>
                <w:b/>
                <w:color w:val="1F4D78"/>
                <w:sz w:val="19"/>
              </w:rPr>
              <w:t>Core responsibilities</w:t>
            </w:r>
          </w:p>
        </w:tc>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Approval relevance</w:t>
            </w:r>
          </w:p>
        </w:tc>
      </w:tr>
      <w:tr>
        <w:tc>
          <w:tcPr>
            <w:tcW w:type="dxa" w:w="1944"/>
            <w:tcMar>
              <w:top w:w="80" w:type="dxa"/>
              <w:start w:w="120" w:type="dxa"/>
              <w:bottom w:w="80" w:type="dxa"/>
              <w:end w:w="120" w:type="dxa"/>
            </w:tcMar>
            <w:vAlign w:val="center"/>
          </w:tcPr>
          <w:p>
            <w:pPr>
              <w:spacing w:after="40"/>
            </w:pPr>
            <w:r>
              <w:rPr>
                <w:rFonts w:ascii="Calibri" w:hAnsi="Calibri"/>
                <w:sz w:val="19"/>
              </w:rPr>
              <w:t>Board / sponsor group</w:t>
            </w:r>
          </w:p>
        </w:tc>
        <w:tc>
          <w:tcPr>
            <w:tcW w:type="dxa" w:w="4824"/>
            <w:tcMar>
              <w:top w:w="80" w:type="dxa"/>
              <w:start w:w="120" w:type="dxa"/>
              <w:bottom w:w="80" w:type="dxa"/>
              <w:end w:w="120" w:type="dxa"/>
            </w:tcMar>
            <w:vAlign w:val="center"/>
          </w:tcPr>
          <w:p>
            <w:pPr>
              <w:spacing w:after="40"/>
            </w:pPr>
            <w:r>
              <w:rPr>
                <w:rFonts w:ascii="Calibri" w:hAnsi="Calibri"/>
                <w:sz w:val="19"/>
              </w:rPr>
              <w:t>Approve lease, budget, cash policy, insurance, risk controls, and monthly performance review.</w:t>
            </w:r>
          </w:p>
        </w:tc>
        <w:tc>
          <w:tcPr>
            <w:tcW w:type="dxa" w:w="2232"/>
            <w:tcMar>
              <w:top w:w="80" w:type="dxa"/>
              <w:start w:w="120" w:type="dxa"/>
              <w:bottom w:w="80" w:type="dxa"/>
              <w:end w:w="120" w:type="dxa"/>
            </w:tcMar>
            <w:vAlign w:val="center"/>
          </w:tcPr>
          <w:p>
            <w:pPr>
              <w:spacing w:after="40"/>
            </w:pPr>
            <w:r>
              <w:rPr>
                <w:rFonts w:ascii="Calibri" w:hAnsi="Calibri"/>
                <w:sz w:val="19"/>
              </w:rPr>
              <w:t>Shows oversight and protects mission/financial discipline.</w:t>
            </w:r>
          </w:p>
        </w:tc>
      </w:tr>
      <w:tr>
        <w:tc>
          <w:tcPr>
            <w:tcW w:type="dxa" w:w="1944"/>
            <w:tcMar>
              <w:top w:w="80" w:type="dxa"/>
              <w:start w:w="120" w:type="dxa"/>
              <w:bottom w:w="80" w:type="dxa"/>
              <w:end w:w="120" w:type="dxa"/>
            </w:tcMar>
            <w:vAlign w:val="center"/>
          </w:tcPr>
          <w:p>
            <w:pPr>
              <w:spacing w:after="40"/>
            </w:pPr>
            <w:r>
              <w:rPr>
                <w:rFonts w:ascii="Calibri" w:hAnsi="Calibri"/>
                <w:sz w:val="19"/>
              </w:rPr>
              <w:t>Chairperson / lead</w:t>
            </w:r>
          </w:p>
        </w:tc>
        <w:tc>
          <w:tcPr>
            <w:tcW w:type="dxa" w:w="4824"/>
            <w:tcMar>
              <w:top w:w="80" w:type="dxa"/>
              <w:start w:w="120" w:type="dxa"/>
              <w:bottom w:w="80" w:type="dxa"/>
              <w:end w:w="120" w:type="dxa"/>
            </w:tcMar>
            <w:vAlign w:val="center"/>
          </w:tcPr>
          <w:p>
            <w:pPr>
              <w:spacing w:after="40"/>
            </w:pPr>
            <w:r>
              <w:rPr>
                <w:rFonts w:ascii="Calibri" w:hAnsi="Calibri"/>
                <w:sz w:val="19"/>
              </w:rPr>
              <w:t>Unpaid charitable gaming role responsible for supervision, compliance discipline, and session controls.</w:t>
            </w:r>
          </w:p>
        </w:tc>
        <w:tc>
          <w:tcPr>
            <w:tcW w:type="dxa" w:w="2232"/>
            <w:tcMar>
              <w:top w:w="80" w:type="dxa"/>
              <w:start w:w="120" w:type="dxa"/>
              <w:bottom w:w="80" w:type="dxa"/>
              <w:end w:w="120" w:type="dxa"/>
            </w:tcMar>
            <w:vAlign w:val="center"/>
          </w:tcPr>
          <w:p>
            <w:pPr>
              <w:spacing w:after="40"/>
            </w:pPr>
            <w:r>
              <w:rPr>
                <w:rFonts w:ascii="Calibri" w:hAnsi="Calibri"/>
                <w:sz w:val="19"/>
              </w:rPr>
              <w:t>Required by GitHub staffing note; paid gaming roles are not assumed.</w:t>
            </w:r>
          </w:p>
        </w:tc>
      </w:tr>
      <w:tr>
        <w:tc>
          <w:tcPr>
            <w:tcW w:type="dxa" w:w="1944"/>
            <w:tcMar>
              <w:top w:w="80" w:type="dxa"/>
              <w:start w:w="120" w:type="dxa"/>
              <w:bottom w:w="80" w:type="dxa"/>
              <w:end w:w="120" w:type="dxa"/>
            </w:tcMar>
            <w:vAlign w:val="center"/>
          </w:tcPr>
          <w:p>
            <w:pPr>
              <w:spacing w:after="40"/>
            </w:pPr>
            <w:r>
              <w:rPr>
                <w:rFonts w:ascii="Calibri" w:hAnsi="Calibri"/>
                <w:sz w:val="19"/>
              </w:rPr>
              <w:t>Relief chairperson</w:t>
            </w:r>
          </w:p>
        </w:tc>
        <w:tc>
          <w:tcPr>
            <w:tcW w:type="dxa" w:w="4824"/>
            <w:tcMar>
              <w:top w:w="80" w:type="dxa"/>
              <w:start w:w="120" w:type="dxa"/>
              <w:bottom w:w="80" w:type="dxa"/>
              <w:end w:w="120" w:type="dxa"/>
            </w:tcMar>
            <w:vAlign w:val="center"/>
          </w:tcPr>
          <w:p>
            <w:pPr>
              <w:spacing w:after="40"/>
            </w:pPr>
            <w:r>
              <w:rPr>
                <w:rFonts w:ascii="Calibri" w:hAnsi="Calibri"/>
                <w:sz w:val="19"/>
              </w:rPr>
              <w:t>Unpaid relief coverage for operating continuity across 6-day schedule.</w:t>
            </w:r>
          </w:p>
        </w:tc>
        <w:tc>
          <w:tcPr>
            <w:tcW w:type="dxa" w:w="2232"/>
            <w:tcMar>
              <w:top w:w="80" w:type="dxa"/>
              <w:start w:w="120" w:type="dxa"/>
              <w:bottom w:w="80" w:type="dxa"/>
              <w:end w:w="120" w:type="dxa"/>
            </w:tcMar>
            <w:vAlign w:val="center"/>
          </w:tcPr>
          <w:p>
            <w:pPr>
              <w:spacing w:after="40"/>
            </w:pPr>
            <w:r>
              <w:rPr>
                <w:rFonts w:ascii="Calibri" w:hAnsi="Calibri"/>
                <w:sz w:val="19"/>
              </w:rPr>
              <w:t>Reduces single-person dependency.</w:t>
            </w:r>
          </w:p>
        </w:tc>
      </w:tr>
      <w:tr>
        <w:tc>
          <w:tcPr>
            <w:tcW w:type="dxa" w:w="1944"/>
            <w:tcMar>
              <w:top w:w="80" w:type="dxa"/>
              <w:start w:w="120" w:type="dxa"/>
              <w:bottom w:w="80" w:type="dxa"/>
              <w:end w:w="120" w:type="dxa"/>
            </w:tcMar>
            <w:vAlign w:val="center"/>
          </w:tcPr>
          <w:p>
            <w:pPr>
              <w:spacing w:after="40"/>
            </w:pPr>
            <w:r>
              <w:rPr>
                <w:rFonts w:ascii="Calibri" w:hAnsi="Calibri"/>
                <w:sz w:val="19"/>
              </w:rPr>
              <w:t>Facility manager</w:t>
            </w:r>
          </w:p>
        </w:tc>
        <w:tc>
          <w:tcPr>
            <w:tcW w:type="dxa" w:w="4824"/>
            <w:tcMar>
              <w:top w:w="80" w:type="dxa"/>
              <w:start w:w="120" w:type="dxa"/>
              <w:bottom w:w="80" w:type="dxa"/>
              <w:end w:w="120" w:type="dxa"/>
            </w:tcMar>
            <w:vAlign w:val="center"/>
          </w:tcPr>
          <w:p>
            <w:pPr>
              <w:spacing w:after="40"/>
            </w:pPr>
            <w:r>
              <w:rPr>
                <w:rFonts w:ascii="Calibri" w:hAnsi="Calibri"/>
                <w:sz w:val="19"/>
              </w:rPr>
              <w:t>Paid non-gaming role via LLC/contract structure if used; handles facility, non-gaming operations, vendor coordination, and customer environment.</w:t>
            </w:r>
          </w:p>
        </w:tc>
        <w:tc>
          <w:tcPr>
            <w:tcW w:type="dxa" w:w="2232"/>
            <w:tcMar>
              <w:top w:w="80" w:type="dxa"/>
              <w:start w:w="120" w:type="dxa"/>
              <w:bottom w:w="80" w:type="dxa"/>
              <w:end w:w="120" w:type="dxa"/>
            </w:tcMar>
            <w:vAlign w:val="center"/>
          </w:tcPr>
          <w:p>
            <w:pPr>
              <w:spacing w:after="40"/>
            </w:pPr>
            <w:r>
              <w:rPr>
                <w:rFonts w:ascii="Calibri" w:hAnsi="Calibri"/>
                <w:sz w:val="19"/>
              </w:rPr>
              <w:t>Separates gaming management from paid facility support.</w:t>
            </w:r>
          </w:p>
        </w:tc>
      </w:tr>
      <w:tr>
        <w:tc>
          <w:tcPr>
            <w:tcW w:type="dxa" w:w="1944"/>
            <w:tcMar>
              <w:top w:w="80" w:type="dxa"/>
              <w:start w:w="120" w:type="dxa"/>
              <w:bottom w:w="80" w:type="dxa"/>
              <w:end w:w="120" w:type="dxa"/>
            </w:tcMar>
            <w:vAlign w:val="center"/>
          </w:tcPr>
          <w:p>
            <w:pPr>
              <w:spacing w:after="40"/>
            </w:pPr>
            <w:r>
              <w:rPr>
                <w:rFonts w:ascii="Calibri" w:hAnsi="Calibri"/>
                <w:sz w:val="19"/>
              </w:rPr>
              <w:t>Bookkeeper/accountant</w:t>
            </w:r>
          </w:p>
        </w:tc>
        <w:tc>
          <w:tcPr>
            <w:tcW w:type="dxa" w:w="4824"/>
            <w:tcMar>
              <w:top w:w="80" w:type="dxa"/>
              <w:start w:w="120" w:type="dxa"/>
              <w:bottom w:w="80" w:type="dxa"/>
              <w:end w:w="120" w:type="dxa"/>
            </w:tcMar>
            <w:vAlign w:val="center"/>
          </w:tcPr>
          <w:p>
            <w:pPr>
              <w:spacing w:after="40"/>
            </w:pPr>
            <w:r>
              <w:rPr>
                <w:rFonts w:ascii="Calibri" w:hAnsi="Calibri"/>
                <w:sz w:val="19"/>
              </w:rPr>
              <w:t>Tracks gross receipts, payouts/prizes, adjusted gross receipts, retained net, fees, deposits, and reporting.</w:t>
            </w:r>
          </w:p>
        </w:tc>
        <w:tc>
          <w:tcPr>
            <w:tcW w:type="dxa" w:w="2232"/>
            <w:tcMar>
              <w:top w:w="80" w:type="dxa"/>
              <w:start w:w="120" w:type="dxa"/>
              <w:bottom w:w="80" w:type="dxa"/>
              <w:end w:w="120" w:type="dxa"/>
            </w:tcMar>
            <w:vAlign w:val="center"/>
          </w:tcPr>
          <w:p>
            <w:pPr>
              <w:spacing w:after="40"/>
            </w:pPr>
            <w:r>
              <w:rPr>
                <w:rFonts w:ascii="Calibri" w:hAnsi="Calibri"/>
                <w:sz w:val="19"/>
              </w:rPr>
              <w:t>Required for compliance, board oversight, and cash control.</w:t>
            </w:r>
          </w:p>
        </w:tc>
      </w:tr>
    </w:tbl>
    <w:p/>
    <w:p>
      <w:pPr>
        <w:pStyle w:val="Heading2"/>
      </w:pPr>
      <w:r>
        <w:t>Controls Required Before Opening</w:t>
      </w:r>
    </w:p>
    <w:p>
      <w:pPr>
        <w:pStyle w:val="ListBullet"/>
        <w:spacing w:after="80"/>
      </w:pPr>
      <w:r>
        <w:t>Written cash-handling policy for the $10,000 opening cash till, including maximum drawer levels, deposit timing, and dual-control reconciliation.</w:t>
      </w:r>
    </w:p>
    <w:p>
      <w:pPr>
        <w:pStyle w:val="ListBullet"/>
        <w:spacing w:after="80"/>
      </w:pPr>
      <w:r>
        <w:t>Accounting/POS system that separates charitable gaming gross receipts, payouts/prizes, Arrow/vendor share, fees, deposits, concessions, events, discounts, and refunds.</w:t>
      </w:r>
    </w:p>
    <w:p>
      <w:pPr>
        <w:pStyle w:val="ListBullet"/>
        <w:spacing w:after="80"/>
      </w:pPr>
      <w:r>
        <w:t>Insurance binder covering general liability, property/equipment, workers' compensation if applicable, and events.</w:t>
      </w:r>
    </w:p>
    <w:p>
      <w:pPr>
        <w:pStyle w:val="ListBullet"/>
        <w:spacing w:after="80"/>
      </w:pPr>
      <w:r>
        <w:t>Volunteer/chairperson schedule showing two-shift coverage and backup coverage before opening.</w:t>
      </w:r>
    </w:p>
    <w:p>
      <w:pPr>
        <w:pStyle w:val="ListBullet"/>
        <w:spacing w:after="80"/>
      </w:pPr>
      <w:r>
        <w:t>Monthly board/internal dashboard: gross receipts, adjusted gross receipts, retained percentage, net retained, fees, cash balance, incidents, and machine/service issues.</w:t>
      </w:r>
    </w:p>
    <w:p>
      <w:pPr>
        <w:pStyle w:val="Heading1"/>
      </w:pPr>
      <w:r>
        <w:t>5. Products and Services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Offering</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Pricing assumption</w:t>
            </w:r>
          </w:p>
        </w:tc>
        <w:tc>
          <w:tcPr>
            <w:tcW w:type="dxa" w:w="4248"/>
            <w:tcMar>
              <w:top w:w="80" w:type="dxa"/>
              <w:start w:w="120" w:type="dxa"/>
              <w:bottom w:w="80" w:type="dxa"/>
              <w:end w:w="120" w:type="dxa"/>
            </w:tcMar>
            <w:vAlign w:val="center"/>
            <w:shd w:fill="F2F4F7"/>
          </w:tcPr>
          <w:p>
            <w:pPr>
              <w:spacing w:after="40"/>
            </w:pPr>
            <w:r>
              <w:rPr>
                <w:rFonts w:ascii="Calibri" w:hAnsi="Calibri"/>
                <w:b/>
                <w:color w:val="1F4D78"/>
                <w:sz w:val="19"/>
              </w:rPr>
              <w:t>Operating notes</w:t>
            </w:r>
          </w:p>
        </w:tc>
      </w:tr>
      <w:tr>
        <w:tc>
          <w:tcPr>
            <w:tcW w:type="dxa" w:w="2232"/>
            <w:tcMar>
              <w:top w:w="80" w:type="dxa"/>
              <w:start w:w="120" w:type="dxa"/>
              <w:bottom w:w="80" w:type="dxa"/>
              <w:end w:w="120" w:type="dxa"/>
            </w:tcMar>
            <w:vAlign w:val="center"/>
          </w:tcPr>
          <w:p>
            <w:pPr>
              <w:spacing w:after="40"/>
            </w:pPr>
            <w:r>
              <w:rPr>
                <w:rFonts w:ascii="Calibri" w:hAnsi="Calibri"/>
                <w:sz w:val="19"/>
              </w:rPr>
              <w:t>Pull-tab charitable gaming</w:t>
            </w:r>
          </w:p>
        </w:tc>
        <w:tc>
          <w:tcPr>
            <w:tcW w:type="dxa" w:w="2520"/>
            <w:tcMar>
              <w:top w:w="80" w:type="dxa"/>
              <w:start w:w="120" w:type="dxa"/>
              <w:bottom w:w="80" w:type="dxa"/>
              <w:end w:w="120" w:type="dxa"/>
            </w:tcMar>
            <w:vAlign w:val="center"/>
          </w:tcPr>
          <w:p>
            <w:pPr>
              <w:spacing w:after="40"/>
            </w:pPr>
            <w:r>
              <w:rPr>
                <w:rFonts w:ascii="Calibri" w:hAnsi="Calibri"/>
                <w:sz w:val="19"/>
              </w:rPr>
              <w:t>Target gross $95K/month from GitHub source note</w:t>
            </w:r>
          </w:p>
        </w:tc>
        <w:tc>
          <w:tcPr>
            <w:tcW w:type="dxa" w:w="4248"/>
            <w:tcMar>
              <w:top w:w="80" w:type="dxa"/>
              <w:start w:w="120" w:type="dxa"/>
              <w:bottom w:w="80" w:type="dxa"/>
              <w:end w:w="120" w:type="dxa"/>
            </w:tcMar>
            <w:vAlign w:val="center"/>
          </w:tcPr>
          <w:p>
            <w:pPr>
              <w:spacing w:after="40"/>
            </w:pPr>
            <w:r>
              <w:rPr>
                <w:rFonts w:ascii="Calibri" w:hAnsi="Calibri"/>
                <w:sz w:val="19"/>
              </w:rPr>
              <w:t>Core offering; must be operated under Kentucky charitable gaming authority.</w:t>
            </w:r>
          </w:p>
        </w:tc>
      </w:tr>
      <w:tr>
        <w:tc>
          <w:tcPr>
            <w:tcW w:type="dxa" w:w="2232"/>
            <w:tcMar>
              <w:top w:w="80" w:type="dxa"/>
              <w:start w:w="120" w:type="dxa"/>
              <w:bottom w:w="80" w:type="dxa"/>
              <w:end w:w="120" w:type="dxa"/>
            </w:tcMar>
            <w:vAlign w:val="center"/>
          </w:tcPr>
          <w:p>
            <w:pPr>
              <w:spacing w:after="40"/>
            </w:pPr>
            <w:r>
              <w:rPr>
                <w:rFonts w:ascii="Calibri" w:hAnsi="Calibri"/>
                <w:sz w:val="19"/>
              </w:rPr>
              <w:t>35 charitable gaming machines</w:t>
            </w:r>
          </w:p>
        </w:tc>
        <w:tc>
          <w:tcPr>
            <w:tcW w:type="dxa" w:w="2520"/>
            <w:tcMar>
              <w:top w:w="80" w:type="dxa"/>
              <w:start w:w="120" w:type="dxa"/>
              <w:bottom w:w="80" w:type="dxa"/>
              <w:end w:w="120" w:type="dxa"/>
            </w:tcMar>
            <w:vAlign w:val="center"/>
          </w:tcPr>
          <w:p>
            <w:pPr>
              <w:spacing w:after="40"/>
            </w:pPr>
            <w:r>
              <w:rPr>
                <w:rFonts w:ascii="Calibri" w:hAnsi="Calibri"/>
                <w:sz w:val="19"/>
              </w:rPr>
              <w:t>User-confirmed launch count</w:t>
            </w:r>
          </w:p>
        </w:tc>
        <w:tc>
          <w:tcPr>
            <w:tcW w:type="dxa" w:w="4248"/>
            <w:tcMar>
              <w:top w:w="80" w:type="dxa"/>
              <w:start w:w="120" w:type="dxa"/>
              <w:bottom w:w="80" w:type="dxa"/>
              <w:end w:w="120" w:type="dxa"/>
            </w:tcMar>
            <w:vAlign w:val="center"/>
          </w:tcPr>
          <w:p>
            <w:pPr>
              <w:spacing w:after="40"/>
            </w:pPr>
            <w:r>
              <w:rPr>
                <w:rFonts w:ascii="Calibri" w:hAnsi="Calibri"/>
                <w:sz w:val="19"/>
              </w:rPr>
              <w:t>Arrow owns/services machines; machine type and written terms still need confirmation.</w:t>
            </w:r>
          </w:p>
        </w:tc>
      </w:tr>
      <w:tr>
        <w:tc>
          <w:tcPr>
            <w:tcW w:type="dxa" w:w="2232"/>
            <w:tcMar>
              <w:top w:w="80" w:type="dxa"/>
              <w:start w:w="120" w:type="dxa"/>
              <w:bottom w:w="80" w:type="dxa"/>
              <w:end w:w="120" w:type="dxa"/>
            </w:tcMar>
            <w:vAlign w:val="center"/>
          </w:tcPr>
          <w:p>
            <w:pPr>
              <w:spacing w:after="40"/>
            </w:pPr>
            <w:r>
              <w:rPr>
                <w:rFonts w:ascii="Calibri" w:hAnsi="Calibri"/>
                <w:sz w:val="19"/>
              </w:rPr>
              <w:t>Concessions / amenities</w:t>
            </w:r>
          </w:p>
        </w:tc>
        <w:tc>
          <w:tcPr>
            <w:tcW w:type="dxa" w:w="2520"/>
            <w:tcMar>
              <w:top w:w="80" w:type="dxa"/>
              <w:start w:w="120" w:type="dxa"/>
              <w:bottom w:w="80" w:type="dxa"/>
              <w:end w:w="120" w:type="dxa"/>
            </w:tcMar>
            <w:vAlign w:val="center"/>
          </w:tcPr>
          <w:p>
            <w:pPr>
              <w:spacing w:after="40"/>
            </w:pPr>
            <w:r>
              <w:rPr>
                <w:rFonts w:ascii="Calibri" w:hAnsi="Calibri"/>
                <w:sz w:val="19"/>
              </w:rPr>
              <w:t>[ASSUMPTION: incidental only]</w:t>
            </w:r>
          </w:p>
        </w:tc>
        <w:tc>
          <w:tcPr>
            <w:tcW w:type="dxa" w:w="4248"/>
            <w:tcMar>
              <w:top w:w="80" w:type="dxa"/>
              <w:start w:w="120" w:type="dxa"/>
              <w:bottom w:w="80" w:type="dxa"/>
              <w:end w:w="120" w:type="dxa"/>
            </w:tcMar>
            <w:vAlign w:val="center"/>
          </w:tcPr>
          <w:p>
            <w:pPr>
              <w:spacing w:after="40"/>
            </w:pPr>
            <w:r>
              <w:rPr>
                <w:rFonts w:ascii="Calibri" w:hAnsi="Calibri"/>
                <w:sz w:val="19"/>
              </w:rPr>
              <w:t>Do not rely on this for break-even unless allowed and separately modeled.</w:t>
            </w:r>
          </w:p>
        </w:tc>
      </w:tr>
      <w:tr>
        <w:tc>
          <w:tcPr>
            <w:tcW w:type="dxa" w:w="2232"/>
            <w:tcMar>
              <w:top w:w="80" w:type="dxa"/>
              <w:start w:w="120" w:type="dxa"/>
              <w:bottom w:w="80" w:type="dxa"/>
              <w:end w:w="120" w:type="dxa"/>
            </w:tcMar>
            <w:vAlign w:val="center"/>
          </w:tcPr>
          <w:p>
            <w:pPr>
              <w:spacing w:after="40"/>
            </w:pPr>
            <w:r>
              <w:rPr>
                <w:rFonts w:ascii="Calibri" w:hAnsi="Calibri"/>
                <w:sz w:val="19"/>
              </w:rPr>
              <w:t>Community/partner presence</w:t>
            </w:r>
          </w:p>
        </w:tc>
        <w:tc>
          <w:tcPr>
            <w:tcW w:type="dxa" w:w="2520"/>
            <w:tcMar>
              <w:top w:w="80" w:type="dxa"/>
              <w:start w:w="120" w:type="dxa"/>
              <w:bottom w:w="80" w:type="dxa"/>
              <w:end w:w="120" w:type="dxa"/>
            </w:tcMar>
            <w:vAlign w:val="center"/>
          </w:tcPr>
          <w:p>
            <w:pPr>
              <w:spacing w:after="40"/>
            </w:pPr>
            <w:r>
              <w:rPr>
                <w:rFonts w:ascii="Calibri" w:hAnsi="Calibri"/>
                <w:sz w:val="19"/>
              </w:rPr>
              <w:t>[ASSUMPTION: non-core revenue]</w:t>
            </w:r>
          </w:p>
        </w:tc>
        <w:tc>
          <w:tcPr>
            <w:tcW w:type="dxa" w:w="4248"/>
            <w:tcMar>
              <w:top w:w="80" w:type="dxa"/>
              <w:start w:w="120" w:type="dxa"/>
              <w:bottom w:w="80" w:type="dxa"/>
              <w:end w:w="120" w:type="dxa"/>
            </w:tcMar>
            <w:vAlign w:val="center"/>
          </w:tcPr>
          <w:p>
            <w:pPr>
              <w:spacing w:after="40"/>
            </w:pPr>
            <w:r>
              <w:rPr>
                <w:rFonts w:ascii="Calibri" w:hAnsi="Calibri"/>
                <w:sz w:val="19"/>
              </w:rPr>
              <w:t>Useful for mission visibility, but charitable gaming proceeds remain the economic driver.</w:t>
            </w:r>
          </w:p>
        </w:tc>
      </w:tr>
    </w:tbl>
    <w:p/>
    <w:p>
      <w:pPr>
        <w:spacing w:after="120"/>
      </w:pPr>
      <w:r>
        <w:t>The core service standard is compliance, clean operations, reliable machine uptime, accurate cash controls, and documented mission use of proceeds. The operating risk is not idle entertainment space; it is failure to hit retention, reporting, and machine-level net revenue targets.</w:t>
      </w:r>
    </w:p>
    <w:p>
      <w:pPr>
        <w:pStyle w:val="Heading1"/>
      </w:pPr>
      <w:r>
        <w:t>6. Marketing and Sales Strategy</w:t>
      </w:r>
    </w:p>
    <w:p>
      <w:pPr>
        <w:pStyle w:val="Heading2"/>
      </w:pPr>
      <w:r>
        <w:t>Launch Priorities</w:t>
      </w:r>
    </w:p>
    <w:p>
      <w:pPr>
        <w:pStyle w:val="ListBullet"/>
        <w:spacing w:after="80"/>
      </w:pPr>
      <w:r>
        <w:t>Confirm charitable gaming license/exemption status, facility authorization, and machine type before lease execution.</w:t>
      </w:r>
    </w:p>
    <w:p>
      <w:pPr>
        <w:pStyle w:val="ListBullet"/>
        <w:spacing w:after="80"/>
      </w:pPr>
      <w:r>
        <w:t>Obtain written Arrow terms covering machine ownership, service obligations, vendor economics, grant timing, and replacement/service response.</w:t>
      </w:r>
    </w:p>
    <w:p>
      <w:pPr>
        <w:pStyle w:val="ListBullet"/>
        <w:spacing w:after="80"/>
      </w:pPr>
      <w:r>
        <w:t>Build a two-shift volunteer/chairperson schedule for 6 days per week, 8 hours per day at startup.</w:t>
      </w:r>
    </w:p>
    <w:p>
      <w:pPr>
        <w:pStyle w:val="ListBullet"/>
        <w:spacing w:after="80"/>
      </w:pPr>
      <w:r>
        <w:t>Create a 90-day compliance dashboard tracking gross receipts, adjusted gross receipts, retained percentage, retained net, fees, and incidents.</w:t>
      </w:r>
    </w:p>
    <w:p>
      <w:pPr>
        <w:pStyle w:val="ListBullet"/>
        <w:spacing w:after="80"/>
      </w:pPr>
      <w:r>
        <w:t>Confirm lease language allows charitable gaming operations and any signage/visibility required for The Golden Door.</w:t>
      </w:r>
    </w:p>
    <w:p>
      <w:pPr>
        <w:pStyle w:val="Heading2"/>
      </w:pPr>
      <w:r>
        <w:t>Sales Targets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Metric</w:t>
            </w:r>
          </w:p>
        </w:tc>
        <w:tc>
          <w:tcPr>
            <w:tcW w:type="dxa" w:w="2088"/>
            <w:tcMar>
              <w:top w:w="80" w:type="dxa"/>
              <w:start w:w="120" w:type="dxa"/>
              <w:bottom w:w="80" w:type="dxa"/>
              <w:end w:w="120" w:type="dxa"/>
            </w:tcMar>
            <w:vAlign w:val="center"/>
            <w:shd w:fill="F2F4F7"/>
          </w:tcPr>
          <w:p>
            <w:pPr>
              <w:spacing w:after="40"/>
            </w:pPr>
            <w:r>
              <w:rPr>
                <w:rFonts w:ascii="Calibri" w:hAnsi="Calibri"/>
                <w:b/>
                <w:color w:val="1F4D78"/>
                <w:sz w:val="19"/>
              </w:rPr>
              <w:t>Pre-opening target</w:t>
            </w:r>
          </w:p>
        </w:tc>
        <w:tc>
          <w:tcPr>
            <w:tcW w:type="dxa" w:w="2088"/>
            <w:tcMar>
              <w:top w:w="80" w:type="dxa"/>
              <w:start w:w="120" w:type="dxa"/>
              <w:bottom w:w="80" w:type="dxa"/>
              <w:end w:w="120" w:type="dxa"/>
            </w:tcMar>
            <w:vAlign w:val="center"/>
            <w:shd w:fill="F2F4F7"/>
          </w:tcPr>
          <w:p>
            <w:pPr>
              <w:spacing w:after="40"/>
            </w:pPr>
            <w:r>
              <w:rPr>
                <w:rFonts w:ascii="Calibri" w:hAnsi="Calibri"/>
                <w:b/>
                <w:color w:val="1F4D78"/>
                <w:sz w:val="19"/>
              </w:rPr>
              <w:t>First 90-day target</w:t>
            </w:r>
          </w:p>
        </w:tc>
        <w:tc>
          <w:tcPr>
            <w:tcW w:type="dxa" w:w="2448"/>
            <w:tcMar>
              <w:top w:w="80" w:type="dxa"/>
              <w:start w:w="120" w:type="dxa"/>
              <w:bottom w:w="80" w:type="dxa"/>
              <w:end w:w="120" w:type="dxa"/>
            </w:tcMar>
            <w:vAlign w:val="center"/>
            <w:shd w:fill="F2F4F7"/>
          </w:tcPr>
          <w:p>
            <w:pPr>
              <w:spacing w:after="40"/>
            </w:pPr>
            <w:r>
              <w:rPr>
                <w:rFonts w:ascii="Calibri" w:hAnsi="Calibri"/>
                <w:b/>
                <w:color w:val="1F4D78"/>
                <w:sz w:val="19"/>
              </w:rPr>
              <w:t>Reason</w:t>
            </w:r>
          </w:p>
        </w:tc>
      </w:tr>
      <w:tr>
        <w:tc>
          <w:tcPr>
            <w:tcW w:type="dxa" w:w="2376"/>
            <w:tcMar>
              <w:top w:w="80" w:type="dxa"/>
              <w:start w:w="120" w:type="dxa"/>
              <w:bottom w:w="80" w:type="dxa"/>
              <w:end w:w="120" w:type="dxa"/>
            </w:tcMar>
            <w:vAlign w:val="center"/>
          </w:tcPr>
          <w:p>
            <w:pPr>
              <w:spacing w:after="40"/>
            </w:pPr>
            <w:r>
              <w:rPr>
                <w:rFonts w:ascii="Calibri" w:hAnsi="Calibri"/>
                <w:sz w:val="19"/>
              </w:rPr>
              <w:t>Monthly gross receipts</w:t>
            </w:r>
          </w:p>
        </w:tc>
        <w:tc>
          <w:tcPr>
            <w:tcW w:type="dxa" w:w="2088"/>
            <w:tcMar>
              <w:top w:w="80" w:type="dxa"/>
              <w:start w:w="120" w:type="dxa"/>
              <w:bottom w:w="80" w:type="dxa"/>
              <w:end w:w="120" w:type="dxa"/>
            </w:tcMar>
            <w:vAlign w:val="center"/>
          </w:tcPr>
          <w:p>
            <w:pPr>
              <w:spacing w:after="40"/>
            </w:pPr>
            <w:r>
              <w:rPr>
                <w:rFonts w:ascii="Calibri" w:hAnsi="Calibri"/>
                <w:sz w:val="19"/>
              </w:rPr>
              <w:t>Model and controls ready</w:t>
            </w:r>
          </w:p>
        </w:tc>
        <w:tc>
          <w:tcPr>
            <w:tcW w:type="dxa" w:w="2088"/>
            <w:tcMar>
              <w:top w:w="80" w:type="dxa"/>
              <w:start w:w="120" w:type="dxa"/>
              <w:bottom w:w="80" w:type="dxa"/>
              <w:end w:w="120" w:type="dxa"/>
            </w:tcMar>
            <w:vAlign w:val="center"/>
          </w:tcPr>
          <w:p>
            <w:pPr>
              <w:spacing w:after="40"/>
            </w:pPr>
            <w:r>
              <w:rPr>
                <w:rFonts w:ascii="Calibri" w:hAnsi="Calibri"/>
                <w:sz w:val="19"/>
              </w:rPr>
              <w:t>$95K/month target</w:t>
            </w:r>
          </w:p>
        </w:tc>
        <w:tc>
          <w:tcPr>
            <w:tcW w:type="dxa" w:w="2448"/>
            <w:tcMar>
              <w:top w:w="80" w:type="dxa"/>
              <w:start w:w="120" w:type="dxa"/>
              <w:bottom w:w="80" w:type="dxa"/>
              <w:end w:w="120" w:type="dxa"/>
            </w:tcMar>
            <w:vAlign w:val="center"/>
          </w:tcPr>
          <w:p>
            <w:pPr>
              <w:spacing w:after="40"/>
            </w:pPr>
            <w:r>
              <w:rPr>
                <w:rFonts w:ascii="Calibri" w:hAnsi="Calibri"/>
                <w:sz w:val="19"/>
              </w:rPr>
              <w:t>GitHub source target; primary revenue engine.</w:t>
            </w:r>
          </w:p>
        </w:tc>
      </w:tr>
      <w:tr>
        <w:tc>
          <w:tcPr>
            <w:tcW w:type="dxa" w:w="2376"/>
            <w:tcMar>
              <w:top w:w="80" w:type="dxa"/>
              <w:start w:w="120" w:type="dxa"/>
              <w:bottom w:w="80" w:type="dxa"/>
              <w:end w:w="120" w:type="dxa"/>
            </w:tcMar>
            <w:vAlign w:val="center"/>
          </w:tcPr>
          <w:p>
            <w:pPr>
              <w:spacing w:after="40"/>
            </w:pPr>
            <w:r>
              <w:rPr>
                <w:rFonts w:ascii="Calibri" w:hAnsi="Calibri"/>
                <w:sz w:val="19"/>
              </w:rPr>
              <w:t>Monthly break-even gross</w:t>
            </w:r>
          </w:p>
        </w:tc>
        <w:tc>
          <w:tcPr>
            <w:tcW w:type="dxa" w:w="2088"/>
            <w:tcMar>
              <w:top w:w="80" w:type="dxa"/>
              <w:start w:w="120" w:type="dxa"/>
              <w:bottom w:w="80" w:type="dxa"/>
              <w:end w:w="120" w:type="dxa"/>
            </w:tcMar>
            <w:vAlign w:val="center"/>
          </w:tcPr>
          <w:p>
            <w:pPr>
              <w:spacing w:after="40"/>
            </w:pPr>
            <w:r>
              <w:rPr>
                <w:rFonts w:ascii="Calibri" w:hAnsi="Calibri"/>
                <w:sz w:val="19"/>
              </w:rPr>
              <w:t>Confirm machine economics</w:t>
            </w:r>
          </w:p>
        </w:tc>
        <w:tc>
          <w:tcPr>
            <w:tcW w:type="dxa" w:w="2088"/>
            <w:tcMar>
              <w:top w:w="80" w:type="dxa"/>
              <w:start w:w="120" w:type="dxa"/>
              <w:bottom w:w="80" w:type="dxa"/>
              <w:end w:w="120" w:type="dxa"/>
            </w:tcMar>
            <w:vAlign w:val="center"/>
          </w:tcPr>
          <w:p>
            <w:pPr>
              <w:spacing w:after="40"/>
            </w:pPr>
            <w:r>
              <w:rPr>
                <w:rFonts w:ascii="Calibri" w:hAnsi="Calibri"/>
                <w:sz w:val="19"/>
              </w:rPr>
              <w:t>$55K-$60K/month target range</w:t>
            </w:r>
          </w:p>
        </w:tc>
        <w:tc>
          <w:tcPr>
            <w:tcW w:type="dxa" w:w="2448"/>
            <w:tcMar>
              <w:top w:w="80" w:type="dxa"/>
              <w:start w:w="120" w:type="dxa"/>
              <w:bottom w:w="80" w:type="dxa"/>
              <w:end w:w="120" w:type="dxa"/>
            </w:tcMar>
            <w:vAlign w:val="center"/>
          </w:tcPr>
          <w:p>
            <w:pPr>
              <w:spacing w:after="40"/>
            </w:pPr>
            <w:r>
              <w:rPr>
                <w:rFonts w:ascii="Calibri" w:hAnsi="Calibri"/>
                <w:sz w:val="19"/>
              </w:rPr>
              <w:t>Source-note break-even; should be stress-tested against current rent.</w:t>
            </w:r>
          </w:p>
        </w:tc>
      </w:tr>
      <w:tr>
        <w:tc>
          <w:tcPr>
            <w:tcW w:type="dxa" w:w="2376"/>
            <w:tcMar>
              <w:top w:w="80" w:type="dxa"/>
              <w:start w:w="120" w:type="dxa"/>
              <w:bottom w:w="80" w:type="dxa"/>
              <w:end w:w="120" w:type="dxa"/>
            </w:tcMar>
            <w:vAlign w:val="center"/>
          </w:tcPr>
          <w:p>
            <w:pPr>
              <w:spacing w:after="40"/>
            </w:pPr>
            <w:r>
              <w:rPr>
                <w:rFonts w:ascii="Calibri" w:hAnsi="Calibri"/>
                <w:sz w:val="19"/>
              </w:rPr>
              <w:t>Retention percentage</w:t>
            </w:r>
          </w:p>
        </w:tc>
        <w:tc>
          <w:tcPr>
            <w:tcW w:type="dxa" w:w="2088"/>
            <w:tcMar>
              <w:top w:w="80" w:type="dxa"/>
              <w:start w:w="120" w:type="dxa"/>
              <w:bottom w:w="80" w:type="dxa"/>
              <w:end w:w="120" w:type="dxa"/>
            </w:tcMar>
            <w:vAlign w:val="center"/>
          </w:tcPr>
          <w:p>
            <w:pPr>
              <w:spacing w:after="40"/>
            </w:pPr>
            <w:r>
              <w:rPr>
                <w:rFonts w:ascii="Calibri" w:hAnsi="Calibri"/>
                <w:sz w:val="19"/>
              </w:rPr>
              <w:t>Controls designed</w:t>
            </w:r>
          </w:p>
        </w:tc>
        <w:tc>
          <w:tcPr>
            <w:tcW w:type="dxa" w:w="2088"/>
            <w:tcMar>
              <w:top w:w="80" w:type="dxa"/>
              <w:start w:w="120" w:type="dxa"/>
              <w:bottom w:w="80" w:type="dxa"/>
              <w:end w:w="120" w:type="dxa"/>
            </w:tcMar>
            <w:vAlign w:val="center"/>
          </w:tcPr>
          <w:p>
            <w:pPr>
              <w:spacing w:after="40"/>
            </w:pPr>
            <w:r>
              <w:rPr>
                <w:rFonts w:ascii="Calibri" w:hAnsi="Calibri"/>
                <w:sz w:val="19"/>
              </w:rPr>
              <w:t>At least 40%; target ~46%</w:t>
            </w:r>
          </w:p>
        </w:tc>
        <w:tc>
          <w:tcPr>
            <w:tcW w:type="dxa" w:w="2448"/>
            <w:tcMar>
              <w:top w:w="80" w:type="dxa"/>
              <w:start w:w="120" w:type="dxa"/>
              <w:bottom w:w="80" w:type="dxa"/>
              <w:end w:w="120" w:type="dxa"/>
            </w:tcMar>
            <w:vAlign w:val="center"/>
          </w:tcPr>
          <w:p>
            <w:pPr>
              <w:spacing w:after="40"/>
            </w:pPr>
            <w:r>
              <w:rPr>
                <w:rFonts w:ascii="Calibri" w:hAnsi="Calibri"/>
                <w:sz w:val="19"/>
              </w:rPr>
              <w:t>Source-note compliance floor and target retained performance.</w:t>
            </w:r>
          </w:p>
        </w:tc>
      </w:tr>
      <w:tr>
        <w:tc>
          <w:tcPr>
            <w:tcW w:type="dxa" w:w="2376"/>
            <w:tcMar>
              <w:top w:w="80" w:type="dxa"/>
              <w:start w:w="120" w:type="dxa"/>
              <w:bottom w:w="80" w:type="dxa"/>
              <w:end w:w="120" w:type="dxa"/>
            </w:tcMar>
            <w:vAlign w:val="center"/>
          </w:tcPr>
          <w:p>
            <w:pPr>
              <w:spacing w:after="40"/>
            </w:pPr>
            <w:r>
              <w:rPr>
                <w:rFonts w:ascii="Calibri" w:hAnsi="Calibri"/>
                <w:sz w:val="19"/>
              </w:rPr>
              <w:t>Net retained</w:t>
            </w:r>
          </w:p>
        </w:tc>
        <w:tc>
          <w:tcPr>
            <w:tcW w:type="dxa" w:w="2088"/>
            <w:tcMar>
              <w:top w:w="80" w:type="dxa"/>
              <w:start w:w="120" w:type="dxa"/>
              <w:bottom w:w="80" w:type="dxa"/>
              <w:end w:w="120" w:type="dxa"/>
            </w:tcMar>
            <w:vAlign w:val="center"/>
          </w:tcPr>
          <w:p>
            <w:pPr>
              <w:spacing w:after="40"/>
            </w:pPr>
            <w:r>
              <w:rPr>
                <w:rFonts w:ascii="Calibri" w:hAnsi="Calibri"/>
                <w:sz w:val="19"/>
              </w:rPr>
              <w:t>Use-of-proceeds plan ready</w:t>
            </w:r>
          </w:p>
        </w:tc>
        <w:tc>
          <w:tcPr>
            <w:tcW w:type="dxa" w:w="2088"/>
            <w:tcMar>
              <w:top w:w="80" w:type="dxa"/>
              <w:start w:w="120" w:type="dxa"/>
              <w:bottom w:w="80" w:type="dxa"/>
              <w:end w:w="120" w:type="dxa"/>
            </w:tcMar>
            <w:vAlign w:val="center"/>
          </w:tcPr>
          <w:p>
            <w:pPr>
              <w:spacing w:after="40"/>
            </w:pPr>
            <w:r>
              <w:rPr>
                <w:rFonts w:ascii="Calibri" w:hAnsi="Calibri"/>
                <w:sz w:val="19"/>
              </w:rPr>
              <w:t>~$44K/month target</w:t>
            </w:r>
          </w:p>
        </w:tc>
        <w:tc>
          <w:tcPr>
            <w:tcW w:type="dxa" w:w="2448"/>
            <w:tcMar>
              <w:top w:w="80" w:type="dxa"/>
              <w:start w:w="120" w:type="dxa"/>
              <w:bottom w:w="80" w:type="dxa"/>
              <w:end w:w="120" w:type="dxa"/>
            </w:tcMar>
            <w:vAlign w:val="center"/>
          </w:tcPr>
          <w:p>
            <w:pPr>
              <w:spacing w:after="40"/>
            </w:pPr>
            <w:r>
              <w:rPr>
                <w:rFonts w:ascii="Calibri" w:hAnsi="Calibri"/>
                <w:sz w:val="19"/>
              </w:rPr>
              <w:t>Funds mission use and operating needs.</w:t>
            </w:r>
          </w:p>
        </w:tc>
      </w:tr>
      <w:tr>
        <w:tc>
          <w:tcPr>
            <w:tcW w:type="dxa" w:w="2376"/>
            <w:tcMar>
              <w:top w:w="80" w:type="dxa"/>
              <w:start w:w="120" w:type="dxa"/>
              <w:bottom w:w="80" w:type="dxa"/>
              <w:end w:w="120" w:type="dxa"/>
            </w:tcMar>
            <w:vAlign w:val="center"/>
          </w:tcPr>
          <w:p>
            <w:pPr>
              <w:spacing w:after="40"/>
            </w:pPr>
            <w:r>
              <w:rPr>
                <w:rFonts w:ascii="Calibri" w:hAnsi="Calibri"/>
                <w:sz w:val="19"/>
              </w:rPr>
              <w:t>Stabilization</w:t>
            </w:r>
          </w:p>
        </w:tc>
        <w:tc>
          <w:tcPr>
            <w:tcW w:type="dxa" w:w="2088"/>
            <w:tcMar>
              <w:top w:w="80" w:type="dxa"/>
              <w:start w:w="120" w:type="dxa"/>
              <w:bottom w:w="80" w:type="dxa"/>
              <w:end w:w="120" w:type="dxa"/>
            </w:tcMar>
            <w:vAlign w:val="center"/>
          </w:tcPr>
          <w:p>
            <w:pPr>
              <w:spacing w:after="40"/>
            </w:pPr>
            <w:r>
              <w:rPr>
                <w:rFonts w:ascii="Calibri" w:hAnsi="Calibri"/>
                <w:sz w:val="19"/>
              </w:rPr>
              <w:t>Opening checklist complete</w:t>
            </w:r>
          </w:p>
        </w:tc>
        <w:tc>
          <w:tcPr>
            <w:tcW w:type="dxa" w:w="2088"/>
            <w:tcMar>
              <w:top w:w="80" w:type="dxa"/>
              <w:start w:w="120" w:type="dxa"/>
              <w:bottom w:w="80" w:type="dxa"/>
              <w:end w:w="120" w:type="dxa"/>
            </w:tcMar>
            <w:vAlign w:val="center"/>
          </w:tcPr>
          <w:p>
            <w:pPr>
              <w:spacing w:after="40"/>
            </w:pPr>
            <w:r>
              <w:rPr>
                <w:rFonts w:ascii="Calibri" w:hAnsi="Calibri"/>
                <w:sz w:val="19"/>
              </w:rPr>
              <w:t>Month 2 post-launch</w:t>
            </w:r>
          </w:p>
        </w:tc>
        <w:tc>
          <w:tcPr>
            <w:tcW w:type="dxa" w:w="2448"/>
            <w:tcMar>
              <w:top w:w="80" w:type="dxa"/>
              <w:start w:w="120" w:type="dxa"/>
              <w:bottom w:w="80" w:type="dxa"/>
              <w:end w:w="120" w:type="dxa"/>
            </w:tcMar>
            <w:vAlign w:val="center"/>
          </w:tcPr>
          <w:p>
            <w:pPr>
              <w:spacing w:after="40"/>
            </w:pPr>
            <w:r>
              <w:rPr>
                <w:rFonts w:ascii="Calibri" w:hAnsi="Calibri"/>
                <w:sz w:val="19"/>
              </w:rPr>
              <w:t>Source-note expectation; should be validated weekly.</w:t>
            </w:r>
          </w:p>
        </w:tc>
      </w:tr>
    </w:tbl>
    <w:p/>
    <w:p>
      <w:pPr>
        <w:pStyle w:val="Heading2"/>
      </w:pPr>
      <w:r>
        <w:t>Marketing Channels</w:t>
      </w:r>
    </w:p>
    <w:p>
      <w:pPr>
        <w:pStyle w:val="ListBullet"/>
        <w:spacing w:after="80"/>
      </w:pPr>
      <w:r>
        <w:t>Compliance-safe local visibility for The Golden Door location name, operating hours, and mission connection.</w:t>
      </w:r>
    </w:p>
    <w:p>
      <w:pPr>
        <w:pStyle w:val="ListBullet"/>
        <w:spacing w:after="80"/>
      </w:pPr>
      <w:r>
        <w:t>Direct relationship-building with eligible adult patrons and community partners, subject to charitable gaming advertising rules.</w:t>
      </w:r>
    </w:p>
    <w:p>
      <w:pPr>
        <w:pStyle w:val="ListBullet"/>
        <w:spacing w:after="80"/>
      </w:pPr>
      <w:r>
        <w:t>Clear on-site explanation of Common Good Network Inc.'s mission and use of retained proceeds.</w:t>
      </w:r>
    </w:p>
    <w:p>
      <w:pPr>
        <w:pStyle w:val="ListBullet"/>
        <w:spacing w:after="80"/>
      </w:pPr>
      <w:r>
        <w:t>No marketing claims that imply casino operations, sports wagering, or unlicensed gaming activity.</w:t>
      </w:r>
    </w:p>
    <w:p>
      <w:pPr>
        <w:pStyle w:val="ListBullet"/>
        <w:spacing w:after="80"/>
      </w:pPr>
      <w:r>
        <w:t>Board-approved launch messaging reviewed against KRS Chapter 238 and applicable 820 KAR Chapter 1 rules.</w:t>
      </w:r>
    </w:p>
    <w:p>
      <w:pPr>
        <w:pStyle w:val="Heading1"/>
      </w:pPr>
      <w:r>
        <w:t>7. Funding Request</w:t>
      </w:r>
    </w:p>
    <w:p>
      <w:pPr>
        <w:spacing w:after="120"/>
      </w:pPr>
      <w:r>
        <w:t>The immediate funding request is $25,000. This request is structured for lease readiness and opening liquidity. Arrow's commitment to grant $25,000-$35,000 after opening and to own/service all gaming-related equipment materially reduces the unfunded equipment risk. It does not remove the need to confirm insurance, non-gaming buildout/furniture, inventory, staffing, and written Arrow terms.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592"/>
            <w:tcMar>
              <w:top w:w="80" w:type="dxa"/>
              <w:start w:w="120" w:type="dxa"/>
              <w:bottom w:w="80" w:type="dxa"/>
              <w:end w:w="120" w:type="dxa"/>
            </w:tcMar>
            <w:vAlign w:val="center"/>
            <w:shd w:fill="F2F4F7"/>
          </w:tcPr>
          <w:p>
            <w:pPr>
              <w:spacing w:after="40"/>
            </w:pPr>
            <w:r>
              <w:rPr>
                <w:rFonts w:ascii="Calibri" w:hAnsi="Calibri"/>
                <w:b/>
                <w:color w:val="1F4D78"/>
                <w:sz w:val="19"/>
              </w:rPr>
              <w:t>Use of funds</w:t>
            </w:r>
          </w:p>
        </w:tc>
        <w:tc>
          <w:tcPr>
            <w:tcW w:type="dxa" w:w="1440"/>
            <w:tcMar>
              <w:top w:w="80" w:type="dxa"/>
              <w:start w:w="120" w:type="dxa"/>
              <w:bottom w:w="80" w:type="dxa"/>
              <w:end w:w="120" w:type="dxa"/>
            </w:tcMar>
            <w:vAlign w:val="center"/>
            <w:shd w:fill="F2F4F7"/>
          </w:tcPr>
          <w:p>
            <w:pPr>
              <w:spacing w:after="40"/>
            </w:pPr>
            <w:r>
              <w:rPr>
                <w:rFonts w:ascii="Calibri" w:hAnsi="Calibri"/>
                <w:b/>
                <w:color w:val="1F4D78"/>
                <w:sz w:val="19"/>
              </w:rPr>
              <w:t>Amount</w:t>
            </w:r>
          </w:p>
        </w:tc>
        <w:tc>
          <w:tcPr>
            <w:tcW w:type="dxa" w:w="4968"/>
            <w:tcMar>
              <w:top w:w="80" w:type="dxa"/>
              <w:start w:w="120" w:type="dxa"/>
              <w:bottom w:w="80" w:type="dxa"/>
              <w:end w:w="120" w:type="dxa"/>
            </w:tcMar>
            <w:vAlign w:val="center"/>
            <w:shd w:fill="F2F4F7"/>
          </w:tcPr>
          <w:p>
            <w:pPr>
              <w:spacing w:after="40"/>
            </w:pPr>
            <w:r>
              <w:rPr>
                <w:rFonts w:ascii="Calibri" w:hAnsi="Calibri"/>
                <w:b/>
                <w:color w:val="1F4D78"/>
                <w:sz w:val="19"/>
              </w:rPr>
              <w:t>Purpose / control</w:t>
            </w:r>
          </w:p>
        </w:tc>
      </w:tr>
      <w:tr>
        <w:tc>
          <w:tcPr>
            <w:tcW w:type="dxa" w:w="2592"/>
            <w:tcMar>
              <w:top w:w="80" w:type="dxa"/>
              <w:start w:w="120" w:type="dxa"/>
              <w:bottom w:w="80" w:type="dxa"/>
              <w:end w:w="120" w:type="dxa"/>
            </w:tcMar>
            <w:vAlign w:val="center"/>
          </w:tcPr>
          <w:p>
            <w:pPr>
              <w:spacing w:after="40"/>
            </w:pPr>
            <w:r>
              <w:rPr>
                <w:rFonts w:ascii="Calibri" w:hAnsi="Calibri"/>
                <w:sz w:val="19"/>
              </w:rPr>
              <w:t>Opening cash till</w:t>
            </w:r>
          </w:p>
        </w:tc>
        <w:tc>
          <w:tcPr>
            <w:tcW w:type="dxa" w:w="1440"/>
            <w:tcMar>
              <w:top w:w="80" w:type="dxa"/>
              <w:start w:w="120" w:type="dxa"/>
              <w:bottom w:w="80" w:type="dxa"/>
              <w:end w:w="120" w:type="dxa"/>
            </w:tcMar>
            <w:vAlign w:val="center"/>
          </w:tcPr>
          <w:p>
            <w:pPr>
              <w:spacing w:after="40"/>
            </w:pPr>
            <w:r>
              <w:rPr>
                <w:rFonts w:ascii="Calibri" w:hAnsi="Calibri"/>
                <w:sz w:val="19"/>
              </w:rPr>
              <w:t>$10,000</w:t>
            </w:r>
          </w:p>
        </w:tc>
        <w:tc>
          <w:tcPr>
            <w:tcW w:type="dxa" w:w="4968"/>
            <w:tcMar>
              <w:top w:w="80" w:type="dxa"/>
              <w:start w:w="120" w:type="dxa"/>
              <w:bottom w:w="80" w:type="dxa"/>
              <w:end w:w="120" w:type="dxa"/>
            </w:tcMar>
            <w:vAlign w:val="center"/>
          </w:tcPr>
          <w:p>
            <w:pPr>
              <w:spacing w:after="40"/>
            </w:pPr>
            <w:r>
              <w:rPr>
                <w:rFonts w:ascii="Calibri" w:hAnsi="Calibri"/>
                <w:sz w:val="19"/>
              </w:rPr>
              <w:t>Start-up cash liquidity, change bank, and controlled operating cash. Requires written cash policy.</w:t>
            </w:r>
          </w:p>
        </w:tc>
      </w:tr>
      <w:tr>
        <w:tc>
          <w:tcPr>
            <w:tcW w:type="dxa" w:w="2592"/>
            <w:tcMar>
              <w:top w:w="80" w:type="dxa"/>
              <w:start w:w="120" w:type="dxa"/>
              <w:bottom w:w="80" w:type="dxa"/>
              <w:end w:w="120" w:type="dxa"/>
            </w:tcMar>
            <w:vAlign w:val="center"/>
          </w:tcPr>
          <w:p>
            <w:pPr>
              <w:spacing w:after="40"/>
            </w:pPr>
            <w:r>
              <w:rPr>
                <w:rFonts w:ascii="Calibri" w:hAnsi="Calibri"/>
                <w:sz w:val="19"/>
              </w:rPr>
              <w:t>First and last month rent</w:t>
            </w:r>
          </w:p>
        </w:tc>
        <w:tc>
          <w:tcPr>
            <w:tcW w:type="dxa" w:w="1440"/>
            <w:tcMar>
              <w:top w:w="80" w:type="dxa"/>
              <w:start w:w="120" w:type="dxa"/>
              <w:bottom w:w="80" w:type="dxa"/>
              <w:end w:w="120" w:type="dxa"/>
            </w:tcMar>
            <w:vAlign w:val="center"/>
          </w:tcPr>
          <w:p>
            <w:pPr>
              <w:spacing w:after="40"/>
            </w:pPr>
            <w:r>
              <w:rPr>
                <w:rFonts w:ascii="Calibri" w:hAnsi="Calibri"/>
                <w:sz w:val="19"/>
              </w:rPr>
              <w:t>$8,000</w:t>
            </w:r>
          </w:p>
        </w:tc>
        <w:tc>
          <w:tcPr>
            <w:tcW w:type="dxa" w:w="4968"/>
            <w:tcMar>
              <w:top w:w="80" w:type="dxa"/>
              <w:start w:w="120" w:type="dxa"/>
              <w:bottom w:w="80" w:type="dxa"/>
              <w:end w:w="120" w:type="dxa"/>
            </w:tcMar>
            <w:vAlign w:val="center"/>
          </w:tcPr>
          <w:p>
            <w:pPr>
              <w:spacing w:after="40"/>
            </w:pPr>
            <w:r>
              <w:rPr>
                <w:rFonts w:ascii="Calibri" w:hAnsi="Calibri"/>
                <w:sz w:val="19"/>
              </w:rPr>
              <w:t>Assumes $4,000/month rent. Supports lease execution.</w:t>
            </w:r>
          </w:p>
        </w:tc>
      </w:tr>
      <w:tr>
        <w:tc>
          <w:tcPr>
            <w:tcW w:type="dxa" w:w="2592"/>
            <w:tcMar>
              <w:top w:w="80" w:type="dxa"/>
              <w:start w:w="120" w:type="dxa"/>
              <w:bottom w:w="80" w:type="dxa"/>
              <w:end w:w="120" w:type="dxa"/>
            </w:tcMar>
            <w:vAlign w:val="center"/>
          </w:tcPr>
          <w:p>
            <w:pPr>
              <w:spacing w:after="40"/>
            </w:pPr>
            <w:r>
              <w:rPr>
                <w:rFonts w:ascii="Calibri" w:hAnsi="Calibri"/>
                <w:sz w:val="19"/>
              </w:rPr>
              <w:t>Utility deposits</w:t>
            </w:r>
          </w:p>
        </w:tc>
        <w:tc>
          <w:tcPr>
            <w:tcW w:type="dxa" w:w="1440"/>
            <w:tcMar>
              <w:top w:w="80" w:type="dxa"/>
              <w:start w:w="120" w:type="dxa"/>
              <w:bottom w:w="80" w:type="dxa"/>
              <w:end w:w="120" w:type="dxa"/>
            </w:tcMar>
            <w:vAlign w:val="center"/>
          </w:tcPr>
          <w:p>
            <w:pPr>
              <w:spacing w:after="40"/>
            </w:pPr>
            <w:r>
              <w:rPr>
                <w:rFonts w:ascii="Calibri" w:hAnsi="Calibri"/>
                <w:sz w:val="19"/>
              </w:rPr>
              <w:t>$2,000</w:t>
            </w:r>
          </w:p>
        </w:tc>
        <w:tc>
          <w:tcPr>
            <w:tcW w:type="dxa" w:w="4968"/>
            <w:tcMar>
              <w:top w:w="80" w:type="dxa"/>
              <w:start w:w="120" w:type="dxa"/>
              <w:bottom w:w="80" w:type="dxa"/>
              <w:end w:w="120" w:type="dxa"/>
            </w:tcMar>
            <w:vAlign w:val="center"/>
          </w:tcPr>
          <w:p>
            <w:pPr>
              <w:spacing w:after="40"/>
            </w:pPr>
            <w:r>
              <w:rPr>
                <w:rFonts w:ascii="Calibri" w:hAnsi="Calibri"/>
                <w:sz w:val="19"/>
              </w:rPr>
              <w:t>Deposits for electric, internet, water, waste, and related services.</w:t>
            </w:r>
          </w:p>
        </w:tc>
      </w:tr>
      <w:tr>
        <w:tc>
          <w:tcPr>
            <w:tcW w:type="dxa" w:w="2592"/>
            <w:tcMar>
              <w:top w:w="80" w:type="dxa"/>
              <w:start w:w="120" w:type="dxa"/>
              <w:bottom w:w="80" w:type="dxa"/>
              <w:end w:w="120" w:type="dxa"/>
            </w:tcMar>
            <w:vAlign w:val="center"/>
          </w:tcPr>
          <w:p>
            <w:pPr>
              <w:spacing w:after="40"/>
            </w:pPr>
            <w:r>
              <w:rPr>
                <w:rFonts w:ascii="Calibri" w:hAnsi="Calibri"/>
                <w:sz w:val="19"/>
              </w:rPr>
              <w:t>Operating buffer</w:t>
            </w:r>
          </w:p>
        </w:tc>
        <w:tc>
          <w:tcPr>
            <w:tcW w:type="dxa" w:w="1440"/>
            <w:tcMar>
              <w:top w:w="80" w:type="dxa"/>
              <w:start w:w="120" w:type="dxa"/>
              <w:bottom w:w="80" w:type="dxa"/>
              <w:end w:w="120" w:type="dxa"/>
            </w:tcMar>
            <w:vAlign w:val="center"/>
          </w:tcPr>
          <w:p>
            <w:pPr>
              <w:spacing w:after="40"/>
            </w:pPr>
            <w:r>
              <w:rPr>
                <w:rFonts w:ascii="Calibri" w:hAnsi="Calibri"/>
                <w:sz w:val="19"/>
              </w:rPr>
              <w:t>$5,000</w:t>
            </w:r>
          </w:p>
        </w:tc>
        <w:tc>
          <w:tcPr>
            <w:tcW w:type="dxa" w:w="4968"/>
            <w:tcMar>
              <w:top w:w="80" w:type="dxa"/>
              <w:start w:w="120" w:type="dxa"/>
              <w:bottom w:w="80" w:type="dxa"/>
              <w:end w:w="120" w:type="dxa"/>
            </w:tcMar>
            <w:vAlign w:val="center"/>
          </w:tcPr>
          <w:p>
            <w:pPr>
              <w:spacing w:after="40"/>
            </w:pPr>
            <w:r>
              <w:rPr>
                <w:rFonts w:ascii="Calibri" w:hAnsi="Calibri"/>
                <w:sz w:val="19"/>
              </w:rPr>
              <w:t>Short-term cushion for early timing gaps, repairs, supplies, and launch variance.</w:t>
            </w:r>
          </w:p>
        </w:tc>
      </w:tr>
      <w:tr>
        <w:tc>
          <w:tcPr>
            <w:tcW w:type="dxa" w:w="2592"/>
            <w:tcMar>
              <w:top w:w="80" w:type="dxa"/>
              <w:start w:w="120" w:type="dxa"/>
              <w:bottom w:w="80" w:type="dxa"/>
              <w:end w:w="120" w:type="dxa"/>
            </w:tcMar>
            <w:vAlign w:val="center"/>
          </w:tcPr>
          <w:p>
            <w:pPr>
              <w:spacing w:after="40"/>
            </w:pPr>
            <w:r>
              <w:rPr>
                <w:rFonts w:ascii="Calibri" w:hAnsi="Calibri"/>
                <w:sz w:val="19"/>
              </w:rPr>
              <w:t>Immediate lease-readiness total</w:t>
            </w:r>
          </w:p>
        </w:tc>
        <w:tc>
          <w:tcPr>
            <w:tcW w:type="dxa" w:w="1440"/>
            <w:tcMar>
              <w:top w:w="80" w:type="dxa"/>
              <w:start w:w="120" w:type="dxa"/>
              <w:bottom w:w="80" w:type="dxa"/>
              <w:end w:w="120" w:type="dxa"/>
            </w:tcMar>
            <w:vAlign w:val="center"/>
          </w:tcPr>
          <w:p>
            <w:pPr>
              <w:spacing w:after="40"/>
            </w:pPr>
            <w:r>
              <w:rPr>
                <w:rFonts w:ascii="Calibri" w:hAnsi="Calibri"/>
                <w:sz w:val="19"/>
              </w:rPr>
              <w:t>$25,000</w:t>
            </w:r>
          </w:p>
        </w:tc>
        <w:tc>
          <w:tcPr>
            <w:tcW w:type="dxa" w:w="4968"/>
            <w:tcMar>
              <w:top w:w="80" w:type="dxa"/>
              <w:start w:w="120" w:type="dxa"/>
              <w:bottom w:w="80" w:type="dxa"/>
              <w:end w:w="120" w:type="dxa"/>
            </w:tcMar>
            <w:vAlign w:val="center"/>
          </w:tcPr>
          <w:p>
            <w:pPr>
              <w:spacing w:after="40"/>
            </w:pPr>
            <w:r>
              <w:rPr>
                <w:rFonts w:ascii="Calibri" w:hAnsi="Calibri"/>
                <w:sz w:val="19"/>
              </w:rPr>
              <w:t>Minimum cash requirement before opening.</w:t>
            </w:r>
          </w:p>
        </w:tc>
      </w:tr>
      <w:tr>
        <w:tc>
          <w:tcPr>
            <w:tcW w:type="dxa" w:w="2592"/>
            <w:tcMar>
              <w:top w:w="80" w:type="dxa"/>
              <w:start w:w="120" w:type="dxa"/>
              <w:bottom w:w="80" w:type="dxa"/>
              <w:end w:w="120" w:type="dxa"/>
            </w:tcMar>
            <w:vAlign w:val="center"/>
          </w:tcPr>
          <w:p>
            <w:pPr>
              <w:spacing w:after="40"/>
            </w:pPr>
            <w:r>
              <w:rPr>
                <w:rFonts w:ascii="Calibri" w:hAnsi="Calibri"/>
                <w:sz w:val="19"/>
              </w:rPr>
              <w:t>Arrow post-opening grant</w:t>
            </w:r>
          </w:p>
        </w:tc>
        <w:tc>
          <w:tcPr>
            <w:tcW w:type="dxa" w:w="1440"/>
            <w:tcMar>
              <w:top w:w="80" w:type="dxa"/>
              <w:start w:w="120" w:type="dxa"/>
              <w:bottom w:w="80" w:type="dxa"/>
              <w:end w:w="120" w:type="dxa"/>
            </w:tcMar>
            <w:vAlign w:val="center"/>
          </w:tcPr>
          <w:p>
            <w:pPr>
              <w:spacing w:after="40"/>
            </w:pPr>
            <w:r>
              <w:rPr>
                <w:rFonts w:ascii="Calibri" w:hAnsi="Calibri"/>
                <w:sz w:val="19"/>
              </w:rPr>
              <w:t>$25,000-$35,000</w:t>
            </w:r>
          </w:p>
        </w:tc>
        <w:tc>
          <w:tcPr>
            <w:tcW w:type="dxa" w:w="4968"/>
            <w:tcMar>
              <w:top w:w="80" w:type="dxa"/>
              <w:start w:w="120" w:type="dxa"/>
              <w:bottom w:w="80" w:type="dxa"/>
              <w:end w:w="120" w:type="dxa"/>
            </w:tcMar>
            <w:vAlign w:val="center"/>
          </w:tcPr>
          <w:p>
            <w:pPr>
              <w:spacing w:after="40"/>
            </w:pPr>
            <w:r>
              <w:rPr>
                <w:rFonts w:ascii="Calibri" w:hAnsi="Calibri"/>
                <w:sz w:val="19"/>
              </w:rPr>
              <w:t>Supplemental source expected after doors open; should not be spent or pledged before written terms and timing are confirmed.</w:t>
            </w:r>
          </w:p>
        </w:tc>
      </w:tr>
    </w:tbl>
    <w:p/>
    <w:p>
      <w:pPr>
        <w:spacing w:after="120"/>
      </w:pPr>
      <w:r>
        <w:t>[GAP: Written Arrow terms, insurance requirements, furniture, signage, buildout outside gaming equipment, permits, legal/accounting setup, POS hardware, opening inventory, and pre-opening payroll still need confirmation.] If these items are not already secured or covered by Arrow/partners, the true funding need is higher than the initial $25,000 lease-readiness request.</w:t>
      </w:r>
    </w:p>
    <w:p>
      <w:pPr>
        <w:pStyle w:val="Heading1"/>
      </w:pPr>
      <w:r>
        <w:t>8. Financial Projections</w:t>
      </w:r>
    </w:p>
    <w:p>
      <w:pPr>
        <w:pStyle w:val="Heading2"/>
      </w:pPr>
      <w:r>
        <w:t>Key Modeling Assumptions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Assumption</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Year 1 base case</w:t>
            </w:r>
          </w:p>
        </w:tc>
        <w:tc>
          <w:tcPr>
            <w:tcW w:type="dxa" w:w="4104"/>
            <w:tcMar>
              <w:top w:w="80" w:type="dxa"/>
              <w:start w:w="120" w:type="dxa"/>
              <w:bottom w:w="80" w:type="dxa"/>
              <w:end w:w="120" w:type="dxa"/>
            </w:tcMar>
            <w:vAlign w:val="center"/>
            <w:shd w:fill="F2F4F7"/>
          </w:tcPr>
          <w:p>
            <w:pPr>
              <w:spacing w:after="40"/>
            </w:pPr>
            <w:r>
              <w:rPr>
                <w:rFonts w:ascii="Calibri" w:hAnsi="Calibri"/>
                <w:b/>
                <w:color w:val="1F4D78"/>
                <w:sz w:val="19"/>
              </w:rPr>
              <w:t>Why it matters</w:t>
            </w:r>
          </w:p>
        </w:tc>
      </w:tr>
      <w:tr>
        <w:tc>
          <w:tcPr>
            <w:tcW w:type="dxa" w:w="2376"/>
            <w:tcMar>
              <w:top w:w="80" w:type="dxa"/>
              <w:start w:w="120" w:type="dxa"/>
              <w:bottom w:w="80" w:type="dxa"/>
              <w:end w:w="120" w:type="dxa"/>
            </w:tcMar>
            <w:vAlign w:val="center"/>
          </w:tcPr>
          <w:p>
            <w:pPr>
              <w:spacing w:after="40"/>
            </w:pPr>
            <w:r>
              <w:rPr>
                <w:rFonts w:ascii="Calibri" w:hAnsi="Calibri"/>
                <w:sz w:val="19"/>
              </w:rPr>
              <w:t>Operating days</w:t>
            </w:r>
          </w:p>
        </w:tc>
        <w:tc>
          <w:tcPr>
            <w:tcW w:type="dxa" w:w="2520"/>
            <w:tcMar>
              <w:top w:w="80" w:type="dxa"/>
              <w:start w:w="120" w:type="dxa"/>
              <w:bottom w:w="80" w:type="dxa"/>
              <w:end w:w="120" w:type="dxa"/>
            </w:tcMar>
            <w:vAlign w:val="center"/>
          </w:tcPr>
          <w:p>
            <w:pPr>
              <w:spacing w:after="40"/>
            </w:pPr>
            <w:r>
              <w:rPr>
                <w:rFonts w:ascii="Calibri" w:hAnsi="Calibri"/>
                <w:sz w:val="19"/>
              </w:rPr>
              <w:t>312 days/year, 6 days/week</w:t>
            </w:r>
          </w:p>
        </w:tc>
        <w:tc>
          <w:tcPr>
            <w:tcW w:type="dxa" w:w="4104"/>
            <w:tcMar>
              <w:top w:w="80" w:type="dxa"/>
              <w:start w:w="120" w:type="dxa"/>
              <w:bottom w:w="80" w:type="dxa"/>
              <w:end w:w="120" w:type="dxa"/>
            </w:tcMar>
            <w:vAlign w:val="center"/>
          </w:tcPr>
          <w:p>
            <w:pPr>
              <w:spacing w:after="40"/>
            </w:pPr>
            <w:r>
              <w:rPr>
                <w:rFonts w:ascii="Calibri" w:hAnsi="Calibri"/>
                <w:sz w:val="19"/>
              </w:rPr>
              <w:t>Sets machine availability, staffing requirement, and compliance controls.</w:t>
            </w:r>
          </w:p>
        </w:tc>
      </w:tr>
      <w:tr>
        <w:tc>
          <w:tcPr>
            <w:tcW w:type="dxa" w:w="2376"/>
            <w:tcMar>
              <w:top w:w="80" w:type="dxa"/>
              <w:start w:w="120" w:type="dxa"/>
              <w:bottom w:w="80" w:type="dxa"/>
              <w:end w:w="120" w:type="dxa"/>
            </w:tcMar>
            <w:vAlign w:val="center"/>
          </w:tcPr>
          <w:p>
            <w:pPr>
              <w:spacing w:after="40"/>
            </w:pPr>
            <w:r>
              <w:rPr>
                <w:rFonts w:ascii="Calibri" w:hAnsi="Calibri"/>
                <w:sz w:val="19"/>
              </w:rPr>
              <w:t>Operating hours</w:t>
            </w:r>
          </w:p>
        </w:tc>
        <w:tc>
          <w:tcPr>
            <w:tcW w:type="dxa" w:w="2520"/>
            <w:tcMar>
              <w:top w:w="80" w:type="dxa"/>
              <w:start w:w="120" w:type="dxa"/>
              <w:bottom w:w="80" w:type="dxa"/>
              <w:end w:w="120" w:type="dxa"/>
            </w:tcMar>
            <w:vAlign w:val="center"/>
          </w:tcPr>
          <w:p>
            <w:pPr>
              <w:spacing w:after="40"/>
            </w:pPr>
            <w:r>
              <w:rPr>
                <w:rFonts w:ascii="Calibri" w:hAnsi="Calibri"/>
                <w:sz w:val="19"/>
              </w:rPr>
              <w:t>8 hours/day at startup</w:t>
            </w:r>
          </w:p>
        </w:tc>
        <w:tc>
          <w:tcPr>
            <w:tcW w:type="dxa" w:w="4104"/>
            <w:tcMar>
              <w:top w:w="80" w:type="dxa"/>
              <w:start w:w="120" w:type="dxa"/>
              <w:bottom w:w="80" w:type="dxa"/>
              <w:end w:w="120" w:type="dxa"/>
            </w:tcMar>
            <w:vAlign w:val="center"/>
          </w:tcPr>
          <w:p>
            <w:pPr>
              <w:spacing w:after="40"/>
            </w:pPr>
            <w:r>
              <w:rPr>
                <w:rFonts w:ascii="Calibri" w:hAnsi="Calibri"/>
                <w:sz w:val="19"/>
              </w:rPr>
              <w:t>Supports controlled staffing, equipment monitoring, and demand testing before expanding hours.</w:t>
            </w:r>
          </w:p>
        </w:tc>
      </w:tr>
      <w:tr>
        <w:tc>
          <w:tcPr>
            <w:tcW w:type="dxa" w:w="2376"/>
            <w:tcMar>
              <w:top w:w="80" w:type="dxa"/>
              <w:start w:w="120" w:type="dxa"/>
              <w:bottom w:w="80" w:type="dxa"/>
              <w:end w:w="120" w:type="dxa"/>
            </w:tcMar>
            <w:vAlign w:val="center"/>
          </w:tcPr>
          <w:p>
            <w:pPr>
              <w:spacing w:after="40"/>
            </w:pPr>
            <w:r>
              <w:rPr>
                <w:rFonts w:ascii="Calibri" w:hAnsi="Calibri"/>
                <w:sz w:val="19"/>
              </w:rPr>
              <w:t>Gaming machines</w:t>
            </w:r>
          </w:p>
        </w:tc>
        <w:tc>
          <w:tcPr>
            <w:tcW w:type="dxa" w:w="2520"/>
            <w:tcMar>
              <w:top w:w="80" w:type="dxa"/>
              <w:start w:w="120" w:type="dxa"/>
              <w:bottom w:w="80" w:type="dxa"/>
              <w:end w:w="120" w:type="dxa"/>
            </w:tcMar>
            <w:vAlign w:val="center"/>
          </w:tcPr>
          <w:p>
            <w:pPr>
              <w:spacing w:after="40"/>
            </w:pPr>
            <w:r>
              <w:rPr>
                <w:rFonts w:ascii="Calibri" w:hAnsi="Calibri"/>
                <w:sz w:val="19"/>
              </w:rPr>
              <w:t>35 charitable gaming machines</w:t>
            </w:r>
          </w:p>
        </w:tc>
        <w:tc>
          <w:tcPr>
            <w:tcW w:type="dxa" w:w="4104"/>
            <w:tcMar>
              <w:top w:w="80" w:type="dxa"/>
              <w:start w:w="120" w:type="dxa"/>
              <w:bottom w:w="80" w:type="dxa"/>
              <w:end w:w="120" w:type="dxa"/>
            </w:tcMar>
            <w:vAlign w:val="center"/>
          </w:tcPr>
          <w:p>
            <w:pPr>
              <w:spacing w:after="40"/>
            </w:pPr>
            <w:r>
              <w:rPr>
                <w:rFonts w:ascii="Calibri" w:hAnsi="Calibri"/>
                <w:sz w:val="19"/>
              </w:rPr>
              <w:t>Capacity supports the launch model; utilization should be measured by gross receipts and net proceeds per machine.</w:t>
            </w:r>
          </w:p>
        </w:tc>
      </w:tr>
      <w:tr>
        <w:tc>
          <w:tcPr>
            <w:tcW w:type="dxa" w:w="2376"/>
            <w:tcMar>
              <w:top w:w="80" w:type="dxa"/>
              <w:start w:w="120" w:type="dxa"/>
              <w:bottom w:w="80" w:type="dxa"/>
              <w:end w:w="120" w:type="dxa"/>
            </w:tcMar>
            <w:vAlign w:val="center"/>
          </w:tcPr>
          <w:p>
            <w:pPr>
              <w:spacing w:after="40"/>
            </w:pPr>
            <w:r>
              <w:rPr>
                <w:rFonts w:ascii="Calibri" w:hAnsi="Calibri"/>
                <w:sz w:val="19"/>
              </w:rPr>
              <w:t>Machine gross receipts</w:t>
            </w:r>
          </w:p>
        </w:tc>
        <w:tc>
          <w:tcPr>
            <w:tcW w:type="dxa" w:w="2520"/>
            <w:tcMar>
              <w:top w:w="80" w:type="dxa"/>
              <w:start w:w="120" w:type="dxa"/>
              <w:bottom w:w="80" w:type="dxa"/>
              <w:end w:w="120" w:type="dxa"/>
            </w:tcMar>
            <w:vAlign w:val="center"/>
          </w:tcPr>
          <w:p>
            <w:pPr>
              <w:spacing w:after="40"/>
            </w:pPr>
            <w:r>
              <w:rPr>
                <w:rFonts w:ascii="Calibri" w:hAnsi="Calibri"/>
                <w:sz w:val="19"/>
              </w:rPr>
              <w:t>$95K/month target gross</w:t>
            </w:r>
          </w:p>
        </w:tc>
        <w:tc>
          <w:tcPr>
            <w:tcW w:type="dxa" w:w="4104"/>
            <w:tcMar>
              <w:top w:w="80" w:type="dxa"/>
              <w:start w:w="120" w:type="dxa"/>
              <w:bottom w:w="80" w:type="dxa"/>
              <w:end w:w="120" w:type="dxa"/>
            </w:tcMar>
            <w:vAlign w:val="center"/>
          </w:tcPr>
          <w:p>
            <w:pPr>
              <w:spacing w:after="40"/>
            </w:pPr>
            <w:r>
              <w:rPr>
                <w:rFonts w:ascii="Calibri" w:hAnsi="Calibri"/>
                <w:sz w:val="19"/>
              </w:rPr>
              <w:t>GitHub source model; primary driver for charitable gaming operation.</w:t>
            </w:r>
          </w:p>
        </w:tc>
      </w:tr>
      <w:tr>
        <w:tc>
          <w:tcPr>
            <w:tcW w:type="dxa" w:w="2376"/>
            <w:tcMar>
              <w:top w:w="80" w:type="dxa"/>
              <w:start w:w="120" w:type="dxa"/>
              <w:bottom w:w="80" w:type="dxa"/>
              <w:end w:w="120" w:type="dxa"/>
            </w:tcMar>
            <w:vAlign w:val="center"/>
          </w:tcPr>
          <w:p>
            <w:pPr>
              <w:spacing w:after="40"/>
            </w:pPr>
            <w:r>
              <w:rPr>
                <w:rFonts w:ascii="Calibri" w:hAnsi="Calibri"/>
                <w:sz w:val="19"/>
              </w:rPr>
              <w:t>Target retained net</w:t>
            </w:r>
          </w:p>
        </w:tc>
        <w:tc>
          <w:tcPr>
            <w:tcW w:type="dxa" w:w="2520"/>
            <w:tcMar>
              <w:top w:w="80" w:type="dxa"/>
              <w:start w:w="120" w:type="dxa"/>
              <w:bottom w:w="80" w:type="dxa"/>
              <w:end w:w="120" w:type="dxa"/>
            </w:tcMar>
            <w:vAlign w:val="center"/>
          </w:tcPr>
          <w:p>
            <w:pPr>
              <w:spacing w:after="40"/>
            </w:pPr>
            <w:r>
              <w:rPr>
                <w:rFonts w:ascii="Calibri" w:hAnsi="Calibri"/>
                <w:sz w:val="19"/>
              </w:rPr>
              <w:t>~$44K/month</w:t>
            </w:r>
          </w:p>
        </w:tc>
        <w:tc>
          <w:tcPr>
            <w:tcW w:type="dxa" w:w="4104"/>
            <w:tcMar>
              <w:top w:w="80" w:type="dxa"/>
              <w:start w:w="120" w:type="dxa"/>
              <w:bottom w:w="80" w:type="dxa"/>
              <w:end w:w="120" w:type="dxa"/>
            </w:tcMar>
            <w:vAlign w:val="center"/>
          </w:tcPr>
          <w:p>
            <w:pPr>
              <w:spacing w:after="40"/>
            </w:pPr>
            <w:r>
              <w:rPr>
                <w:rFonts w:ascii="Calibri" w:hAnsi="Calibri"/>
                <w:sz w:val="19"/>
              </w:rPr>
              <w:t>GitHub source model; equals about 46% retention.</w:t>
            </w:r>
          </w:p>
        </w:tc>
      </w:tr>
      <w:tr>
        <w:tc>
          <w:tcPr>
            <w:tcW w:type="dxa" w:w="2376"/>
            <w:tcMar>
              <w:top w:w="80" w:type="dxa"/>
              <w:start w:w="120" w:type="dxa"/>
              <w:bottom w:w="80" w:type="dxa"/>
              <w:end w:w="120" w:type="dxa"/>
            </w:tcMar>
            <w:vAlign w:val="center"/>
          </w:tcPr>
          <w:p>
            <w:pPr>
              <w:spacing w:after="40"/>
            </w:pPr>
            <w:r>
              <w:rPr>
                <w:rFonts w:ascii="Calibri" w:hAnsi="Calibri"/>
                <w:sz w:val="19"/>
              </w:rPr>
              <w:t>Compliance floor</w:t>
            </w:r>
          </w:p>
        </w:tc>
        <w:tc>
          <w:tcPr>
            <w:tcW w:type="dxa" w:w="2520"/>
            <w:tcMar>
              <w:top w:w="80" w:type="dxa"/>
              <w:start w:w="120" w:type="dxa"/>
              <w:bottom w:w="80" w:type="dxa"/>
              <w:end w:w="120" w:type="dxa"/>
            </w:tcMar>
            <w:vAlign w:val="center"/>
          </w:tcPr>
          <w:p>
            <w:pPr>
              <w:spacing w:after="40"/>
            </w:pPr>
            <w:r>
              <w:rPr>
                <w:rFonts w:ascii="Calibri" w:hAnsi="Calibri"/>
                <w:sz w:val="19"/>
              </w:rPr>
              <w:t>Retain &gt;=40% of adjusted gross receipts</w:t>
            </w:r>
          </w:p>
        </w:tc>
        <w:tc>
          <w:tcPr>
            <w:tcW w:type="dxa" w:w="4104"/>
            <w:tcMar>
              <w:top w:w="80" w:type="dxa"/>
              <w:start w:w="120" w:type="dxa"/>
              <w:bottom w:w="80" w:type="dxa"/>
              <w:end w:w="120" w:type="dxa"/>
            </w:tcMar>
            <w:vAlign w:val="center"/>
          </w:tcPr>
          <w:p>
            <w:pPr>
              <w:spacing w:after="40"/>
            </w:pPr>
            <w:r>
              <w:rPr>
                <w:rFonts w:ascii="Calibri" w:hAnsi="Calibri"/>
                <w:sz w:val="19"/>
              </w:rPr>
              <w:t>GitHub source note; must be monitored weekly.</w:t>
            </w:r>
          </w:p>
        </w:tc>
      </w:tr>
      <w:tr>
        <w:tc>
          <w:tcPr>
            <w:tcW w:type="dxa" w:w="2376"/>
            <w:tcMar>
              <w:top w:w="80" w:type="dxa"/>
              <w:start w:w="120" w:type="dxa"/>
              <w:bottom w:w="80" w:type="dxa"/>
              <w:end w:w="120" w:type="dxa"/>
            </w:tcMar>
            <w:vAlign w:val="center"/>
          </w:tcPr>
          <w:p>
            <w:pPr>
              <w:spacing w:after="40"/>
            </w:pPr>
            <w:r>
              <w:rPr>
                <w:rFonts w:ascii="Calibri" w:hAnsi="Calibri"/>
                <w:sz w:val="19"/>
              </w:rPr>
              <w:t>Monthly break-even gross</w:t>
            </w:r>
          </w:p>
        </w:tc>
        <w:tc>
          <w:tcPr>
            <w:tcW w:type="dxa" w:w="2520"/>
            <w:tcMar>
              <w:top w:w="80" w:type="dxa"/>
              <w:start w:w="120" w:type="dxa"/>
              <w:bottom w:w="80" w:type="dxa"/>
              <w:end w:w="120" w:type="dxa"/>
            </w:tcMar>
            <w:vAlign w:val="center"/>
          </w:tcPr>
          <w:p>
            <w:pPr>
              <w:spacing w:after="40"/>
            </w:pPr>
            <w:r>
              <w:rPr>
                <w:rFonts w:ascii="Calibri" w:hAnsi="Calibri"/>
                <w:sz w:val="19"/>
              </w:rPr>
              <w:t>$55K-$60K/month source range</w:t>
            </w:r>
          </w:p>
        </w:tc>
        <w:tc>
          <w:tcPr>
            <w:tcW w:type="dxa" w:w="4104"/>
            <w:tcMar>
              <w:top w:w="80" w:type="dxa"/>
              <w:start w:w="120" w:type="dxa"/>
              <w:bottom w:w="80" w:type="dxa"/>
              <w:end w:w="120" w:type="dxa"/>
            </w:tcMar>
            <w:vAlign w:val="center"/>
          </w:tcPr>
          <w:p>
            <w:pPr>
              <w:spacing w:after="40"/>
            </w:pPr>
            <w:r>
              <w:rPr>
                <w:rFonts w:ascii="Calibri" w:hAnsi="Calibri"/>
                <w:sz w:val="19"/>
              </w:rPr>
              <w:t>GitHub source model; use $60K/month as conservative planning threshold with updated rent.</w:t>
            </w:r>
          </w:p>
        </w:tc>
      </w:tr>
      <w:tr>
        <w:tc>
          <w:tcPr>
            <w:tcW w:type="dxa" w:w="2376"/>
            <w:tcMar>
              <w:top w:w="80" w:type="dxa"/>
              <w:start w:w="120" w:type="dxa"/>
              <w:bottom w:w="80" w:type="dxa"/>
              <w:end w:w="120" w:type="dxa"/>
            </w:tcMar>
            <w:vAlign w:val="center"/>
          </w:tcPr>
          <w:p>
            <w:pPr>
              <w:spacing w:after="40"/>
            </w:pPr>
            <w:r>
              <w:rPr>
                <w:rFonts w:ascii="Calibri" w:hAnsi="Calibri"/>
                <w:sz w:val="19"/>
              </w:rPr>
              <w:t>Payout/prize rate</w:t>
            </w:r>
          </w:p>
        </w:tc>
        <w:tc>
          <w:tcPr>
            <w:tcW w:type="dxa" w:w="2520"/>
            <w:tcMar>
              <w:top w:w="80" w:type="dxa"/>
              <w:start w:w="120" w:type="dxa"/>
              <w:bottom w:w="80" w:type="dxa"/>
              <w:end w:w="120" w:type="dxa"/>
            </w:tcMar>
            <w:vAlign w:val="center"/>
          </w:tcPr>
          <w:p>
            <w:pPr>
              <w:spacing w:after="40"/>
            </w:pPr>
            <w:r>
              <w:rPr>
                <w:rFonts w:ascii="Calibri" w:hAnsi="Calibri"/>
                <w:sz w:val="19"/>
              </w:rPr>
              <w:t>[GAP: not provided]</w:t>
            </w:r>
          </w:p>
        </w:tc>
        <w:tc>
          <w:tcPr>
            <w:tcW w:type="dxa" w:w="4104"/>
            <w:tcMar>
              <w:top w:w="80" w:type="dxa"/>
              <w:start w:w="120" w:type="dxa"/>
              <w:bottom w:w="80" w:type="dxa"/>
              <w:end w:w="120" w:type="dxa"/>
            </w:tcMar>
            <w:vAlign w:val="center"/>
          </w:tcPr>
          <w:p>
            <w:pPr>
              <w:spacing w:after="40"/>
            </w:pPr>
            <w:r>
              <w:rPr>
                <w:rFonts w:ascii="Calibri" w:hAnsi="Calibri"/>
                <w:sz w:val="19"/>
              </w:rPr>
              <w:t>Required to calculate adjusted gross receipts and cash risk.</w:t>
            </w:r>
          </w:p>
        </w:tc>
      </w:tr>
      <w:tr>
        <w:tc>
          <w:tcPr>
            <w:tcW w:type="dxa" w:w="2376"/>
            <w:tcMar>
              <w:top w:w="80" w:type="dxa"/>
              <w:start w:w="120" w:type="dxa"/>
              <w:bottom w:w="80" w:type="dxa"/>
              <w:end w:w="120" w:type="dxa"/>
            </w:tcMar>
            <w:vAlign w:val="center"/>
          </w:tcPr>
          <w:p>
            <w:pPr>
              <w:spacing w:after="40"/>
            </w:pPr>
            <w:r>
              <w:rPr>
                <w:rFonts w:ascii="Calibri" w:hAnsi="Calibri"/>
                <w:sz w:val="19"/>
              </w:rPr>
              <w:t>Arrow/vendor share</w:t>
            </w:r>
          </w:p>
        </w:tc>
        <w:tc>
          <w:tcPr>
            <w:tcW w:type="dxa" w:w="2520"/>
            <w:tcMar>
              <w:top w:w="80" w:type="dxa"/>
              <w:start w:w="120" w:type="dxa"/>
              <w:bottom w:w="80" w:type="dxa"/>
              <w:end w:w="120" w:type="dxa"/>
            </w:tcMar>
            <w:vAlign w:val="center"/>
          </w:tcPr>
          <w:p>
            <w:pPr>
              <w:spacing w:after="40"/>
            </w:pPr>
            <w:r>
              <w:rPr>
                <w:rFonts w:ascii="Calibri" w:hAnsi="Calibri"/>
                <w:sz w:val="19"/>
              </w:rPr>
              <w:t>[GAP: not provided]</w:t>
            </w:r>
          </w:p>
        </w:tc>
        <w:tc>
          <w:tcPr>
            <w:tcW w:type="dxa" w:w="4104"/>
            <w:tcMar>
              <w:top w:w="80" w:type="dxa"/>
              <w:start w:w="120" w:type="dxa"/>
              <w:bottom w:w="80" w:type="dxa"/>
              <w:end w:w="120" w:type="dxa"/>
            </w:tcMar>
            <w:vAlign w:val="center"/>
          </w:tcPr>
          <w:p>
            <w:pPr>
              <w:spacing w:after="40"/>
            </w:pPr>
            <w:r>
              <w:rPr>
                <w:rFonts w:ascii="Calibri" w:hAnsi="Calibri"/>
                <w:sz w:val="19"/>
              </w:rPr>
              <w:t>Required to verify retained net and compliance floor.</w:t>
            </w:r>
          </w:p>
        </w:tc>
      </w:tr>
      <w:tr>
        <w:tc>
          <w:tcPr>
            <w:tcW w:type="dxa" w:w="2376"/>
            <w:tcMar>
              <w:top w:w="80" w:type="dxa"/>
              <w:start w:w="120" w:type="dxa"/>
              <w:bottom w:w="80" w:type="dxa"/>
              <w:end w:w="120" w:type="dxa"/>
            </w:tcMar>
            <w:vAlign w:val="center"/>
          </w:tcPr>
          <w:p>
            <w:pPr>
              <w:spacing w:after="40"/>
            </w:pPr>
            <w:r>
              <w:rPr>
                <w:rFonts w:ascii="Calibri" w:hAnsi="Calibri"/>
                <w:sz w:val="19"/>
              </w:rPr>
              <w:t>Rent</w:t>
            </w:r>
          </w:p>
        </w:tc>
        <w:tc>
          <w:tcPr>
            <w:tcW w:type="dxa" w:w="2520"/>
            <w:tcMar>
              <w:top w:w="80" w:type="dxa"/>
              <w:start w:w="120" w:type="dxa"/>
              <w:bottom w:w="80" w:type="dxa"/>
              <w:end w:w="120" w:type="dxa"/>
            </w:tcMar>
            <w:vAlign w:val="center"/>
          </w:tcPr>
          <w:p>
            <w:pPr>
              <w:spacing w:after="40"/>
            </w:pPr>
            <w:r>
              <w:rPr>
                <w:rFonts w:ascii="Calibri" w:hAnsi="Calibri"/>
                <w:sz w:val="19"/>
              </w:rPr>
              <w:t>$4,000/month including NNN/CAM</w:t>
            </w:r>
          </w:p>
        </w:tc>
        <w:tc>
          <w:tcPr>
            <w:tcW w:type="dxa" w:w="4104"/>
            <w:tcMar>
              <w:top w:w="80" w:type="dxa"/>
              <w:start w:w="120" w:type="dxa"/>
              <w:bottom w:w="80" w:type="dxa"/>
              <w:end w:w="120" w:type="dxa"/>
            </w:tcMar>
            <w:vAlign w:val="center"/>
          </w:tcPr>
          <w:p>
            <w:pPr>
              <w:spacing w:after="40"/>
            </w:pPr>
            <w:r>
              <w:rPr>
                <w:rFonts w:ascii="Calibri" w:hAnsi="Calibri"/>
                <w:sz w:val="19"/>
              </w:rPr>
              <w:t>Confirmed by user; may change only if insurance arrangement changes.</w:t>
            </w:r>
          </w:p>
        </w:tc>
      </w:tr>
      <w:tr>
        <w:tc>
          <w:tcPr>
            <w:tcW w:type="dxa" w:w="2376"/>
            <w:tcMar>
              <w:top w:w="80" w:type="dxa"/>
              <w:start w:w="120" w:type="dxa"/>
              <w:bottom w:w="80" w:type="dxa"/>
              <w:end w:w="120" w:type="dxa"/>
            </w:tcMar>
            <w:vAlign w:val="center"/>
          </w:tcPr>
          <w:p>
            <w:pPr>
              <w:spacing w:after="40"/>
            </w:pPr>
            <w:r>
              <w:rPr>
                <w:rFonts w:ascii="Calibri" w:hAnsi="Calibri"/>
                <w:sz w:val="19"/>
              </w:rPr>
              <w:t>Square footage</w:t>
            </w:r>
          </w:p>
        </w:tc>
        <w:tc>
          <w:tcPr>
            <w:tcW w:type="dxa" w:w="2520"/>
            <w:tcMar>
              <w:top w:w="80" w:type="dxa"/>
              <w:start w:w="120" w:type="dxa"/>
              <w:bottom w:w="80" w:type="dxa"/>
              <w:end w:w="120" w:type="dxa"/>
            </w:tcMar>
            <w:vAlign w:val="center"/>
          </w:tcPr>
          <w:p>
            <w:pPr>
              <w:spacing w:after="40"/>
            </w:pPr>
            <w:r>
              <w:rPr>
                <w:rFonts w:ascii="Calibri" w:hAnsi="Calibri"/>
                <w:sz w:val="19"/>
              </w:rPr>
              <w:t>1,200-1,500 SF target</w:t>
            </w:r>
          </w:p>
        </w:tc>
        <w:tc>
          <w:tcPr>
            <w:tcW w:type="dxa" w:w="4104"/>
            <w:tcMar>
              <w:top w:w="80" w:type="dxa"/>
              <w:start w:w="120" w:type="dxa"/>
              <w:bottom w:w="80" w:type="dxa"/>
              <w:end w:w="120" w:type="dxa"/>
            </w:tcMar>
            <w:vAlign w:val="center"/>
          </w:tcPr>
          <w:p>
            <w:pPr>
              <w:spacing w:after="40"/>
            </w:pPr>
            <w:r>
              <w:rPr>
                <w:rFonts w:ascii="Calibri" w:hAnsi="Calibri"/>
                <w:sz w:val="19"/>
              </w:rPr>
              <w:t>GitHub source note; exact site and lease still need confirmation.</w:t>
            </w:r>
          </w:p>
        </w:tc>
      </w:tr>
      <w:tr>
        <w:tc>
          <w:tcPr>
            <w:tcW w:type="dxa" w:w="2376"/>
            <w:tcMar>
              <w:top w:w="80" w:type="dxa"/>
              <w:start w:w="120" w:type="dxa"/>
              <w:bottom w:w="80" w:type="dxa"/>
              <w:end w:w="120" w:type="dxa"/>
            </w:tcMar>
            <w:vAlign w:val="center"/>
          </w:tcPr>
          <w:p>
            <w:pPr>
              <w:spacing w:after="40"/>
            </w:pPr>
            <w:r>
              <w:rPr>
                <w:rFonts w:ascii="Calibri" w:hAnsi="Calibri"/>
                <w:sz w:val="19"/>
              </w:rPr>
              <w:t>Gaming equipment/service</w:t>
            </w:r>
          </w:p>
        </w:tc>
        <w:tc>
          <w:tcPr>
            <w:tcW w:type="dxa" w:w="2520"/>
            <w:tcMar>
              <w:top w:w="80" w:type="dxa"/>
              <w:start w:w="120" w:type="dxa"/>
              <w:bottom w:w="80" w:type="dxa"/>
              <w:end w:w="120" w:type="dxa"/>
            </w:tcMar>
            <w:vAlign w:val="center"/>
          </w:tcPr>
          <w:p>
            <w:pPr>
              <w:spacing w:after="40"/>
            </w:pPr>
            <w:r>
              <w:rPr>
                <w:rFonts w:ascii="Calibri" w:hAnsi="Calibri"/>
                <w:sz w:val="19"/>
              </w:rPr>
              <w:t>35 charitable gaming machines owned and serviced by Arrow</w:t>
            </w:r>
          </w:p>
        </w:tc>
        <w:tc>
          <w:tcPr>
            <w:tcW w:type="dxa" w:w="4104"/>
            <w:tcMar>
              <w:top w:w="80" w:type="dxa"/>
              <w:start w:w="120" w:type="dxa"/>
              <w:bottom w:w="80" w:type="dxa"/>
              <w:end w:w="120" w:type="dxa"/>
            </w:tcMar>
            <w:vAlign w:val="center"/>
          </w:tcPr>
          <w:p>
            <w:pPr>
              <w:spacing w:after="40"/>
            </w:pPr>
            <w:r>
              <w:rPr>
                <w:rFonts w:ascii="Calibri" w:hAnsi="Calibri"/>
                <w:sz w:val="19"/>
              </w:rPr>
              <w:t>Reduces capital expenditure and maintenance risk.</w:t>
            </w:r>
          </w:p>
        </w:tc>
      </w:tr>
      <w:tr>
        <w:tc>
          <w:tcPr>
            <w:tcW w:type="dxa" w:w="2376"/>
            <w:tcMar>
              <w:top w:w="80" w:type="dxa"/>
              <w:start w:w="120" w:type="dxa"/>
              <w:bottom w:w="80" w:type="dxa"/>
              <w:end w:w="120" w:type="dxa"/>
            </w:tcMar>
            <w:vAlign w:val="center"/>
          </w:tcPr>
          <w:p>
            <w:pPr>
              <w:spacing w:after="40"/>
            </w:pPr>
            <w:r>
              <w:rPr>
                <w:rFonts w:ascii="Calibri" w:hAnsi="Calibri"/>
                <w:sz w:val="19"/>
              </w:rPr>
              <w:t>Arrow grant</w:t>
            </w:r>
          </w:p>
        </w:tc>
        <w:tc>
          <w:tcPr>
            <w:tcW w:type="dxa" w:w="2520"/>
            <w:tcMar>
              <w:top w:w="80" w:type="dxa"/>
              <w:start w:w="120" w:type="dxa"/>
              <w:bottom w:w="80" w:type="dxa"/>
              <w:end w:w="120" w:type="dxa"/>
            </w:tcMar>
            <w:vAlign w:val="center"/>
          </w:tcPr>
          <w:p>
            <w:pPr>
              <w:spacing w:after="40"/>
            </w:pPr>
            <w:r>
              <w:rPr>
                <w:rFonts w:ascii="Calibri" w:hAnsi="Calibri"/>
                <w:sz w:val="19"/>
              </w:rPr>
              <w:t>$25,000-$35,000 after opening</w:t>
            </w:r>
          </w:p>
        </w:tc>
        <w:tc>
          <w:tcPr>
            <w:tcW w:type="dxa" w:w="4104"/>
            <w:tcMar>
              <w:top w:w="80" w:type="dxa"/>
              <w:start w:w="120" w:type="dxa"/>
              <w:bottom w:w="80" w:type="dxa"/>
              <w:end w:w="120" w:type="dxa"/>
            </w:tcMar>
            <w:vAlign w:val="center"/>
          </w:tcPr>
          <w:p>
            <w:pPr>
              <w:spacing w:after="40"/>
            </w:pPr>
            <w:r>
              <w:rPr>
                <w:rFonts w:ascii="Calibri" w:hAnsi="Calibri"/>
                <w:sz w:val="19"/>
              </w:rPr>
              <w:t>Improves runway after doors open; timing and written terms still need confirmation.</w:t>
            </w:r>
          </w:p>
        </w:tc>
      </w:tr>
    </w:tbl>
    <w:p/>
    <w:p>
      <w:r>
        <w:br w:type="page"/>
      </w:r>
    </w:p>
    <w:p>
      <w:pPr>
        <w:pStyle w:val="Heading2"/>
      </w:pPr>
      <w:r>
        <w:t>Charitable Gaming Projection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4248"/>
            <w:tcMar>
              <w:top w:w="80" w:type="dxa"/>
              <w:start w:w="120" w:type="dxa"/>
              <w:bottom w:w="80" w:type="dxa"/>
              <w:end w:w="120" w:type="dxa"/>
            </w:tcMar>
            <w:vAlign w:val="center"/>
            <w:shd w:fill="F2F4F7"/>
          </w:tcPr>
          <w:p>
            <w:pPr>
              <w:spacing w:after="40"/>
            </w:pPr>
            <w:r>
              <w:rPr>
                <w:rFonts w:ascii="Calibri" w:hAnsi="Calibri"/>
                <w:b/>
                <w:color w:val="1F4D78"/>
                <w:sz w:val="19"/>
              </w:rPr>
              <w:t>Metric</w:t>
            </w:r>
          </w:p>
        </w:tc>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Monthly</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Year 1</w:t>
            </w:r>
          </w:p>
        </w:tc>
      </w:tr>
      <w:tr>
        <w:tc>
          <w:tcPr>
            <w:tcW w:type="dxa" w:w="4248"/>
            <w:tcMar>
              <w:top w:w="80" w:type="dxa"/>
              <w:start w:w="120" w:type="dxa"/>
              <w:bottom w:w="80" w:type="dxa"/>
              <w:end w:w="120" w:type="dxa"/>
            </w:tcMar>
            <w:vAlign w:val="center"/>
          </w:tcPr>
          <w:p>
            <w:pPr>
              <w:spacing w:after="40"/>
            </w:pPr>
            <w:r>
              <w:rPr>
                <w:rFonts w:ascii="Calibri" w:hAnsi="Calibri"/>
                <w:sz w:val="19"/>
              </w:rPr>
              <w:t>Target gross charitable gaming receipts</w:t>
            </w:r>
          </w:p>
        </w:tc>
        <w:tc>
          <w:tcPr>
            <w:tcW w:type="dxa" w:w="2232"/>
            <w:tcMar>
              <w:top w:w="80" w:type="dxa"/>
              <w:start w:w="120" w:type="dxa"/>
              <w:bottom w:w="80" w:type="dxa"/>
              <w:end w:w="120" w:type="dxa"/>
            </w:tcMar>
            <w:vAlign w:val="center"/>
          </w:tcPr>
          <w:p>
            <w:pPr>
              <w:spacing w:after="40"/>
            </w:pPr>
            <w:r>
              <w:rPr>
                <w:rFonts w:ascii="Calibri" w:hAnsi="Calibri"/>
                <w:sz w:val="19"/>
              </w:rPr>
              <w:t>$95,000</w:t>
            </w:r>
          </w:p>
        </w:tc>
        <w:tc>
          <w:tcPr>
            <w:tcW w:type="dxa" w:w="2520"/>
            <w:tcMar>
              <w:top w:w="80" w:type="dxa"/>
              <w:start w:w="120" w:type="dxa"/>
              <w:bottom w:w="80" w:type="dxa"/>
              <w:end w:w="120" w:type="dxa"/>
            </w:tcMar>
            <w:vAlign w:val="center"/>
          </w:tcPr>
          <w:p>
            <w:pPr>
              <w:spacing w:after="40"/>
            </w:pPr>
            <w:r>
              <w:rPr>
                <w:rFonts w:ascii="Calibri" w:hAnsi="Calibri"/>
                <w:sz w:val="19"/>
              </w:rPr>
              <w:t>$1,140,000</w:t>
            </w:r>
          </w:p>
        </w:tc>
      </w:tr>
      <w:tr>
        <w:tc>
          <w:tcPr>
            <w:tcW w:type="dxa" w:w="4248"/>
            <w:tcMar>
              <w:top w:w="80" w:type="dxa"/>
              <w:start w:w="120" w:type="dxa"/>
              <w:bottom w:w="80" w:type="dxa"/>
              <w:end w:w="120" w:type="dxa"/>
            </w:tcMar>
            <w:vAlign w:val="center"/>
          </w:tcPr>
          <w:p>
            <w:pPr>
              <w:spacing w:after="40"/>
            </w:pPr>
            <w:r>
              <w:rPr>
                <w:rFonts w:ascii="Calibri" w:hAnsi="Calibri"/>
                <w:sz w:val="19"/>
              </w:rPr>
              <w:t>Target retained net</w:t>
            </w:r>
          </w:p>
        </w:tc>
        <w:tc>
          <w:tcPr>
            <w:tcW w:type="dxa" w:w="2232"/>
            <w:tcMar>
              <w:top w:w="80" w:type="dxa"/>
              <w:start w:w="120" w:type="dxa"/>
              <w:bottom w:w="80" w:type="dxa"/>
              <w:end w:w="120" w:type="dxa"/>
            </w:tcMar>
            <w:vAlign w:val="center"/>
          </w:tcPr>
          <w:p>
            <w:pPr>
              <w:spacing w:after="40"/>
            </w:pPr>
            <w:r>
              <w:rPr>
                <w:rFonts w:ascii="Calibri" w:hAnsi="Calibri"/>
                <w:sz w:val="19"/>
              </w:rPr>
              <w:t>$44,000</w:t>
            </w:r>
          </w:p>
        </w:tc>
        <w:tc>
          <w:tcPr>
            <w:tcW w:type="dxa" w:w="2520"/>
            <w:tcMar>
              <w:top w:w="80" w:type="dxa"/>
              <w:start w:w="120" w:type="dxa"/>
              <w:bottom w:w="80" w:type="dxa"/>
              <w:end w:w="120" w:type="dxa"/>
            </w:tcMar>
            <w:vAlign w:val="center"/>
          </w:tcPr>
          <w:p>
            <w:pPr>
              <w:spacing w:after="40"/>
            </w:pPr>
            <w:r>
              <w:rPr>
                <w:rFonts w:ascii="Calibri" w:hAnsi="Calibri"/>
                <w:sz w:val="19"/>
              </w:rPr>
              <w:t>$528,000</w:t>
            </w:r>
          </w:p>
        </w:tc>
      </w:tr>
      <w:tr>
        <w:tc>
          <w:tcPr>
            <w:tcW w:type="dxa" w:w="4248"/>
            <w:tcMar>
              <w:top w:w="80" w:type="dxa"/>
              <w:start w:w="120" w:type="dxa"/>
              <w:bottom w:w="80" w:type="dxa"/>
              <w:end w:w="120" w:type="dxa"/>
            </w:tcMar>
            <w:vAlign w:val="center"/>
          </w:tcPr>
          <w:p>
            <w:pPr>
              <w:spacing w:after="40"/>
            </w:pPr>
            <w:r>
              <w:rPr>
                <w:rFonts w:ascii="Calibri" w:hAnsi="Calibri"/>
                <w:sz w:val="19"/>
              </w:rPr>
              <w:t>Implied retention</w:t>
            </w:r>
          </w:p>
        </w:tc>
        <w:tc>
          <w:tcPr>
            <w:tcW w:type="dxa" w:w="2232"/>
            <w:tcMar>
              <w:top w:w="80" w:type="dxa"/>
              <w:start w:w="120" w:type="dxa"/>
              <w:bottom w:w="80" w:type="dxa"/>
              <w:end w:w="120" w:type="dxa"/>
            </w:tcMar>
            <w:vAlign w:val="center"/>
          </w:tcPr>
          <w:p>
            <w:pPr>
              <w:spacing w:after="40"/>
            </w:pPr>
            <w:r>
              <w:rPr>
                <w:rFonts w:ascii="Calibri" w:hAnsi="Calibri"/>
                <w:sz w:val="19"/>
              </w:rPr>
              <w:t>46.3%</w:t>
            </w:r>
          </w:p>
        </w:tc>
        <w:tc>
          <w:tcPr>
            <w:tcW w:type="dxa" w:w="2520"/>
            <w:tcMar>
              <w:top w:w="80" w:type="dxa"/>
              <w:start w:w="120" w:type="dxa"/>
              <w:bottom w:w="80" w:type="dxa"/>
              <w:end w:w="120" w:type="dxa"/>
            </w:tcMar>
            <w:vAlign w:val="center"/>
          </w:tcPr>
          <w:p>
            <w:pPr>
              <w:spacing w:after="40"/>
            </w:pPr>
            <w:r>
              <w:rPr>
                <w:rFonts w:ascii="Calibri" w:hAnsi="Calibri"/>
                <w:sz w:val="19"/>
              </w:rPr>
              <w:t>46.3%</w:t>
            </w:r>
          </w:p>
        </w:tc>
      </w:tr>
      <w:tr>
        <w:tc>
          <w:tcPr>
            <w:tcW w:type="dxa" w:w="4248"/>
            <w:tcMar>
              <w:top w:w="80" w:type="dxa"/>
              <w:start w:w="120" w:type="dxa"/>
              <w:bottom w:w="80" w:type="dxa"/>
              <w:end w:w="120" w:type="dxa"/>
            </w:tcMar>
            <w:vAlign w:val="center"/>
          </w:tcPr>
          <w:p>
            <w:pPr>
              <w:spacing w:after="40"/>
            </w:pPr>
            <w:r>
              <w:rPr>
                <w:rFonts w:ascii="Calibri" w:hAnsi="Calibri"/>
                <w:sz w:val="19"/>
              </w:rPr>
              <w:t>Compliance floor retained amount at 40%</w:t>
            </w:r>
          </w:p>
        </w:tc>
        <w:tc>
          <w:tcPr>
            <w:tcW w:type="dxa" w:w="2232"/>
            <w:tcMar>
              <w:top w:w="80" w:type="dxa"/>
              <w:start w:w="120" w:type="dxa"/>
              <w:bottom w:w="80" w:type="dxa"/>
              <w:end w:w="120" w:type="dxa"/>
            </w:tcMar>
            <w:vAlign w:val="center"/>
          </w:tcPr>
          <w:p>
            <w:pPr>
              <w:spacing w:after="40"/>
            </w:pPr>
            <w:r>
              <w:rPr>
                <w:rFonts w:ascii="Calibri" w:hAnsi="Calibri"/>
                <w:sz w:val="19"/>
              </w:rPr>
              <w:t>$38,000</w:t>
            </w:r>
          </w:p>
        </w:tc>
        <w:tc>
          <w:tcPr>
            <w:tcW w:type="dxa" w:w="2520"/>
            <w:tcMar>
              <w:top w:w="80" w:type="dxa"/>
              <w:start w:w="120" w:type="dxa"/>
              <w:bottom w:w="80" w:type="dxa"/>
              <w:end w:w="120" w:type="dxa"/>
            </w:tcMar>
            <w:vAlign w:val="center"/>
          </w:tcPr>
          <w:p>
            <w:pPr>
              <w:spacing w:after="40"/>
            </w:pPr>
            <w:r>
              <w:rPr>
                <w:rFonts w:ascii="Calibri" w:hAnsi="Calibri"/>
                <w:sz w:val="19"/>
              </w:rPr>
              <w:t>$456,000</w:t>
            </w:r>
          </w:p>
        </w:tc>
      </w:tr>
      <w:tr>
        <w:tc>
          <w:tcPr>
            <w:tcW w:type="dxa" w:w="4248"/>
            <w:tcMar>
              <w:top w:w="80" w:type="dxa"/>
              <w:start w:w="120" w:type="dxa"/>
              <w:bottom w:w="80" w:type="dxa"/>
              <w:end w:w="120" w:type="dxa"/>
            </w:tcMar>
            <w:vAlign w:val="center"/>
          </w:tcPr>
          <w:p>
            <w:pPr>
              <w:spacing w:after="40"/>
            </w:pPr>
            <w:r>
              <w:rPr>
                <w:rFonts w:ascii="Calibri" w:hAnsi="Calibri"/>
                <w:sz w:val="19"/>
              </w:rPr>
              <w:t>Planning break-even gross threshold</w:t>
            </w:r>
          </w:p>
        </w:tc>
        <w:tc>
          <w:tcPr>
            <w:tcW w:type="dxa" w:w="2232"/>
            <w:tcMar>
              <w:top w:w="80" w:type="dxa"/>
              <w:start w:w="120" w:type="dxa"/>
              <w:bottom w:w="80" w:type="dxa"/>
              <w:end w:w="120" w:type="dxa"/>
            </w:tcMar>
            <w:vAlign w:val="center"/>
          </w:tcPr>
          <w:p>
            <w:pPr>
              <w:spacing w:after="40"/>
            </w:pPr>
            <w:r>
              <w:rPr>
                <w:rFonts w:ascii="Calibri" w:hAnsi="Calibri"/>
                <w:sz w:val="19"/>
              </w:rPr>
              <w:t>$60,000</w:t>
            </w:r>
          </w:p>
        </w:tc>
        <w:tc>
          <w:tcPr>
            <w:tcW w:type="dxa" w:w="2520"/>
            <w:tcMar>
              <w:top w:w="80" w:type="dxa"/>
              <w:start w:w="120" w:type="dxa"/>
              <w:bottom w:w="80" w:type="dxa"/>
              <w:end w:w="120" w:type="dxa"/>
            </w:tcMar>
            <w:vAlign w:val="center"/>
          </w:tcPr>
          <w:p>
            <w:pPr>
              <w:spacing w:after="40"/>
            </w:pPr>
            <w:r>
              <w:rPr>
                <w:rFonts w:ascii="Calibri" w:hAnsi="Calibri"/>
                <w:sz w:val="19"/>
              </w:rPr>
              <w:t>$720,000</w:t>
            </w:r>
          </w:p>
        </w:tc>
      </w:tr>
      <w:tr>
        <w:tc>
          <w:tcPr>
            <w:tcW w:type="dxa" w:w="4248"/>
            <w:tcMar>
              <w:top w:w="80" w:type="dxa"/>
              <w:start w:w="120" w:type="dxa"/>
              <w:bottom w:w="80" w:type="dxa"/>
              <w:end w:w="120" w:type="dxa"/>
            </w:tcMar>
            <w:vAlign w:val="center"/>
          </w:tcPr>
          <w:p>
            <w:pPr>
              <w:spacing w:after="40"/>
            </w:pPr>
            <w:r>
              <w:rPr>
                <w:rFonts w:ascii="Calibri" w:hAnsi="Calibri"/>
                <w:sz w:val="19"/>
              </w:rPr>
              <w:t>Gross cushion above planning break-even</w:t>
            </w:r>
          </w:p>
        </w:tc>
        <w:tc>
          <w:tcPr>
            <w:tcW w:type="dxa" w:w="2232"/>
            <w:tcMar>
              <w:top w:w="80" w:type="dxa"/>
              <w:start w:w="120" w:type="dxa"/>
              <w:bottom w:w="80" w:type="dxa"/>
              <w:end w:w="120" w:type="dxa"/>
            </w:tcMar>
            <w:vAlign w:val="center"/>
          </w:tcPr>
          <w:p>
            <w:pPr>
              <w:spacing w:after="40"/>
            </w:pPr>
            <w:r>
              <w:rPr>
                <w:rFonts w:ascii="Calibri" w:hAnsi="Calibri"/>
                <w:sz w:val="19"/>
              </w:rPr>
              <w:t>$35,000</w:t>
            </w:r>
          </w:p>
        </w:tc>
        <w:tc>
          <w:tcPr>
            <w:tcW w:type="dxa" w:w="2520"/>
            <w:tcMar>
              <w:top w:w="80" w:type="dxa"/>
              <w:start w:w="120" w:type="dxa"/>
              <w:bottom w:w="80" w:type="dxa"/>
              <w:end w:w="120" w:type="dxa"/>
            </w:tcMar>
            <w:vAlign w:val="center"/>
          </w:tcPr>
          <w:p>
            <w:pPr>
              <w:spacing w:after="40"/>
            </w:pPr>
            <w:r>
              <w:rPr>
                <w:rFonts w:ascii="Calibri" w:hAnsi="Calibri"/>
                <w:sz w:val="19"/>
              </w:rPr>
              <w:t>$420,000</w:t>
            </w:r>
          </w:p>
        </w:tc>
      </w:tr>
      <w:tr>
        <w:tc>
          <w:tcPr>
            <w:tcW w:type="dxa" w:w="4248"/>
            <w:tcMar>
              <w:top w:w="80" w:type="dxa"/>
              <w:start w:w="120" w:type="dxa"/>
              <w:bottom w:w="80" w:type="dxa"/>
              <w:end w:w="120" w:type="dxa"/>
            </w:tcMar>
            <w:vAlign w:val="center"/>
          </w:tcPr>
          <w:p>
            <w:pPr>
              <w:spacing w:after="40"/>
            </w:pPr>
            <w:r>
              <w:rPr>
                <w:rFonts w:ascii="Calibri" w:hAnsi="Calibri"/>
                <w:sz w:val="19"/>
              </w:rPr>
              <w:t>Arrow post-opening grant</w:t>
            </w:r>
          </w:p>
        </w:tc>
        <w:tc>
          <w:tcPr>
            <w:tcW w:type="dxa" w:w="2232"/>
            <w:tcMar>
              <w:top w:w="80" w:type="dxa"/>
              <w:start w:w="120" w:type="dxa"/>
              <w:bottom w:w="80" w:type="dxa"/>
              <w:end w:w="120" w:type="dxa"/>
            </w:tcMar>
            <w:vAlign w:val="center"/>
          </w:tcPr>
          <w:p>
            <w:pPr>
              <w:spacing w:after="40"/>
            </w:pPr>
            <w:r>
              <w:rPr>
                <w:rFonts w:ascii="Calibri" w:hAnsi="Calibri"/>
                <w:sz w:val="19"/>
              </w:rPr>
              <w:t>$25,000-$35,000 one-time</w:t>
            </w:r>
          </w:p>
        </w:tc>
        <w:tc>
          <w:tcPr>
            <w:tcW w:type="dxa" w:w="2520"/>
            <w:tcMar>
              <w:top w:w="80" w:type="dxa"/>
              <w:start w:w="120" w:type="dxa"/>
              <w:bottom w:w="80" w:type="dxa"/>
              <w:end w:w="120" w:type="dxa"/>
            </w:tcMar>
            <w:vAlign w:val="center"/>
          </w:tcPr>
          <w:p>
            <w:pPr>
              <w:spacing w:after="40"/>
            </w:pPr>
            <w:r>
              <w:rPr>
                <w:rFonts w:ascii="Calibri" w:hAnsi="Calibri"/>
                <w:sz w:val="19"/>
              </w:rPr>
              <w:t>$25,000-$35,000</w:t>
            </w:r>
          </w:p>
        </w:tc>
      </w:tr>
    </w:tbl>
    <w:p/>
    <w:p>
      <w:r>
        <w:br w:type="page"/>
      </w:r>
    </w:p>
    <w:p>
      <w:pPr>
        <w:pStyle w:val="Heading2"/>
      </w:pPr>
      <w:r>
        <w:t>Operating Expense Planning View</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3960"/>
            <w:tcMar>
              <w:top w:w="80" w:type="dxa"/>
              <w:start w:w="120" w:type="dxa"/>
              <w:bottom w:w="80" w:type="dxa"/>
              <w:end w:w="120" w:type="dxa"/>
            </w:tcMar>
            <w:vAlign w:val="center"/>
            <w:shd w:fill="F2F4F7"/>
          </w:tcPr>
          <w:p>
            <w:pPr>
              <w:spacing w:after="40"/>
            </w:pPr>
            <w:r>
              <w:rPr>
                <w:rFonts w:ascii="Calibri" w:hAnsi="Calibri"/>
                <w:b/>
                <w:color w:val="1F4D78"/>
                <w:sz w:val="19"/>
              </w:rPr>
              <w:t>Expense category</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Monthly planning amount</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Year 1</w:t>
            </w:r>
          </w:p>
        </w:tc>
      </w:tr>
      <w:tr>
        <w:tc>
          <w:tcPr>
            <w:tcW w:type="dxa" w:w="3960"/>
            <w:tcMar>
              <w:top w:w="80" w:type="dxa"/>
              <w:start w:w="120" w:type="dxa"/>
              <w:bottom w:w="80" w:type="dxa"/>
              <w:end w:w="120" w:type="dxa"/>
            </w:tcMar>
            <w:vAlign w:val="center"/>
          </w:tcPr>
          <w:p>
            <w:pPr>
              <w:spacing w:after="40"/>
            </w:pPr>
            <w:r>
              <w:rPr>
                <w:rFonts w:ascii="Calibri" w:hAnsi="Calibri"/>
                <w:sz w:val="19"/>
              </w:rPr>
              <w:t>Rent incl. NNN/CAM</w:t>
            </w:r>
          </w:p>
        </w:tc>
        <w:tc>
          <w:tcPr>
            <w:tcW w:type="dxa" w:w="2520"/>
            <w:tcMar>
              <w:top w:w="80" w:type="dxa"/>
              <w:start w:w="120" w:type="dxa"/>
              <w:bottom w:w="80" w:type="dxa"/>
              <w:end w:w="120" w:type="dxa"/>
            </w:tcMar>
            <w:vAlign w:val="center"/>
          </w:tcPr>
          <w:p>
            <w:pPr>
              <w:spacing w:after="40"/>
            </w:pPr>
            <w:r>
              <w:rPr>
                <w:rFonts w:ascii="Calibri" w:hAnsi="Calibri"/>
                <w:sz w:val="19"/>
              </w:rPr>
              <w:t>$4,000</w:t>
            </w:r>
          </w:p>
        </w:tc>
        <w:tc>
          <w:tcPr>
            <w:tcW w:type="dxa" w:w="2520"/>
            <w:tcMar>
              <w:top w:w="80" w:type="dxa"/>
              <w:start w:w="120" w:type="dxa"/>
              <w:bottom w:w="80" w:type="dxa"/>
              <w:end w:w="120" w:type="dxa"/>
            </w:tcMar>
            <w:vAlign w:val="center"/>
          </w:tcPr>
          <w:p>
            <w:pPr>
              <w:spacing w:after="40"/>
            </w:pPr>
            <w:r>
              <w:rPr>
                <w:rFonts w:ascii="Calibri" w:hAnsi="Calibri"/>
                <w:sz w:val="19"/>
              </w:rPr>
              <w:t>$48,000</w:t>
            </w:r>
          </w:p>
        </w:tc>
      </w:tr>
      <w:tr>
        <w:tc>
          <w:tcPr>
            <w:tcW w:type="dxa" w:w="3960"/>
            <w:tcMar>
              <w:top w:w="80" w:type="dxa"/>
              <w:start w:w="120" w:type="dxa"/>
              <w:bottom w:w="80" w:type="dxa"/>
              <w:end w:w="120" w:type="dxa"/>
            </w:tcMar>
            <w:vAlign w:val="center"/>
          </w:tcPr>
          <w:p>
            <w:pPr>
              <w:spacing w:after="40"/>
            </w:pPr>
            <w:r>
              <w:rPr>
                <w:rFonts w:ascii="Calibri" w:hAnsi="Calibri"/>
                <w:sz w:val="19"/>
              </w:rPr>
              <w:t>Facility manager / non-gaming support</w:t>
            </w:r>
          </w:p>
        </w:tc>
        <w:tc>
          <w:tcPr>
            <w:tcW w:type="dxa" w:w="2520"/>
            <w:tcMar>
              <w:top w:w="80" w:type="dxa"/>
              <w:start w:w="120" w:type="dxa"/>
              <w:bottom w:w="80" w:type="dxa"/>
              <w:end w:w="120" w:type="dxa"/>
            </w:tcMar>
            <w:vAlign w:val="center"/>
          </w:tcPr>
          <w:p>
            <w:pPr>
              <w:spacing w:after="40"/>
            </w:pPr>
            <w:r>
              <w:rPr>
                <w:rFonts w:ascii="Calibri" w:hAnsi="Calibri"/>
                <w:sz w:val="19"/>
              </w:rPr>
              <w:t>$3,000-$4,500</w:t>
            </w:r>
          </w:p>
        </w:tc>
        <w:tc>
          <w:tcPr>
            <w:tcW w:type="dxa" w:w="2520"/>
            <w:tcMar>
              <w:top w:w="80" w:type="dxa"/>
              <w:start w:w="120" w:type="dxa"/>
              <w:bottom w:w="80" w:type="dxa"/>
              <w:end w:w="120" w:type="dxa"/>
            </w:tcMar>
            <w:vAlign w:val="center"/>
          </w:tcPr>
          <w:p>
            <w:pPr>
              <w:spacing w:after="40"/>
            </w:pPr>
            <w:r>
              <w:rPr>
                <w:rFonts w:ascii="Calibri" w:hAnsi="Calibri"/>
                <w:sz w:val="19"/>
              </w:rPr>
              <w:t>$36,000-$54,000</w:t>
            </w:r>
          </w:p>
        </w:tc>
      </w:tr>
      <w:tr>
        <w:tc>
          <w:tcPr>
            <w:tcW w:type="dxa" w:w="3960"/>
            <w:tcMar>
              <w:top w:w="80" w:type="dxa"/>
              <w:start w:w="120" w:type="dxa"/>
              <w:bottom w:w="80" w:type="dxa"/>
              <w:end w:w="120" w:type="dxa"/>
            </w:tcMar>
            <w:vAlign w:val="center"/>
          </w:tcPr>
          <w:p>
            <w:pPr>
              <w:spacing w:after="40"/>
            </w:pPr>
            <w:r>
              <w:rPr>
                <w:rFonts w:ascii="Calibri" w:hAnsi="Calibri"/>
                <w:sz w:val="19"/>
              </w:rPr>
              <w:t>Utilities / internet</w:t>
            </w:r>
          </w:p>
        </w:tc>
        <w:tc>
          <w:tcPr>
            <w:tcW w:type="dxa" w:w="2520"/>
            <w:tcMar>
              <w:top w:w="80" w:type="dxa"/>
              <w:start w:w="120" w:type="dxa"/>
              <w:bottom w:w="80" w:type="dxa"/>
              <w:end w:w="120" w:type="dxa"/>
            </w:tcMar>
            <w:vAlign w:val="center"/>
          </w:tcPr>
          <w:p>
            <w:pPr>
              <w:spacing w:after="40"/>
            </w:pPr>
            <w:r>
              <w:rPr>
                <w:rFonts w:ascii="Calibri" w:hAnsi="Calibri"/>
                <w:sz w:val="19"/>
              </w:rPr>
              <w:t>$1,300-$1,600</w:t>
            </w:r>
          </w:p>
        </w:tc>
        <w:tc>
          <w:tcPr>
            <w:tcW w:type="dxa" w:w="2520"/>
            <w:tcMar>
              <w:top w:w="80" w:type="dxa"/>
              <w:start w:w="120" w:type="dxa"/>
              <w:bottom w:w="80" w:type="dxa"/>
              <w:end w:w="120" w:type="dxa"/>
            </w:tcMar>
            <w:vAlign w:val="center"/>
          </w:tcPr>
          <w:p>
            <w:pPr>
              <w:spacing w:after="40"/>
            </w:pPr>
            <w:r>
              <w:rPr>
                <w:rFonts w:ascii="Calibri" w:hAnsi="Calibri"/>
                <w:sz w:val="19"/>
              </w:rPr>
              <w:t>$15,600-$19,200</w:t>
            </w:r>
          </w:p>
        </w:tc>
      </w:tr>
      <w:tr>
        <w:tc>
          <w:tcPr>
            <w:tcW w:type="dxa" w:w="3960"/>
            <w:tcMar>
              <w:top w:w="80" w:type="dxa"/>
              <w:start w:w="120" w:type="dxa"/>
              <w:bottom w:w="80" w:type="dxa"/>
              <w:end w:w="120" w:type="dxa"/>
            </w:tcMar>
            <w:vAlign w:val="center"/>
          </w:tcPr>
          <w:p>
            <w:pPr>
              <w:spacing w:after="40"/>
            </w:pPr>
            <w:r>
              <w:rPr>
                <w:rFonts w:ascii="Calibri" w:hAnsi="Calibri"/>
                <w:sz w:val="19"/>
              </w:rPr>
              <w:t>Insurance</w:t>
            </w:r>
          </w:p>
        </w:tc>
        <w:tc>
          <w:tcPr>
            <w:tcW w:type="dxa" w:w="2520"/>
            <w:tcMar>
              <w:top w:w="80" w:type="dxa"/>
              <w:start w:w="120" w:type="dxa"/>
              <w:bottom w:w="80" w:type="dxa"/>
              <w:end w:w="120" w:type="dxa"/>
            </w:tcMar>
            <w:vAlign w:val="center"/>
          </w:tcPr>
          <w:p>
            <w:pPr>
              <w:spacing w:after="40"/>
            </w:pPr>
            <w:r>
              <w:rPr>
                <w:rFonts w:ascii="Calibri" w:hAnsi="Calibri"/>
                <w:sz w:val="19"/>
              </w:rPr>
              <w:t>[GAP: quote needed]</w:t>
            </w:r>
          </w:p>
        </w:tc>
        <w:tc>
          <w:tcPr>
            <w:tcW w:type="dxa" w:w="2520"/>
            <w:tcMar>
              <w:top w:w="80" w:type="dxa"/>
              <w:start w:w="120" w:type="dxa"/>
              <w:bottom w:w="80" w:type="dxa"/>
              <w:end w:w="120" w:type="dxa"/>
            </w:tcMar>
            <w:vAlign w:val="center"/>
          </w:tcPr>
          <w:p>
            <w:pPr>
              <w:spacing w:after="40"/>
            </w:pPr>
            <w:r>
              <w:rPr>
                <w:rFonts w:ascii="Calibri" w:hAnsi="Calibri"/>
                <w:sz w:val="19"/>
              </w:rPr>
              <w:t>[GAP]</w:t>
            </w:r>
          </w:p>
        </w:tc>
      </w:tr>
      <w:tr>
        <w:tc>
          <w:tcPr>
            <w:tcW w:type="dxa" w:w="3960"/>
            <w:tcMar>
              <w:top w:w="80" w:type="dxa"/>
              <w:start w:w="120" w:type="dxa"/>
              <w:bottom w:w="80" w:type="dxa"/>
              <w:end w:w="120" w:type="dxa"/>
            </w:tcMar>
            <w:vAlign w:val="center"/>
          </w:tcPr>
          <w:p>
            <w:pPr>
              <w:spacing w:after="40"/>
            </w:pPr>
            <w:r>
              <w:rPr>
                <w:rFonts w:ascii="Calibri" w:hAnsi="Calibri"/>
                <w:sz w:val="19"/>
              </w:rPr>
              <w:t>Licensing / compliance / reporting</w:t>
            </w:r>
          </w:p>
        </w:tc>
        <w:tc>
          <w:tcPr>
            <w:tcW w:type="dxa" w:w="2520"/>
            <w:tcMar>
              <w:top w:w="80" w:type="dxa"/>
              <w:start w:w="120" w:type="dxa"/>
              <w:bottom w:w="80" w:type="dxa"/>
              <w:end w:w="120" w:type="dxa"/>
            </w:tcMar>
            <w:vAlign w:val="center"/>
          </w:tcPr>
          <w:p>
            <w:pPr>
              <w:spacing w:after="40"/>
            </w:pPr>
            <w:r>
              <w:rPr>
                <w:rFonts w:ascii="Calibri" w:hAnsi="Calibri"/>
                <w:sz w:val="19"/>
              </w:rPr>
              <w:t>$1,500-$3,000 startup plus ongoing</w:t>
            </w:r>
          </w:p>
        </w:tc>
        <w:tc>
          <w:tcPr>
            <w:tcW w:type="dxa" w:w="2520"/>
            <w:tcMar>
              <w:top w:w="80" w:type="dxa"/>
              <w:start w:w="120" w:type="dxa"/>
              <w:bottom w:w="80" w:type="dxa"/>
              <w:end w:w="120" w:type="dxa"/>
            </w:tcMar>
            <w:vAlign w:val="center"/>
          </w:tcPr>
          <w:p>
            <w:pPr>
              <w:spacing w:after="40"/>
            </w:pPr>
            <w:r>
              <w:rPr>
                <w:rFonts w:ascii="Calibri" w:hAnsi="Calibri"/>
                <w:sz w:val="19"/>
              </w:rPr>
              <w:t>[GAP]</w:t>
            </w:r>
          </w:p>
        </w:tc>
      </w:tr>
      <w:tr>
        <w:tc>
          <w:tcPr>
            <w:tcW w:type="dxa" w:w="3960"/>
            <w:tcMar>
              <w:top w:w="80" w:type="dxa"/>
              <w:start w:w="120" w:type="dxa"/>
              <w:bottom w:w="80" w:type="dxa"/>
              <w:end w:w="120" w:type="dxa"/>
            </w:tcMar>
            <w:vAlign w:val="center"/>
          </w:tcPr>
          <w:p>
            <w:pPr>
              <w:spacing w:after="40"/>
            </w:pPr>
            <w:r>
              <w:rPr>
                <w:rFonts w:ascii="Calibri" w:hAnsi="Calibri"/>
                <w:sz w:val="19"/>
              </w:rPr>
              <w:t>Bookkeeping / accounting</w:t>
            </w:r>
          </w:p>
        </w:tc>
        <w:tc>
          <w:tcPr>
            <w:tcW w:type="dxa" w:w="2520"/>
            <w:tcMar>
              <w:top w:w="80" w:type="dxa"/>
              <w:start w:w="120" w:type="dxa"/>
              <w:bottom w:w="80" w:type="dxa"/>
              <w:end w:w="120" w:type="dxa"/>
            </w:tcMar>
            <w:vAlign w:val="center"/>
          </w:tcPr>
          <w:p>
            <w:pPr>
              <w:spacing w:after="40"/>
            </w:pPr>
            <w:r>
              <w:rPr>
                <w:rFonts w:ascii="Calibri" w:hAnsi="Calibri"/>
                <w:sz w:val="19"/>
              </w:rPr>
              <w:t>$500-$1,000</w:t>
            </w:r>
          </w:p>
        </w:tc>
        <w:tc>
          <w:tcPr>
            <w:tcW w:type="dxa" w:w="2520"/>
            <w:tcMar>
              <w:top w:w="80" w:type="dxa"/>
              <w:start w:w="120" w:type="dxa"/>
              <w:bottom w:w="80" w:type="dxa"/>
              <w:end w:w="120" w:type="dxa"/>
            </w:tcMar>
            <w:vAlign w:val="center"/>
          </w:tcPr>
          <w:p>
            <w:pPr>
              <w:spacing w:after="40"/>
            </w:pPr>
            <w:r>
              <w:rPr>
                <w:rFonts w:ascii="Calibri" w:hAnsi="Calibri"/>
                <w:sz w:val="19"/>
              </w:rPr>
              <w:t>$6,000-$12,000</w:t>
            </w:r>
          </w:p>
        </w:tc>
      </w:tr>
      <w:tr>
        <w:tc>
          <w:tcPr>
            <w:tcW w:type="dxa" w:w="3960"/>
            <w:tcMar>
              <w:top w:w="80" w:type="dxa"/>
              <w:start w:w="120" w:type="dxa"/>
              <w:bottom w:w="80" w:type="dxa"/>
              <w:end w:w="120" w:type="dxa"/>
            </w:tcMar>
            <w:vAlign w:val="center"/>
          </w:tcPr>
          <w:p>
            <w:pPr>
              <w:spacing w:after="40"/>
            </w:pPr>
            <w:r>
              <w:rPr>
                <w:rFonts w:ascii="Calibri" w:hAnsi="Calibri"/>
                <w:sz w:val="19"/>
              </w:rPr>
              <w:t>Supplies / security / cleaning</w:t>
            </w:r>
          </w:p>
        </w:tc>
        <w:tc>
          <w:tcPr>
            <w:tcW w:type="dxa" w:w="2520"/>
            <w:tcMar>
              <w:top w:w="80" w:type="dxa"/>
              <w:start w:w="120" w:type="dxa"/>
              <w:bottom w:w="80" w:type="dxa"/>
              <w:end w:w="120" w:type="dxa"/>
            </w:tcMar>
            <w:vAlign w:val="center"/>
          </w:tcPr>
          <w:p>
            <w:pPr>
              <w:spacing w:after="40"/>
            </w:pPr>
            <w:r>
              <w:rPr>
                <w:rFonts w:ascii="Calibri" w:hAnsi="Calibri"/>
                <w:sz w:val="19"/>
              </w:rPr>
              <w:t>$500-$1,000</w:t>
            </w:r>
          </w:p>
        </w:tc>
        <w:tc>
          <w:tcPr>
            <w:tcW w:type="dxa" w:w="2520"/>
            <w:tcMar>
              <w:top w:w="80" w:type="dxa"/>
              <w:start w:w="120" w:type="dxa"/>
              <w:bottom w:w="80" w:type="dxa"/>
              <w:end w:w="120" w:type="dxa"/>
            </w:tcMar>
            <w:vAlign w:val="center"/>
          </w:tcPr>
          <w:p>
            <w:pPr>
              <w:spacing w:after="40"/>
            </w:pPr>
            <w:r>
              <w:rPr>
                <w:rFonts w:ascii="Calibri" w:hAnsi="Calibri"/>
                <w:sz w:val="19"/>
              </w:rPr>
              <w:t>$6,000-$12,000</w:t>
            </w:r>
          </w:p>
        </w:tc>
      </w:tr>
      <w:tr>
        <w:tc>
          <w:tcPr>
            <w:tcW w:type="dxa" w:w="3960"/>
            <w:tcMar>
              <w:top w:w="80" w:type="dxa"/>
              <w:start w:w="120" w:type="dxa"/>
              <w:bottom w:w="80" w:type="dxa"/>
              <w:end w:w="120" w:type="dxa"/>
            </w:tcMar>
            <w:vAlign w:val="center"/>
          </w:tcPr>
          <w:p>
            <w:pPr>
              <w:spacing w:after="40"/>
            </w:pPr>
            <w:r>
              <w:rPr>
                <w:rFonts w:ascii="Calibri" w:hAnsi="Calibri"/>
                <w:sz w:val="19"/>
              </w:rPr>
              <w:t>Marketing / local visibility</w:t>
            </w:r>
          </w:p>
        </w:tc>
        <w:tc>
          <w:tcPr>
            <w:tcW w:type="dxa" w:w="2520"/>
            <w:tcMar>
              <w:top w:w="80" w:type="dxa"/>
              <w:start w:w="120" w:type="dxa"/>
              <w:bottom w:w="80" w:type="dxa"/>
              <w:end w:w="120" w:type="dxa"/>
            </w:tcMar>
            <w:vAlign w:val="center"/>
          </w:tcPr>
          <w:p>
            <w:pPr>
              <w:spacing w:after="40"/>
            </w:pPr>
            <w:r>
              <w:rPr>
                <w:rFonts w:ascii="Calibri" w:hAnsi="Calibri"/>
                <w:sz w:val="19"/>
              </w:rPr>
              <w:t>$500-$1,000</w:t>
            </w:r>
          </w:p>
        </w:tc>
        <w:tc>
          <w:tcPr>
            <w:tcW w:type="dxa" w:w="2520"/>
            <w:tcMar>
              <w:top w:w="80" w:type="dxa"/>
              <w:start w:w="120" w:type="dxa"/>
              <w:bottom w:w="80" w:type="dxa"/>
              <w:end w:w="120" w:type="dxa"/>
            </w:tcMar>
            <w:vAlign w:val="center"/>
          </w:tcPr>
          <w:p>
            <w:pPr>
              <w:spacing w:after="40"/>
            </w:pPr>
            <w:r>
              <w:rPr>
                <w:rFonts w:ascii="Calibri" w:hAnsi="Calibri"/>
                <w:sz w:val="19"/>
              </w:rPr>
              <w:t>$6,000-$12,000</w:t>
            </w:r>
          </w:p>
        </w:tc>
      </w:tr>
      <w:tr>
        <w:tc>
          <w:tcPr>
            <w:tcW w:type="dxa" w:w="3960"/>
            <w:tcMar>
              <w:top w:w="80" w:type="dxa"/>
              <w:start w:w="120" w:type="dxa"/>
              <w:bottom w:w="80" w:type="dxa"/>
              <w:end w:w="120" w:type="dxa"/>
            </w:tcMar>
            <w:vAlign w:val="center"/>
          </w:tcPr>
          <w:p>
            <w:pPr>
              <w:spacing w:after="40"/>
            </w:pPr>
            <w:r>
              <w:rPr>
                <w:rFonts w:ascii="Calibri" w:hAnsi="Calibri"/>
                <w:sz w:val="19"/>
              </w:rPr>
              <w:t>Contingency</w:t>
            </w:r>
          </w:p>
        </w:tc>
        <w:tc>
          <w:tcPr>
            <w:tcW w:type="dxa" w:w="2520"/>
            <w:tcMar>
              <w:top w:w="80" w:type="dxa"/>
              <w:start w:w="120" w:type="dxa"/>
              <w:bottom w:w="80" w:type="dxa"/>
              <w:end w:w="120" w:type="dxa"/>
            </w:tcMar>
            <w:vAlign w:val="center"/>
          </w:tcPr>
          <w:p>
            <w:pPr>
              <w:spacing w:after="40"/>
            </w:pPr>
            <w:r>
              <w:rPr>
                <w:rFonts w:ascii="Calibri" w:hAnsi="Calibri"/>
                <w:sz w:val="19"/>
              </w:rPr>
              <w:t>$1,000</w:t>
            </w:r>
          </w:p>
        </w:tc>
        <w:tc>
          <w:tcPr>
            <w:tcW w:type="dxa" w:w="2520"/>
            <w:tcMar>
              <w:top w:w="80" w:type="dxa"/>
              <w:start w:w="120" w:type="dxa"/>
              <w:bottom w:w="80" w:type="dxa"/>
              <w:end w:w="120" w:type="dxa"/>
            </w:tcMar>
            <w:vAlign w:val="center"/>
          </w:tcPr>
          <w:p>
            <w:pPr>
              <w:spacing w:after="40"/>
            </w:pPr>
            <w:r>
              <w:rPr>
                <w:rFonts w:ascii="Calibri" w:hAnsi="Calibri"/>
                <w:sz w:val="19"/>
              </w:rPr>
              <w:t>$12,000</w:t>
            </w:r>
          </w:p>
        </w:tc>
      </w:tr>
      <w:tr>
        <w:tc>
          <w:tcPr>
            <w:tcW w:type="dxa" w:w="3960"/>
            <w:tcMar>
              <w:top w:w="80" w:type="dxa"/>
              <w:start w:w="120" w:type="dxa"/>
              <w:bottom w:w="80" w:type="dxa"/>
              <w:end w:w="120" w:type="dxa"/>
            </w:tcMar>
            <w:vAlign w:val="center"/>
          </w:tcPr>
          <w:p>
            <w:pPr>
              <w:spacing w:after="40"/>
            </w:pPr>
            <w:r>
              <w:rPr>
                <w:rFonts w:ascii="Calibri" w:hAnsi="Calibri"/>
                <w:sz w:val="19"/>
              </w:rPr>
              <w:t>Total known annual operating expense range before insurance/licensing</w:t>
            </w:r>
          </w:p>
        </w:tc>
        <w:tc>
          <w:tcPr>
            <w:tcW w:type="dxa" w:w="2520"/>
            <w:tcMar>
              <w:top w:w="80" w:type="dxa"/>
              <w:start w:w="120" w:type="dxa"/>
              <w:bottom w:w="80" w:type="dxa"/>
              <w:end w:w="120" w:type="dxa"/>
            </w:tcMar>
            <w:vAlign w:val="center"/>
          </w:tcPr>
          <w:p>
            <w:pPr>
              <w:spacing w:after="40"/>
            </w:pPr>
            <w:r>
              <w:rPr>
                <w:rFonts w:ascii="Calibri" w:hAnsi="Calibri"/>
                <w:sz w:val="19"/>
              </w:rPr>
              <w:t>$10,800-$14,100/mo</w:t>
            </w:r>
          </w:p>
        </w:tc>
        <w:tc>
          <w:tcPr>
            <w:tcW w:type="dxa" w:w="2520"/>
            <w:tcMar>
              <w:top w:w="80" w:type="dxa"/>
              <w:start w:w="120" w:type="dxa"/>
              <w:bottom w:w="80" w:type="dxa"/>
              <w:end w:w="120" w:type="dxa"/>
            </w:tcMar>
            <w:vAlign w:val="center"/>
          </w:tcPr>
          <w:p>
            <w:pPr>
              <w:spacing w:after="40"/>
            </w:pPr>
            <w:r>
              <w:rPr>
                <w:rFonts w:ascii="Calibri" w:hAnsi="Calibri"/>
                <w:sz w:val="19"/>
              </w:rPr>
              <w:t>$129,600-$169,200</w:t>
            </w:r>
          </w:p>
        </w:tc>
      </w:tr>
    </w:tbl>
    <w:p/>
    <w:p>
      <w:pPr>
        <w:pStyle w:val="Heading2"/>
      </w:pPr>
      <w:r>
        <w:t>Year 1 Cash Flow View</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3384"/>
            <w:tcMar>
              <w:top w:w="80" w:type="dxa"/>
              <w:start w:w="120" w:type="dxa"/>
              <w:bottom w:w="80" w:type="dxa"/>
              <w:end w:w="120" w:type="dxa"/>
            </w:tcMar>
            <w:vAlign w:val="center"/>
            <w:shd w:fill="F2F4F7"/>
          </w:tcPr>
          <w:p>
            <w:pPr>
              <w:spacing w:after="40"/>
            </w:pPr>
            <w:r>
              <w:rPr>
                <w:rFonts w:ascii="Calibri" w:hAnsi="Calibri"/>
                <w:b/>
                <w:color w:val="1F4D78"/>
                <w:sz w:val="19"/>
              </w:rPr>
              <w:t>Cash flow item</w:t>
            </w:r>
          </w:p>
        </w:tc>
        <w:tc>
          <w:tcPr>
            <w:tcW w:type="dxa" w:w="1728"/>
            <w:tcMar>
              <w:top w:w="80" w:type="dxa"/>
              <w:start w:w="120" w:type="dxa"/>
              <w:bottom w:w="80" w:type="dxa"/>
              <w:end w:w="120" w:type="dxa"/>
            </w:tcMar>
            <w:vAlign w:val="center"/>
            <w:shd w:fill="F2F4F7"/>
          </w:tcPr>
          <w:p>
            <w:pPr>
              <w:spacing w:after="40"/>
            </w:pPr>
            <w:r>
              <w:rPr>
                <w:rFonts w:ascii="Calibri" w:hAnsi="Calibri"/>
                <w:b/>
                <w:color w:val="1F4D78"/>
                <w:sz w:val="19"/>
              </w:rPr>
              <w:t>Amount</w:t>
            </w:r>
          </w:p>
        </w:tc>
        <w:tc>
          <w:tcPr>
            <w:tcW w:type="dxa" w:w="3888"/>
            <w:tcMar>
              <w:top w:w="80" w:type="dxa"/>
              <w:start w:w="120" w:type="dxa"/>
              <w:bottom w:w="80" w:type="dxa"/>
              <w:end w:w="120" w:type="dxa"/>
            </w:tcMar>
            <w:vAlign w:val="center"/>
            <w:shd w:fill="F2F4F7"/>
          </w:tcPr>
          <w:p>
            <w:pPr>
              <w:spacing w:after="40"/>
            </w:pPr>
            <w:r>
              <w:rPr>
                <w:rFonts w:ascii="Calibri" w:hAnsi="Calibri"/>
                <w:b/>
                <w:color w:val="1F4D78"/>
                <w:sz w:val="19"/>
              </w:rPr>
              <w:t>Notes</w:t>
            </w:r>
          </w:p>
        </w:tc>
      </w:tr>
      <w:tr>
        <w:tc>
          <w:tcPr>
            <w:tcW w:type="dxa" w:w="3384"/>
            <w:tcMar>
              <w:top w:w="80" w:type="dxa"/>
              <w:start w:w="120" w:type="dxa"/>
              <w:bottom w:w="80" w:type="dxa"/>
              <w:end w:w="120" w:type="dxa"/>
            </w:tcMar>
            <w:vAlign w:val="center"/>
          </w:tcPr>
          <w:p>
            <w:pPr>
              <w:spacing w:after="40"/>
            </w:pPr>
            <w:r>
              <w:rPr>
                <w:rFonts w:ascii="Calibri" w:hAnsi="Calibri"/>
                <w:sz w:val="19"/>
              </w:rPr>
              <w:t>Starting lease-readiness funds</w:t>
            </w:r>
          </w:p>
        </w:tc>
        <w:tc>
          <w:tcPr>
            <w:tcW w:type="dxa" w:w="1728"/>
            <w:tcMar>
              <w:top w:w="80" w:type="dxa"/>
              <w:start w:w="120" w:type="dxa"/>
              <w:bottom w:w="80" w:type="dxa"/>
              <w:end w:w="120" w:type="dxa"/>
            </w:tcMar>
            <w:vAlign w:val="center"/>
          </w:tcPr>
          <w:p>
            <w:pPr>
              <w:spacing w:after="40"/>
            </w:pPr>
            <w:r>
              <w:rPr>
                <w:rFonts w:ascii="Calibri" w:hAnsi="Calibri"/>
                <w:sz w:val="19"/>
              </w:rPr>
              <w:t>$25,000</w:t>
            </w:r>
          </w:p>
        </w:tc>
        <w:tc>
          <w:tcPr>
            <w:tcW w:type="dxa" w:w="3888"/>
            <w:tcMar>
              <w:top w:w="80" w:type="dxa"/>
              <w:start w:w="120" w:type="dxa"/>
              <w:bottom w:w="80" w:type="dxa"/>
              <w:end w:w="120" w:type="dxa"/>
            </w:tcMar>
            <w:vAlign w:val="center"/>
          </w:tcPr>
          <w:p>
            <w:pPr>
              <w:spacing w:after="40"/>
            </w:pPr>
            <w:r>
              <w:rPr>
                <w:rFonts w:ascii="Calibri" w:hAnsi="Calibri"/>
                <w:sz w:val="19"/>
              </w:rPr>
              <w:t>Provided funding requirement.</w:t>
            </w:r>
          </w:p>
        </w:tc>
      </w:tr>
      <w:tr>
        <w:tc>
          <w:tcPr>
            <w:tcW w:type="dxa" w:w="3384"/>
            <w:tcMar>
              <w:top w:w="80" w:type="dxa"/>
              <w:start w:w="120" w:type="dxa"/>
              <w:bottom w:w="80" w:type="dxa"/>
              <w:end w:w="120" w:type="dxa"/>
            </w:tcMar>
            <w:vAlign w:val="center"/>
          </w:tcPr>
          <w:p>
            <w:pPr>
              <w:spacing w:after="40"/>
            </w:pPr>
            <w:r>
              <w:rPr>
                <w:rFonts w:ascii="Calibri" w:hAnsi="Calibri"/>
                <w:sz w:val="19"/>
              </w:rPr>
              <w:t>First/last rent and utility deposits</w:t>
            </w:r>
          </w:p>
        </w:tc>
        <w:tc>
          <w:tcPr>
            <w:tcW w:type="dxa" w:w="1728"/>
            <w:tcMar>
              <w:top w:w="80" w:type="dxa"/>
              <w:start w:w="120" w:type="dxa"/>
              <w:bottom w:w="80" w:type="dxa"/>
              <w:end w:w="120" w:type="dxa"/>
            </w:tcMar>
            <w:vAlign w:val="center"/>
          </w:tcPr>
          <w:p>
            <w:pPr>
              <w:spacing w:after="40"/>
            </w:pPr>
            <w:r>
              <w:rPr>
                <w:rFonts w:ascii="Calibri" w:hAnsi="Calibri"/>
                <w:sz w:val="19"/>
              </w:rPr>
              <w:t>($10,000)</w:t>
            </w:r>
          </w:p>
        </w:tc>
        <w:tc>
          <w:tcPr>
            <w:tcW w:type="dxa" w:w="3888"/>
            <w:tcMar>
              <w:top w:w="80" w:type="dxa"/>
              <w:start w:w="120" w:type="dxa"/>
              <w:bottom w:w="80" w:type="dxa"/>
              <w:end w:w="120" w:type="dxa"/>
            </w:tcMar>
            <w:vAlign w:val="center"/>
          </w:tcPr>
          <w:p>
            <w:pPr>
              <w:spacing w:after="40"/>
            </w:pPr>
            <w:r>
              <w:rPr>
                <w:rFonts w:ascii="Calibri" w:hAnsi="Calibri"/>
                <w:sz w:val="19"/>
              </w:rPr>
              <w:t>Lease cash out before/at opening.</w:t>
            </w:r>
          </w:p>
        </w:tc>
      </w:tr>
      <w:tr>
        <w:tc>
          <w:tcPr>
            <w:tcW w:type="dxa" w:w="3384"/>
            <w:tcMar>
              <w:top w:w="80" w:type="dxa"/>
              <w:start w:w="120" w:type="dxa"/>
              <w:bottom w:w="80" w:type="dxa"/>
              <w:end w:w="120" w:type="dxa"/>
            </w:tcMar>
            <w:vAlign w:val="center"/>
          </w:tcPr>
          <w:p>
            <w:pPr>
              <w:spacing w:after="40"/>
            </w:pPr>
            <w:r>
              <w:rPr>
                <w:rFonts w:ascii="Calibri" w:hAnsi="Calibri"/>
                <w:sz w:val="19"/>
              </w:rPr>
              <w:t>Opening cash till</w:t>
            </w:r>
          </w:p>
        </w:tc>
        <w:tc>
          <w:tcPr>
            <w:tcW w:type="dxa" w:w="1728"/>
            <w:tcMar>
              <w:top w:w="80" w:type="dxa"/>
              <w:start w:w="120" w:type="dxa"/>
              <w:bottom w:w="80" w:type="dxa"/>
              <w:end w:w="120" w:type="dxa"/>
            </w:tcMar>
            <w:vAlign w:val="center"/>
          </w:tcPr>
          <w:p>
            <w:pPr>
              <w:spacing w:after="40"/>
            </w:pPr>
            <w:r>
              <w:rPr>
                <w:rFonts w:ascii="Calibri" w:hAnsi="Calibri"/>
                <w:sz w:val="19"/>
              </w:rPr>
              <w:t>($10,000)</w:t>
            </w:r>
          </w:p>
        </w:tc>
        <w:tc>
          <w:tcPr>
            <w:tcW w:type="dxa" w:w="3888"/>
            <w:tcMar>
              <w:top w:w="80" w:type="dxa"/>
              <w:start w:w="120" w:type="dxa"/>
              <w:bottom w:w="80" w:type="dxa"/>
              <w:end w:w="120" w:type="dxa"/>
            </w:tcMar>
            <w:vAlign w:val="center"/>
          </w:tcPr>
          <w:p>
            <w:pPr>
              <w:spacing w:after="40"/>
            </w:pPr>
            <w:r>
              <w:rPr>
                <w:rFonts w:ascii="Calibri" w:hAnsi="Calibri"/>
                <w:sz w:val="19"/>
              </w:rPr>
              <w:t>Restricted operating cash/change bank; not treated as spend if retained.</w:t>
            </w:r>
          </w:p>
        </w:tc>
      </w:tr>
      <w:tr>
        <w:tc>
          <w:tcPr>
            <w:tcW w:type="dxa" w:w="3384"/>
            <w:tcMar>
              <w:top w:w="80" w:type="dxa"/>
              <w:start w:w="120" w:type="dxa"/>
              <w:bottom w:w="80" w:type="dxa"/>
              <w:end w:w="120" w:type="dxa"/>
            </w:tcMar>
            <w:vAlign w:val="center"/>
          </w:tcPr>
          <w:p>
            <w:pPr>
              <w:spacing w:after="40"/>
            </w:pPr>
            <w:r>
              <w:rPr>
                <w:rFonts w:ascii="Calibri" w:hAnsi="Calibri"/>
                <w:sz w:val="19"/>
              </w:rPr>
              <w:t>Operating buffer retained</w:t>
            </w:r>
          </w:p>
        </w:tc>
        <w:tc>
          <w:tcPr>
            <w:tcW w:type="dxa" w:w="1728"/>
            <w:tcMar>
              <w:top w:w="80" w:type="dxa"/>
              <w:start w:w="120" w:type="dxa"/>
              <w:bottom w:w="80" w:type="dxa"/>
              <w:end w:w="120" w:type="dxa"/>
            </w:tcMar>
            <w:vAlign w:val="center"/>
          </w:tcPr>
          <w:p>
            <w:pPr>
              <w:spacing w:after="40"/>
            </w:pPr>
            <w:r>
              <w:rPr>
                <w:rFonts w:ascii="Calibri" w:hAnsi="Calibri"/>
                <w:sz w:val="19"/>
              </w:rPr>
              <w:t>$5,000</w:t>
            </w:r>
          </w:p>
        </w:tc>
        <w:tc>
          <w:tcPr>
            <w:tcW w:type="dxa" w:w="3888"/>
            <w:tcMar>
              <w:top w:w="80" w:type="dxa"/>
              <w:start w:w="120" w:type="dxa"/>
              <w:bottom w:w="80" w:type="dxa"/>
              <w:end w:w="120" w:type="dxa"/>
            </w:tcMar>
            <w:vAlign w:val="center"/>
          </w:tcPr>
          <w:p>
            <w:pPr>
              <w:spacing w:after="40"/>
            </w:pPr>
            <w:r>
              <w:rPr>
                <w:rFonts w:ascii="Calibri" w:hAnsi="Calibri"/>
                <w:sz w:val="19"/>
              </w:rPr>
              <w:t>Available cushion after deposits/till allocation.</w:t>
            </w:r>
          </w:p>
        </w:tc>
      </w:tr>
      <w:tr>
        <w:tc>
          <w:tcPr>
            <w:tcW w:type="dxa" w:w="3384"/>
            <w:tcMar>
              <w:top w:w="80" w:type="dxa"/>
              <w:start w:w="120" w:type="dxa"/>
              <w:bottom w:w="80" w:type="dxa"/>
              <w:end w:w="120" w:type="dxa"/>
            </w:tcMar>
            <w:vAlign w:val="center"/>
          </w:tcPr>
          <w:p>
            <w:pPr>
              <w:spacing w:after="40"/>
            </w:pPr>
            <w:r>
              <w:rPr>
                <w:rFonts w:ascii="Calibri" w:hAnsi="Calibri"/>
                <w:sz w:val="19"/>
              </w:rPr>
              <w:t>Target retained net from charitable gaming</w:t>
            </w:r>
          </w:p>
        </w:tc>
        <w:tc>
          <w:tcPr>
            <w:tcW w:type="dxa" w:w="1728"/>
            <w:tcMar>
              <w:top w:w="80" w:type="dxa"/>
              <w:start w:w="120" w:type="dxa"/>
              <w:bottom w:w="80" w:type="dxa"/>
              <w:end w:w="120" w:type="dxa"/>
            </w:tcMar>
            <w:vAlign w:val="center"/>
          </w:tcPr>
          <w:p>
            <w:pPr>
              <w:spacing w:after="40"/>
            </w:pPr>
            <w:r>
              <w:rPr>
                <w:rFonts w:ascii="Calibri" w:hAnsi="Calibri"/>
                <w:sz w:val="19"/>
              </w:rPr>
              <w:t>$528,000</w:t>
            </w:r>
          </w:p>
        </w:tc>
        <w:tc>
          <w:tcPr>
            <w:tcW w:type="dxa" w:w="3888"/>
            <w:tcMar>
              <w:top w:w="80" w:type="dxa"/>
              <w:start w:w="120" w:type="dxa"/>
              <w:bottom w:w="80" w:type="dxa"/>
              <w:end w:w="120" w:type="dxa"/>
            </w:tcMar>
            <w:vAlign w:val="center"/>
          </w:tcPr>
          <w:p>
            <w:pPr>
              <w:spacing w:after="40"/>
            </w:pPr>
            <w:r>
              <w:rPr>
                <w:rFonts w:ascii="Calibri" w:hAnsi="Calibri"/>
                <w:sz w:val="19"/>
              </w:rPr>
              <w:t>Based on GitHub source target of ~$44K/month retained net.</w:t>
            </w:r>
          </w:p>
        </w:tc>
      </w:tr>
      <w:tr>
        <w:tc>
          <w:tcPr>
            <w:tcW w:type="dxa" w:w="3384"/>
            <w:tcMar>
              <w:top w:w="80" w:type="dxa"/>
              <w:start w:w="120" w:type="dxa"/>
              <w:bottom w:w="80" w:type="dxa"/>
              <w:end w:w="120" w:type="dxa"/>
            </w:tcMar>
            <w:vAlign w:val="center"/>
          </w:tcPr>
          <w:p>
            <w:pPr>
              <w:spacing w:after="40"/>
            </w:pPr>
            <w:r>
              <w:rPr>
                <w:rFonts w:ascii="Calibri" w:hAnsi="Calibri"/>
                <w:sz w:val="19"/>
              </w:rPr>
              <w:t>Known annual operating expense range</w:t>
            </w:r>
          </w:p>
        </w:tc>
        <w:tc>
          <w:tcPr>
            <w:tcW w:type="dxa" w:w="1728"/>
            <w:tcMar>
              <w:top w:w="80" w:type="dxa"/>
              <w:start w:w="120" w:type="dxa"/>
              <w:bottom w:w="80" w:type="dxa"/>
              <w:end w:w="120" w:type="dxa"/>
            </w:tcMar>
            <w:vAlign w:val="center"/>
          </w:tcPr>
          <w:p>
            <w:pPr>
              <w:spacing w:after="40"/>
            </w:pPr>
            <w:r>
              <w:rPr>
                <w:rFonts w:ascii="Calibri" w:hAnsi="Calibri"/>
                <w:sz w:val="19"/>
              </w:rPr>
              <w:t>($129,600-$169,200)</w:t>
            </w:r>
          </w:p>
        </w:tc>
        <w:tc>
          <w:tcPr>
            <w:tcW w:type="dxa" w:w="3888"/>
            <w:tcMar>
              <w:top w:w="80" w:type="dxa"/>
              <w:start w:w="120" w:type="dxa"/>
              <w:bottom w:w="80" w:type="dxa"/>
              <w:end w:w="120" w:type="dxa"/>
            </w:tcMar>
            <w:vAlign w:val="center"/>
          </w:tcPr>
          <w:p>
            <w:pPr>
              <w:spacing w:after="40"/>
            </w:pPr>
            <w:r>
              <w:rPr>
                <w:rFonts w:ascii="Calibri" w:hAnsi="Calibri"/>
                <w:sz w:val="19"/>
              </w:rPr>
              <w:t>Before insurance, licensing, taxes, debt service, and unconfirmed items.</w:t>
            </w:r>
          </w:p>
        </w:tc>
      </w:tr>
      <w:tr>
        <w:tc>
          <w:tcPr>
            <w:tcW w:type="dxa" w:w="3384"/>
            <w:tcMar>
              <w:top w:w="80" w:type="dxa"/>
              <w:start w:w="120" w:type="dxa"/>
              <w:bottom w:w="80" w:type="dxa"/>
              <w:end w:w="120" w:type="dxa"/>
            </w:tcMar>
            <w:vAlign w:val="center"/>
          </w:tcPr>
          <w:p>
            <w:pPr>
              <w:spacing w:after="40"/>
            </w:pPr>
            <w:r>
              <w:rPr>
                <w:rFonts w:ascii="Calibri" w:hAnsi="Calibri"/>
                <w:sz w:val="19"/>
              </w:rPr>
              <w:t>Planning cash before unconfirmed items</w:t>
            </w:r>
          </w:p>
        </w:tc>
        <w:tc>
          <w:tcPr>
            <w:tcW w:type="dxa" w:w="1728"/>
            <w:tcMar>
              <w:top w:w="80" w:type="dxa"/>
              <w:start w:w="120" w:type="dxa"/>
              <w:bottom w:w="80" w:type="dxa"/>
              <w:end w:w="120" w:type="dxa"/>
            </w:tcMar>
            <w:vAlign w:val="center"/>
          </w:tcPr>
          <w:p>
            <w:pPr>
              <w:spacing w:after="40"/>
            </w:pPr>
            <w:r>
              <w:rPr>
                <w:rFonts w:ascii="Calibri" w:hAnsi="Calibri"/>
                <w:sz w:val="19"/>
              </w:rPr>
              <w:t>$363,800-$403,400</w:t>
            </w:r>
          </w:p>
        </w:tc>
        <w:tc>
          <w:tcPr>
            <w:tcW w:type="dxa" w:w="3888"/>
            <w:tcMar>
              <w:top w:w="80" w:type="dxa"/>
              <w:start w:w="120" w:type="dxa"/>
              <w:bottom w:w="80" w:type="dxa"/>
              <w:end w:w="120" w:type="dxa"/>
            </w:tcMar>
            <w:vAlign w:val="center"/>
          </w:tcPr>
          <w:p>
            <w:pPr>
              <w:spacing w:after="40"/>
            </w:pPr>
            <w:r>
              <w:rPr>
                <w:rFonts w:ascii="Calibri" w:hAnsi="Calibri"/>
                <w:sz w:val="19"/>
              </w:rPr>
              <w:t>High-level source-driven view; not final until machine economics are verified.</w:t>
            </w:r>
          </w:p>
        </w:tc>
      </w:tr>
      <w:tr>
        <w:tc>
          <w:tcPr>
            <w:tcW w:type="dxa" w:w="3384"/>
            <w:tcMar>
              <w:top w:w="80" w:type="dxa"/>
              <w:start w:w="120" w:type="dxa"/>
              <w:bottom w:w="80" w:type="dxa"/>
              <w:end w:w="120" w:type="dxa"/>
            </w:tcMar>
            <w:vAlign w:val="center"/>
          </w:tcPr>
          <w:p>
            <w:pPr>
              <w:spacing w:after="40"/>
            </w:pPr>
            <w:r>
              <w:rPr>
                <w:rFonts w:ascii="Calibri" w:hAnsi="Calibri"/>
                <w:sz w:val="19"/>
              </w:rPr>
              <w:t>Arrow grant proceeds after opening</w:t>
            </w:r>
          </w:p>
        </w:tc>
        <w:tc>
          <w:tcPr>
            <w:tcW w:type="dxa" w:w="1728"/>
            <w:tcMar>
              <w:top w:w="80" w:type="dxa"/>
              <w:start w:w="120" w:type="dxa"/>
              <w:bottom w:w="80" w:type="dxa"/>
              <w:end w:w="120" w:type="dxa"/>
            </w:tcMar>
            <w:vAlign w:val="center"/>
          </w:tcPr>
          <w:p>
            <w:pPr>
              <w:spacing w:after="40"/>
            </w:pPr>
            <w:r>
              <w:rPr>
                <w:rFonts w:ascii="Calibri" w:hAnsi="Calibri"/>
                <w:sz w:val="19"/>
              </w:rPr>
              <w:t>$25,000-$35,000</w:t>
            </w:r>
          </w:p>
        </w:tc>
        <w:tc>
          <w:tcPr>
            <w:tcW w:type="dxa" w:w="3888"/>
            <w:tcMar>
              <w:top w:w="80" w:type="dxa"/>
              <w:start w:w="120" w:type="dxa"/>
              <w:bottom w:w="80" w:type="dxa"/>
              <w:end w:w="120" w:type="dxa"/>
            </w:tcMar>
            <w:vAlign w:val="center"/>
          </w:tcPr>
          <w:p>
            <w:pPr>
              <w:spacing w:after="40"/>
            </w:pPr>
            <w:r>
              <w:rPr>
                <w:rFonts w:ascii="Calibri" w:hAnsi="Calibri"/>
                <w:sz w:val="19"/>
              </w:rPr>
              <w:t>Not included in operating surplus; improves cash runway when received.</w:t>
            </w:r>
          </w:p>
        </w:tc>
      </w:tr>
      <w:tr>
        <w:tc>
          <w:tcPr>
            <w:tcW w:type="dxa" w:w="3384"/>
            <w:tcMar>
              <w:top w:w="80" w:type="dxa"/>
              <w:start w:w="120" w:type="dxa"/>
              <w:bottom w:w="80" w:type="dxa"/>
              <w:end w:w="120" w:type="dxa"/>
            </w:tcMar>
            <w:vAlign w:val="center"/>
          </w:tcPr>
          <w:p>
            <w:pPr>
              <w:spacing w:after="40"/>
            </w:pPr>
            <w:r>
              <w:rPr>
                <w:rFonts w:ascii="Calibri" w:hAnsi="Calibri"/>
                <w:sz w:val="19"/>
              </w:rPr>
              <w:t>Estimated planning cash incl. Arrow grant</w:t>
            </w:r>
          </w:p>
        </w:tc>
        <w:tc>
          <w:tcPr>
            <w:tcW w:type="dxa" w:w="1728"/>
            <w:tcMar>
              <w:top w:w="80" w:type="dxa"/>
              <w:start w:w="120" w:type="dxa"/>
              <w:bottom w:w="80" w:type="dxa"/>
              <w:end w:w="120" w:type="dxa"/>
            </w:tcMar>
            <w:vAlign w:val="center"/>
          </w:tcPr>
          <w:p>
            <w:pPr>
              <w:spacing w:after="40"/>
            </w:pPr>
            <w:r>
              <w:rPr>
                <w:rFonts w:ascii="Calibri" w:hAnsi="Calibri"/>
                <w:sz w:val="19"/>
              </w:rPr>
              <w:t>$388,800-$438,400</w:t>
            </w:r>
          </w:p>
        </w:tc>
        <w:tc>
          <w:tcPr>
            <w:tcW w:type="dxa" w:w="3888"/>
            <w:tcMar>
              <w:top w:w="80" w:type="dxa"/>
              <w:start w:w="120" w:type="dxa"/>
              <w:bottom w:w="80" w:type="dxa"/>
              <w:end w:w="120" w:type="dxa"/>
            </w:tcMar>
            <w:vAlign w:val="center"/>
          </w:tcPr>
          <w:p>
            <w:pPr>
              <w:spacing w:after="40"/>
            </w:pPr>
            <w:r>
              <w:rPr>
                <w:rFonts w:ascii="Calibri" w:hAnsi="Calibri"/>
                <w:sz w:val="19"/>
              </w:rPr>
              <w:t>Assumes written grant terms are satisfied and funds are received in Year 1.</w:t>
            </w:r>
          </w:p>
        </w:tc>
      </w:tr>
    </w:tbl>
    <w:p/>
    <w:p>
      <w:pPr>
        <w:spacing w:after="120"/>
      </w:pPr>
      <w:r>
        <w:t>[GAP: Tax status, depreciation, debt service, payroll structure, and owner/manager compensation policy were not provided. The projection should not be used for tax or lending approval without those details.]</w:t>
      </w:r>
    </w:p>
    <w:p>
      <w:pPr>
        <w:pStyle w:val="Heading2"/>
      </w:pPr>
      <w:r>
        <w:t>Break-Even View</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5040"/>
            <w:tcMar>
              <w:top w:w="80" w:type="dxa"/>
              <w:start w:w="120" w:type="dxa"/>
              <w:bottom w:w="80" w:type="dxa"/>
              <w:end w:w="120" w:type="dxa"/>
            </w:tcMar>
            <w:vAlign w:val="center"/>
            <w:shd w:fill="F2F4F7"/>
          </w:tcPr>
          <w:p>
            <w:pPr>
              <w:spacing w:after="40"/>
            </w:pPr>
            <w:r>
              <w:rPr>
                <w:rFonts w:ascii="Calibri" w:hAnsi="Calibri"/>
                <w:b/>
                <w:color w:val="1F4D78"/>
                <w:sz w:val="19"/>
              </w:rPr>
              <w:t>Break-even metric</w:t>
            </w:r>
          </w:p>
        </w:tc>
        <w:tc>
          <w:tcPr>
            <w:tcW w:type="dxa" w:w="3960"/>
            <w:tcMar>
              <w:top w:w="80" w:type="dxa"/>
              <w:start w:w="120" w:type="dxa"/>
              <w:bottom w:w="80" w:type="dxa"/>
              <w:end w:w="120" w:type="dxa"/>
            </w:tcMar>
            <w:vAlign w:val="center"/>
            <w:shd w:fill="F2F4F7"/>
          </w:tcPr>
          <w:p>
            <w:pPr>
              <w:spacing w:after="40"/>
            </w:pPr>
            <w:r>
              <w:rPr>
                <w:rFonts w:ascii="Calibri" w:hAnsi="Calibri"/>
                <w:b/>
                <w:color w:val="1F4D78"/>
                <w:sz w:val="19"/>
              </w:rPr>
              <w:t>Base-case estimate</w:t>
            </w:r>
          </w:p>
        </w:tc>
      </w:tr>
      <w:tr>
        <w:tc>
          <w:tcPr>
            <w:tcW w:type="dxa" w:w="5040"/>
            <w:tcMar>
              <w:top w:w="80" w:type="dxa"/>
              <w:start w:w="120" w:type="dxa"/>
              <w:bottom w:w="80" w:type="dxa"/>
              <w:end w:w="120" w:type="dxa"/>
            </w:tcMar>
            <w:vAlign w:val="center"/>
          </w:tcPr>
          <w:p>
            <w:pPr>
              <w:spacing w:after="40"/>
            </w:pPr>
            <w:r>
              <w:rPr>
                <w:rFonts w:ascii="Calibri" w:hAnsi="Calibri"/>
                <w:sz w:val="19"/>
              </w:rPr>
              <w:t>Source-note break-even gross</w:t>
            </w:r>
          </w:p>
        </w:tc>
        <w:tc>
          <w:tcPr>
            <w:tcW w:type="dxa" w:w="3960"/>
            <w:tcMar>
              <w:top w:w="80" w:type="dxa"/>
              <w:start w:w="120" w:type="dxa"/>
              <w:bottom w:w="80" w:type="dxa"/>
              <w:end w:w="120" w:type="dxa"/>
            </w:tcMar>
            <w:vAlign w:val="center"/>
          </w:tcPr>
          <w:p>
            <w:pPr>
              <w:spacing w:after="40"/>
            </w:pPr>
            <w:r>
              <w:rPr>
                <w:rFonts w:ascii="Calibri" w:hAnsi="Calibri"/>
                <w:sz w:val="19"/>
              </w:rPr>
              <w:t>$55K-$60K/month</w:t>
            </w:r>
          </w:p>
        </w:tc>
      </w:tr>
      <w:tr>
        <w:tc>
          <w:tcPr>
            <w:tcW w:type="dxa" w:w="5040"/>
            <w:tcMar>
              <w:top w:w="80" w:type="dxa"/>
              <w:start w:w="120" w:type="dxa"/>
              <w:bottom w:w="80" w:type="dxa"/>
              <w:end w:w="120" w:type="dxa"/>
            </w:tcMar>
            <w:vAlign w:val="center"/>
          </w:tcPr>
          <w:p>
            <w:pPr>
              <w:spacing w:after="40"/>
            </w:pPr>
            <w:r>
              <w:rPr>
                <w:rFonts w:ascii="Calibri" w:hAnsi="Calibri"/>
                <w:sz w:val="19"/>
              </w:rPr>
              <w:t>Planning break-even used in this draft</w:t>
            </w:r>
          </w:p>
        </w:tc>
        <w:tc>
          <w:tcPr>
            <w:tcW w:type="dxa" w:w="3960"/>
            <w:tcMar>
              <w:top w:w="80" w:type="dxa"/>
              <w:start w:w="120" w:type="dxa"/>
              <w:bottom w:w="80" w:type="dxa"/>
              <w:end w:w="120" w:type="dxa"/>
            </w:tcMar>
            <w:vAlign w:val="center"/>
          </w:tcPr>
          <w:p>
            <w:pPr>
              <w:spacing w:after="40"/>
            </w:pPr>
            <w:r>
              <w:rPr>
                <w:rFonts w:ascii="Calibri" w:hAnsi="Calibri"/>
                <w:sz w:val="19"/>
              </w:rPr>
              <w:t>$60K/month</w:t>
            </w:r>
          </w:p>
        </w:tc>
      </w:tr>
      <w:tr>
        <w:tc>
          <w:tcPr>
            <w:tcW w:type="dxa" w:w="5040"/>
            <w:tcMar>
              <w:top w:w="80" w:type="dxa"/>
              <w:start w:w="120" w:type="dxa"/>
              <w:bottom w:w="80" w:type="dxa"/>
              <w:end w:w="120" w:type="dxa"/>
            </w:tcMar>
            <w:vAlign w:val="center"/>
          </w:tcPr>
          <w:p>
            <w:pPr>
              <w:spacing w:after="40"/>
            </w:pPr>
            <w:r>
              <w:rPr>
                <w:rFonts w:ascii="Calibri" w:hAnsi="Calibri"/>
                <w:sz w:val="19"/>
              </w:rPr>
              <w:t>Annual planning break-even gross</w:t>
            </w:r>
          </w:p>
        </w:tc>
        <w:tc>
          <w:tcPr>
            <w:tcW w:type="dxa" w:w="3960"/>
            <w:tcMar>
              <w:top w:w="80" w:type="dxa"/>
              <w:start w:w="120" w:type="dxa"/>
              <w:bottom w:w="80" w:type="dxa"/>
              <w:end w:w="120" w:type="dxa"/>
            </w:tcMar>
            <w:vAlign w:val="center"/>
          </w:tcPr>
          <w:p>
            <w:pPr>
              <w:spacing w:after="40"/>
            </w:pPr>
            <w:r>
              <w:rPr>
                <w:rFonts w:ascii="Calibri" w:hAnsi="Calibri"/>
                <w:sz w:val="19"/>
              </w:rPr>
              <w:t>$720K/year</w:t>
            </w:r>
          </w:p>
        </w:tc>
      </w:tr>
      <w:tr>
        <w:tc>
          <w:tcPr>
            <w:tcW w:type="dxa" w:w="5040"/>
            <w:tcMar>
              <w:top w:w="80" w:type="dxa"/>
              <w:start w:w="120" w:type="dxa"/>
              <w:bottom w:w="80" w:type="dxa"/>
              <w:end w:w="120" w:type="dxa"/>
            </w:tcMar>
            <w:vAlign w:val="center"/>
          </w:tcPr>
          <w:p>
            <w:pPr>
              <w:spacing w:after="40"/>
            </w:pPr>
            <w:r>
              <w:rPr>
                <w:rFonts w:ascii="Calibri" w:hAnsi="Calibri"/>
                <w:sz w:val="19"/>
              </w:rPr>
              <w:t>Target gross</w:t>
            </w:r>
          </w:p>
        </w:tc>
        <w:tc>
          <w:tcPr>
            <w:tcW w:type="dxa" w:w="3960"/>
            <w:tcMar>
              <w:top w:w="80" w:type="dxa"/>
              <w:start w:w="120" w:type="dxa"/>
              <w:bottom w:w="80" w:type="dxa"/>
              <w:end w:w="120" w:type="dxa"/>
            </w:tcMar>
            <w:vAlign w:val="center"/>
          </w:tcPr>
          <w:p>
            <w:pPr>
              <w:spacing w:after="40"/>
            </w:pPr>
            <w:r>
              <w:rPr>
                <w:rFonts w:ascii="Calibri" w:hAnsi="Calibri"/>
                <w:sz w:val="19"/>
              </w:rPr>
              <w:t>$95K/month / $1.14M/year</w:t>
            </w:r>
          </w:p>
        </w:tc>
      </w:tr>
      <w:tr>
        <w:tc>
          <w:tcPr>
            <w:tcW w:type="dxa" w:w="5040"/>
            <w:tcMar>
              <w:top w:w="80" w:type="dxa"/>
              <w:start w:w="120" w:type="dxa"/>
              <w:bottom w:w="80" w:type="dxa"/>
              <w:end w:w="120" w:type="dxa"/>
            </w:tcMar>
            <w:vAlign w:val="center"/>
          </w:tcPr>
          <w:p>
            <w:pPr>
              <w:spacing w:after="40"/>
            </w:pPr>
            <w:r>
              <w:rPr>
                <w:rFonts w:ascii="Calibri" w:hAnsi="Calibri"/>
                <w:sz w:val="19"/>
              </w:rPr>
              <w:t>Gross cushion above planning break-even</w:t>
            </w:r>
          </w:p>
        </w:tc>
        <w:tc>
          <w:tcPr>
            <w:tcW w:type="dxa" w:w="3960"/>
            <w:tcMar>
              <w:top w:w="80" w:type="dxa"/>
              <w:start w:w="120" w:type="dxa"/>
              <w:bottom w:w="80" w:type="dxa"/>
              <w:end w:w="120" w:type="dxa"/>
            </w:tcMar>
            <w:vAlign w:val="center"/>
          </w:tcPr>
          <w:p>
            <w:pPr>
              <w:spacing w:after="40"/>
            </w:pPr>
            <w:r>
              <w:rPr>
                <w:rFonts w:ascii="Calibri" w:hAnsi="Calibri"/>
                <w:sz w:val="19"/>
              </w:rPr>
              <w:t>$35K/month / $420K/year</w:t>
            </w:r>
          </w:p>
        </w:tc>
      </w:tr>
      <w:tr>
        <w:tc>
          <w:tcPr>
            <w:tcW w:type="dxa" w:w="5040"/>
            <w:tcMar>
              <w:top w:w="80" w:type="dxa"/>
              <w:start w:w="120" w:type="dxa"/>
              <w:bottom w:w="80" w:type="dxa"/>
              <w:end w:w="120" w:type="dxa"/>
            </w:tcMar>
            <w:vAlign w:val="center"/>
          </w:tcPr>
          <w:p>
            <w:pPr>
              <w:spacing w:after="40"/>
            </w:pPr>
            <w:r>
              <w:rPr>
                <w:rFonts w:ascii="Calibri" w:hAnsi="Calibri"/>
                <w:sz w:val="19"/>
              </w:rPr>
              <w:t>Target retained net</w:t>
            </w:r>
          </w:p>
        </w:tc>
        <w:tc>
          <w:tcPr>
            <w:tcW w:type="dxa" w:w="3960"/>
            <w:tcMar>
              <w:top w:w="80" w:type="dxa"/>
              <w:start w:w="120" w:type="dxa"/>
              <w:bottom w:w="80" w:type="dxa"/>
              <w:end w:w="120" w:type="dxa"/>
            </w:tcMar>
            <w:vAlign w:val="center"/>
          </w:tcPr>
          <w:p>
            <w:pPr>
              <w:spacing w:after="40"/>
            </w:pPr>
            <w:r>
              <w:rPr>
                <w:rFonts w:ascii="Calibri" w:hAnsi="Calibri"/>
                <w:sz w:val="19"/>
              </w:rPr>
              <w:t>$44K/month / $528K/year</w:t>
            </w:r>
          </w:p>
        </w:tc>
      </w:tr>
      <w:tr>
        <w:tc>
          <w:tcPr>
            <w:tcW w:type="dxa" w:w="5040"/>
            <w:tcMar>
              <w:top w:w="80" w:type="dxa"/>
              <w:start w:w="120" w:type="dxa"/>
              <w:bottom w:w="80" w:type="dxa"/>
              <w:end w:w="120" w:type="dxa"/>
            </w:tcMar>
            <w:vAlign w:val="center"/>
          </w:tcPr>
          <w:p>
            <w:pPr>
              <w:spacing w:after="40"/>
            </w:pPr>
            <w:r>
              <w:rPr>
                <w:rFonts w:ascii="Calibri" w:hAnsi="Calibri"/>
                <w:sz w:val="19"/>
              </w:rPr>
              <w:t>Compliance floor</w:t>
            </w:r>
          </w:p>
        </w:tc>
        <w:tc>
          <w:tcPr>
            <w:tcW w:type="dxa" w:w="3960"/>
            <w:tcMar>
              <w:top w:w="80" w:type="dxa"/>
              <w:start w:w="120" w:type="dxa"/>
              <w:bottom w:w="80" w:type="dxa"/>
              <w:end w:w="120" w:type="dxa"/>
            </w:tcMar>
            <w:vAlign w:val="center"/>
          </w:tcPr>
          <w:p>
            <w:pPr>
              <w:spacing w:after="40"/>
            </w:pPr>
            <w:r>
              <w:rPr>
                <w:rFonts w:ascii="Calibri" w:hAnsi="Calibri"/>
                <w:sz w:val="19"/>
              </w:rPr>
              <w:t>Retain &gt;=40% of adjusted gross receipts</w:t>
            </w:r>
          </w:p>
        </w:tc>
      </w:tr>
    </w:tbl>
    <w:p/>
    <w:p>
      <w:pPr>
        <w:spacing w:after="120"/>
      </w:pPr>
      <w:r>
        <w:t>The base case clears break-even, and Arrow's post-opening grant materially improves cash runway after launch. However, because the operation is being positioned as a Kentucky charitable gaming operation, the model must be rebuilt once machine gross receipts, payouts/prizes, Arrow/vendor share, and charitable gaming fee treatment are confirmed. The board should require a 90-day compliance-and-launch dashboard, not only a sales dashboard.</w:t>
      </w:r>
    </w:p>
    <w:p>
      <w:pPr>
        <w:pStyle w:val="Heading2"/>
      </w:pPr>
      <w:r>
        <w:t>Sensitivity Check</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Scenario</w:t>
            </w:r>
          </w:p>
        </w:tc>
        <w:tc>
          <w:tcPr>
            <w:tcW w:type="dxa" w:w="2808"/>
            <w:tcMar>
              <w:top w:w="80" w:type="dxa"/>
              <w:start w:w="120" w:type="dxa"/>
              <w:bottom w:w="80" w:type="dxa"/>
              <w:end w:w="120" w:type="dxa"/>
            </w:tcMar>
            <w:vAlign w:val="center"/>
            <w:shd w:fill="F2F4F7"/>
          </w:tcPr>
          <w:p>
            <w:pPr>
              <w:spacing w:after="40"/>
            </w:pPr>
            <w:r>
              <w:rPr>
                <w:rFonts w:ascii="Calibri" w:hAnsi="Calibri"/>
                <w:b/>
                <w:color w:val="1F4D78"/>
                <w:sz w:val="19"/>
              </w:rPr>
              <w:t>Revenue impact</w:t>
            </w:r>
          </w:p>
        </w:tc>
        <w:tc>
          <w:tcPr>
            <w:tcW w:type="dxa" w:w="3816"/>
            <w:tcMar>
              <w:top w:w="80" w:type="dxa"/>
              <w:start w:w="120" w:type="dxa"/>
              <w:bottom w:w="80" w:type="dxa"/>
              <w:end w:w="120" w:type="dxa"/>
            </w:tcMar>
            <w:vAlign w:val="center"/>
            <w:shd w:fill="F2F4F7"/>
          </w:tcPr>
          <w:p>
            <w:pPr>
              <w:spacing w:after="40"/>
            </w:pPr>
            <w:r>
              <w:rPr>
                <w:rFonts w:ascii="Calibri" w:hAnsi="Calibri"/>
                <w:b/>
                <w:color w:val="1F4D78"/>
                <w:sz w:val="19"/>
              </w:rPr>
              <w:t>Likely result</w:t>
            </w:r>
          </w:p>
        </w:tc>
      </w:tr>
      <w:tr>
        <w:tc>
          <w:tcPr>
            <w:tcW w:type="dxa" w:w="2376"/>
            <w:tcMar>
              <w:top w:w="80" w:type="dxa"/>
              <w:start w:w="120" w:type="dxa"/>
              <w:bottom w:w="80" w:type="dxa"/>
              <w:end w:w="120" w:type="dxa"/>
            </w:tcMar>
            <w:vAlign w:val="center"/>
          </w:tcPr>
          <w:p>
            <w:pPr>
              <w:spacing w:after="40"/>
            </w:pPr>
            <w:r>
              <w:rPr>
                <w:rFonts w:ascii="Calibri" w:hAnsi="Calibri"/>
                <w:sz w:val="19"/>
              </w:rPr>
              <w:t>Base case</w:t>
            </w:r>
          </w:p>
        </w:tc>
        <w:tc>
          <w:tcPr>
            <w:tcW w:type="dxa" w:w="2808"/>
            <w:tcMar>
              <w:top w:w="80" w:type="dxa"/>
              <w:start w:w="120" w:type="dxa"/>
              <w:bottom w:w="80" w:type="dxa"/>
              <w:end w:w="120" w:type="dxa"/>
            </w:tcMar>
            <w:vAlign w:val="center"/>
          </w:tcPr>
          <w:p>
            <w:pPr>
              <w:spacing w:after="40"/>
            </w:pPr>
            <w:r>
              <w:rPr>
                <w:rFonts w:ascii="Calibri" w:hAnsi="Calibri"/>
                <w:sz w:val="19"/>
              </w:rPr>
              <w:t>$95K/month gross; ~$44K/month retained</w:t>
            </w:r>
          </w:p>
        </w:tc>
        <w:tc>
          <w:tcPr>
            <w:tcW w:type="dxa" w:w="3816"/>
            <w:tcMar>
              <w:top w:w="80" w:type="dxa"/>
              <w:start w:w="120" w:type="dxa"/>
              <w:bottom w:w="80" w:type="dxa"/>
              <w:end w:w="120" w:type="dxa"/>
            </w:tcMar>
            <w:vAlign w:val="center"/>
          </w:tcPr>
          <w:p>
            <w:pPr>
              <w:spacing w:after="40"/>
            </w:pPr>
            <w:r>
              <w:rPr>
                <w:rFonts w:ascii="Calibri" w:hAnsi="Calibri"/>
                <w:sz w:val="19"/>
              </w:rPr>
              <w:t>Meets source-note target and exceeds planning break-even.</w:t>
            </w:r>
          </w:p>
        </w:tc>
      </w:tr>
      <w:tr>
        <w:tc>
          <w:tcPr>
            <w:tcW w:type="dxa" w:w="2376"/>
            <w:tcMar>
              <w:top w:w="80" w:type="dxa"/>
              <w:start w:w="120" w:type="dxa"/>
              <w:bottom w:w="80" w:type="dxa"/>
              <w:end w:w="120" w:type="dxa"/>
            </w:tcMar>
            <w:vAlign w:val="center"/>
          </w:tcPr>
          <w:p>
            <w:pPr>
              <w:spacing w:after="40"/>
            </w:pPr>
            <w:r>
              <w:rPr>
                <w:rFonts w:ascii="Calibri" w:hAnsi="Calibri"/>
                <w:sz w:val="19"/>
              </w:rPr>
              <w:t>Gross receipts 20% below target</w:t>
            </w:r>
          </w:p>
        </w:tc>
        <w:tc>
          <w:tcPr>
            <w:tcW w:type="dxa" w:w="2808"/>
            <w:tcMar>
              <w:top w:w="80" w:type="dxa"/>
              <w:start w:w="120" w:type="dxa"/>
              <w:bottom w:w="80" w:type="dxa"/>
              <w:end w:w="120" w:type="dxa"/>
            </w:tcMar>
            <w:vAlign w:val="center"/>
          </w:tcPr>
          <w:p>
            <w:pPr>
              <w:spacing w:after="40"/>
            </w:pPr>
            <w:r>
              <w:rPr>
                <w:rFonts w:ascii="Calibri" w:hAnsi="Calibri"/>
                <w:sz w:val="19"/>
              </w:rPr>
              <w:t>$76K/month gross</w:t>
            </w:r>
          </w:p>
        </w:tc>
        <w:tc>
          <w:tcPr>
            <w:tcW w:type="dxa" w:w="3816"/>
            <w:tcMar>
              <w:top w:w="80" w:type="dxa"/>
              <w:start w:w="120" w:type="dxa"/>
              <w:bottom w:w="80" w:type="dxa"/>
              <w:end w:w="120" w:type="dxa"/>
            </w:tcMar>
            <w:vAlign w:val="center"/>
          </w:tcPr>
          <w:p>
            <w:pPr>
              <w:spacing w:after="40"/>
            </w:pPr>
            <w:r>
              <w:rPr>
                <w:rFonts w:ascii="Calibri" w:hAnsi="Calibri"/>
                <w:sz w:val="19"/>
              </w:rPr>
              <w:t>Still above $60K planning break-even, but retained net and mission proceeds tighten.</w:t>
            </w:r>
          </w:p>
        </w:tc>
      </w:tr>
      <w:tr>
        <w:tc>
          <w:tcPr>
            <w:tcW w:type="dxa" w:w="2376"/>
            <w:tcMar>
              <w:top w:w="80" w:type="dxa"/>
              <w:start w:w="120" w:type="dxa"/>
              <w:bottom w:w="80" w:type="dxa"/>
              <w:end w:w="120" w:type="dxa"/>
            </w:tcMar>
            <w:vAlign w:val="center"/>
          </w:tcPr>
          <w:p>
            <w:pPr>
              <w:spacing w:after="40"/>
            </w:pPr>
            <w:r>
              <w:rPr>
                <w:rFonts w:ascii="Calibri" w:hAnsi="Calibri"/>
                <w:sz w:val="19"/>
              </w:rPr>
              <w:t>Gross receipts 35% below target</w:t>
            </w:r>
          </w:p>
        </w:tc>
        <w:tc>
          <w:tcPr>
            <w:tcW w:type="dxa" w:w="2808"/>
            <w:tcMar>
              <w:top w:w="80" w:type="dxa"/>
              <w:start w:w="120" w:type="dxa"/>
              <w:bottom w:w="80" w:type="dxa"/>
              <w:end w:w="120" w:type="dxa"/>
            </w:tcMar>
            <w:vAlign w:val="center"/>
          </w:tcPr>
          <w:p>
            <w:pPr>
              <w:spacing w:after="40"/>
            </w:pPr>
            <w:r>
              <w:rPr>
                <w:rFonts w:ascii="Calibri" w:hAnsi="Calibri"/>
                <w:sz w:val="19"/>
              </w:rPr>
              <w:t>$61.75K/month gross</w:t>
            </w:r>
          </w:p>
        </w:tc>
        <w:tc>
          <w:tcPr>
            <w:tcW w:type="dxa" w:w="3816"/>
            <w:tcMar>
              <w:top w:w="80" w:type="dxa"/>
              <w:start w:w="120" w:type="dxa"/>
              <w:bottom w:w="80" w:type="dxa"/>
              <w:end w:w="120" w:type="dxa"/>
            </w:tcMar>
            <w:vAlign w:val="center"/>
          </w:tcPr>
          <w:p>
            <w:pPr>
              <w:spacing w:after="40"/>
            </w:pPr>
            <w:r>
              <w:rPr>
                <w:rFonts w:ascii="Calibri" w:hAnsi="Calibri"/>
                <w:sz w:val="19"/>
              </w:rPr>
              <w:t>Barely above planning break-even; immediate expense control required.</w:t>
            </w:r>
          </w:p>
        </w:tc>
      </w:tr>
      <w:tr>
        <w:tc>
          <w:tcPr>
            <w:tcW w:type="dxa" w:w="2376"/>
            <w:tcMar>
              <w:top w:w="80" w:type="dxa"/>
              <w:start w:w="120" w:type="dxa"/>
              <w:bottom w:w="80" w:type="dxa"/>
              <w:end w:w="120" w:type="dxa"/>
            </w:tcMar>
            <w:vAlign w:val="center"/>
          </w:tcPr>
          <w:p>
            <w:pPr>
              <w:spacing w:after="40"/>
            </w:pPr>
            <w:r>
              <w:rPr>
                <w:rFonts w:ascii="Calibri" w:hAnsi="Calibri"/>
                <w:sz w:val="19"/>
              </w:rPr>
              <w:t>Retention falls below 42%</w:t>
            </w:r>
          </w:p>
        </w:tc>
        <w:tc>
          <w:tcPr>
            <w:tcW w:type="dxa" w:w="2808"/>
            <w:tcMar>
              <w:top w:w="80" w:type="dxa"/>
              <w:start w:w="120" w:type="dxa"/>
              <w:bottom w:w="80" w:type="dxa"/>
              <w:end w:w="120" w:type="dxa"/>
            </w:tcMar>
            <w:vAlign w:val="center"/>
          </w:tcPr>
          <w:p>
            <w:pPr>
              <w:spacing w:after="40"/>
            </w:pPr>
            <w:r>
              <w:rPr>
                <w:rFonts w:ascii="Calibri" w:hAnsi="Calibri"/>
                <w:sz w:val="19"/>
              </w:rPr>
              <w:t>Below GitHub risk-control trigger</w:t>
            </w:r>
          </w:p>
        </w:tc>
        <w:tc>
          <w:tcPr>
            <w:tcW w:type="dxa" w:w="3816"/>
            <w:tcMar>
              <w:top w:w="80" w:type="dxa"/>
              <w:start w:w="120" w:type="dxa"/>
              <w:bottom w:w="80" w:type="dxa"/>
              <w:end w:w="120" w:type="dxa"/>
            </w:tcMar>
            <w:vAlign w:val="center"/>
          </w:tcPr>
          <w:p>
            <w:pPr>
              <w:spacing w:after="40"/>
            </w:pPr>
            <w:r>
              <w:rPr>
                <w:rFonts w:ascii="Calibri" w:hAnsi="Calibri"/>
                <w:sz w:val="19"/>
              </w:rPr>
              <w:t>Reduce expenses immediately and review payout/vendor economics.</w:t>
            </w:r>
          </w:p>
        </w:tc>
      </w:tr>
      <w:tr>
        <w:tc>
          <w:tcPr>
            <w:tcW w:type="dxa" w:w="2376"/>
            <w:tcMar>
              <w:top w:w="80" w:type="dxa"/>
              <w:start w:w="120" w:type="dxa"/>
              <w:bottom w:w="80" w:type="dxa"/>
              <w:end w:w="120" w:type="dxa"/>
            </w:tcMar>
            <w:vAlign w:val="center"/>
          </w:tcPr>
          <w:p>
            <w:pPr>
              <w:spacing w:after="40"/>
            </w:pPr>
            <w:r>
              <w:rPr>
                <w:rFonts w:ascii="Calibri" w:hAnsi="Calibri"/>
                <w:sz w:val="19"/>
              </w:rPr>
              <w:t>Retention below 40%</w:t>
            </w:r>
          </w:p>
        </w:tc>
        <w:tc>
          <w:tcPr>
            <w:tcW w:type="dxa" w:w="2808"/>
            <w:tcMar>
              <w:top w:w="80" w:type="dxa"/>
              <w:start w:w="120" w:type="dxa"/>
              <w:bottom w:w="80" w:type="dxa"/>
              <w:end w:w="120" w:type="dxa"/>
            </w:tcMar>
            <w:vAlign w:val="center"/>
          </w:tcPr>
          <w:p>
            <w:pPr>
              <w:spacing w:after="40"/>
            </w:pPr>
            <w:r>
              <w:rPr>
                <w:rFonts w:ascii="Calibri" w:hAnsi="Calibri"/>
                <w:sz w:val="19"/>
              </w:rPr>
              <w:t>Below source-note compliance floor</w:t>
            </w:r>
          </w:p>
        </w:tc>
        <w:tc>
          <w:tcPr>
            <w:tcW w:type="dxa" w:w="3816"/>
            <w:tcMar>
              <w:top w:w="80" w:type="dxa"/>
              <w:start w:w="120" w:type="dxa"/>
              <w:bottom w:w="80" w:type="dxa"/>
              <w:end w:w="120" w:type="dxa"/>
            </w:tcMar>
            <w:vAlign w:val="center"/>
          </w:tcPr>
          <w:p>
            <w:pPr>
              <w:spacing w:after="40"/>
            </w:pPr>
            <w:r>
              <w:rPr>
                <w:rFonts w:ascii="Calibri" w:hAnsi="Calibri"/>
                <w:sz w:val="19"/>
              </w:rPr>
              <w:t>Do not proceed as normal; board/compliance intervention required.</w:t>
            </w:r>
          </w:p>
        </w:tc>
      </w:tr>
    </w:tbl>
    <w:p/>
    <w:p>
      <w:pPr>
        <w:pStyle w:val="Heading1"/>
      </w:pPr>
      <w:r>
        <w:t>9. Appendix</w:t>
      </w:r>
    </w:p>
    <w:p>
      <w:pPr>
        <w:pStyle w:val="Heading2"/>
      </w:pPr>
      <w:r>
        <w:t>Missing Critical Inputs</w:t>
      </w:r>
    </w:p>
    <w:p>
      <w:pPr>
        <w:pStyle w:val="ListBullet"/>
        <w:spacing w:after="80"/>
      </w:pPr>
      <w:r>
        <w:t>[GAP: Existing financials or confirmation that none exist.]</w:t>
      </w:r>
    </w:p>
    <w:p>
      <w:pPr>
        <w:pStyle w:val="ListBullet"/>
        <w:spacing w:after="80"/>
      </w:pPr>
      <w:r>
        <w:t>[GAP: Deadline for final version and any lease/application submission requirements.]</w:t>
      </w:r>
    </w:p>
    <w:p>
      <w:pPr>
        <w:pStyle w:val="ListBullet"/>
        <w:spacing w:after="80"/>
      </w:pPr>
      <w:r>
        <w:t>[GAP: Exact address, square footage, lease term, escalation, security deposit, tenant improvement responsibilities, insurance obligations, and permitted use clause.]</w:t>
      </w:r>
    </w:p>
    <w:p>
      <w:pPr>
        <w:pStyle w:val="ListBullet"/>
        <w:spacing w:after="80"/>
      </w:pPr>
      <w:r>
        <w:t>[GAP: Written Arrow grant terms, machine type, machine economics, payout/prize structure, vendor split, service standards, replacement plan, POS/security/network setup, and what items fall outside Arrow's responsibility.]</w:t>
      </w:r>
    </w:p>
    <w:p>
      <w:pPr>
        <w:pStyle w:val="ListBullet"/>
        <w:spacing w:after="80"/>
      </w:pPr>
      <w:r>
        <w:t>[GAP: Charitable gaming license/exemption status, charitable gaming facility authorization, tax status, bank account controls, board authorization process, insurance quotes, and reporting calendar.]</w:t>
      </w:r>
    </w:p>
    <w:p>
      <w:pPr>
        <w:pStyle w:val="ListBullet"/>
        <w:spacing w:after="80"/>
      </w:pPr>
      <w:r>
        <w:t>[GAP: Chairperson/volunteer names, volunteer policy, facility manager arrangement, paid/nonpaid role separation, and background-check requirements where applicable.]</w:t>
      </w:r>
    </w:p>
    <w:p>
      <w:pPr>
        <w:pStyle w:val="Heading2"/>
      </w:pPr>
      <w:r>
        <w:t>First 30 Approval Conditions</w:t>
      </w:r>
    </w:p>
    <w:p>
      <w:pPr>
        <w:pStyle w:val="ListBullet"/>
        <w:spacing w:after="80"/>
      </w:pPr>
      <w:r>
        <w:t>Confirm full lease economics in writing: rent, term, escalations, deposits, utilities, CAM, insurance requirements, signage, charitable gaming permitted use, buildout responsibilities, and early termination exposure.</w:t>
      </w:r>
    </w:p>
    <w:p>
      <w:pPr>
        <w:pStyle w:val="ListBullet"/>
        <w:spacing w:after="80"/>
      </w:pPr>
      <w:r>
        <w:t>Confirm charitable gaming license/exemption status, facility authorization, machine type, payout/prize structure, and reporting obligations before opening.</w:t>
      </w:r>
    </w:p>
    <w:p>
      <w:pPr>
        <w:pStyle w:val="ListBullet"/>
        <w:spacing w:after="80"/>
      </w:pPr>
      <w:r>
        <w:t>Document Arrow's equipment ownership, servicing, vendor economics, grant timing, replacement obligations, and service response standards.</w:t>
      </w:r>
    </w:p>
    <w:p>
      <w:pPr>
        <w:pStyle w:val="ListBullet"/>
        <w:spacing w:after="80"/>
      </w:pPr>
      <w:r>
        <w:t>Approve a cash control policy for the $10,000 till and define who can access, reconcile, and deposit funds.</w:t>
      </w:r>
    </w:p>
    <w:p>
      <w:pPr>
        <w:pStyle w:val="ListBullet"/>
        <w:spacing w:after="80"/>
      </w:pPr>
      <w:r>
        <w:t>Obtain insurance quotes and confirm charitable gaming use with landlord and insurer.</w:t>
      </w:r>
    </w:p>
    <w:p>
      <w:pPr>
        <w:pStyle w:val="ListBullet"/>
        <w:spacing w:after="80"/>
      </w:pPr>
      <w:r>
        <w:t>Build a 13-week opening cash forecast using actual lease terms, machine economics, staffing structure, and retention targets.</w:t>
      </w:r>
    </w:p>
    <w:p>
      <w:pPr>
        <w:pStyle w:val="Heading2"/>
      </w:pPr>
      <w:r>
        <w:t>Sources Reviewed</w:t>
      </w:r>
    </w:p>
    <w:p>
      <w:pPr>
        <w:pStyle w:val="ListBullet"/>
        <w:spacing w:after="80"/>
      </w:pPr>
      <w:r>
        <w:t>GitHub repo lauren2329/second-brain, Knowledge/wiki/projects/gaming-lounge.md: source note for pull-tabs-only model, Common Good Network 501(c)(4), target gross, retained net, retention floor, staffing, and startup assumptions.</w:t>
      </w:r>
    </w:p>
    <w:p>
      <w:pPr>
        <w:pStyle w:val="ListBullet"/>
        <w:spacing w:after="80"/>
      </w:pPr>
      <w:r>
        <w:t>GitHub repo lauren2329/second-brain, System/MOCs/Revenue Engines MOC.md: source note identifying Gaming Lounge as charitable gaming under Common Good Network 501(c)(4).</w:t>
      </w:r>
    </w:p>
    <w:p>
      <w:pPr>
        <w:pStyle w:val="ListBullet"/>
        <w:spacing w:after="80"/>
      </w:pPr>
      <w:r>
        <w:t>U.S. Census Bureau QuickFacts, Bowling Green city, Kentucky: https://www.census.gov/quickfacts/fact/table/bowlinggreencitykentucky/PST045224</w:t>
      </w:r>
    </w:p>
    <w:p>
      <w:pPr>
        <w:pStyle w:val="ListBullet"/>
        <w:spacing w:after="80"/>
      </w:pPr>
      <w:r>
        <w:t>WKU News, fall enrollment and retention update: https://www.wku.edu/news/articles/index.php?articleid=12797&amp;view=article</w:t>
      </w:r>
    </w:p>
    <w:p>
      <w:pPr>
        <w:pStyle w:val="ListBullet"/>
        <w:spacing w:after="80"/>
      </w:pPr>
      <w:r>
        <w:t>CommercialCafe, Bowling Green commercial real estate rent context: https://www.commercialcafe.com/commercial-real-estate/us/ky/bowling-green/</w:t>
      </w:r>
    </w:p>
    <w:p>
      <w:pPr>
        <w:pStyle w:val="ListBullet"/>
        <w:spacing w:after="80"/>
      </w:pPr>
      <w:r>
        <w:t>Ralphie's Fun Center arcade page: https://ralphiesfuncenter.com/services/arcade/</w:t>
      </w:r>
    </w:p>
    <w:p>
      <w:pPr>
        <w:pStyle w:val="ListBullet"/>
        <w:spacing w:after="80"/>
      </w:pPr>
      <w:r>
        <w:t>Southern Lanes Family Fun Center: https://www.southernlanesinc.com/</w:t>
      </w:r>
    </w:p>
    <w:p>
      <w:pPr>
        <w:pStyle w:val="ListBullet"/>
        <w:spacing w:after="80"/>
      </w:pPr>
      <w:r>
        <w:t>Boys &amp; Girls Club of Bowling Green Teen Center: https://www.bgcbg.org/teen-center/</w:t>
      </w:r>
    </w:p>
    <w:p>
      <w:pPr>
        <w:pStyle w:val="ListBullet"/>
        <w:spacing w:after="80"/>
      </w:pPr>
      <w:r>
        <w:t>Bowling Green Parks and Recreation athletics/community programming: https://www.bgky.org/bgpr/athletics</w:t>
      </w:r>
    </w:p>
    <w:p>
      <w:pPr>
        <w:pStyle w:val="ListBullet"/>
        <w:spacing w:after="80"/>
      </w:pPr>
      <w:r>
        <w:t>The Mint Gaming Hall Bowling Green: https://themintbowlinggreen.com/</w:t>
      </w:r>
    </w:p>
    <w:p>
      <w:pPr>
        <w:pStyle w:val="ListBullet"/>
        <w:spacing w:after="80"/>
      </w:pPr>
      <w:r>
        <w:t>Kentucky Office of Charitable Gaming: https://dcg.ky.gov/</w:t>
      </w:r>
    </w:p>
    <w:p>
      <w:pPr>
        <w:pStyle w:val="ListBullet"/>
        <w:spacing w:after="80"/>
      </w:pPr>
      <w:r>
        <w:t>Kentucky charitable gaming licenses and exemptions regulation, 820 KAR 1:005: https://apps.legislature.ky.gov/law/kar/titles/820/001/005/</w:t>
      </w:r>
    </w:p>
    <w:p>
      <w:pPr>
        <w:spacing w:after="120"/>
      </w:pPr>
      <w:r>
        <w:t>Research note: GitHub source documents were used as the primary internal source for the charitable gaming model. User-provided updates supersede older GitHub figures where they conflict: current rent is $4,000/month including NNN/CAM, current launch machine count is 35, and startup operating schedule is 6 days/week for 8 hours/day. External sources were used for local market context, competitor positioning, rent reasonableness, and Kentucky charitable gaming regulatory context.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