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2402588"/>
            <wp:docPr id="1" name="Picture 1"/>
            <wp:cNvGraphicFramePr>
              <a:graphicFrameLocks noChangeAspect="1"/>
            </wp:cNvGraphicFramePr>
            <a:graphic>
              <a:graphicData uri="http://schemas.openxmlformats.org/drawingml/2006/picture">
                <pic:pic>
                  <pic:nvPicPr>
                    <pic:cNvPr id="0" name="lila-logo-transparent-safezone.png"/>
                    <pic:cNvPicPr/>
                  </pic:nvPicPr>
                  <pic:blipFill>
                    <a:blip r:embed="rId9"/>
                    <a:stretch>
                      <a:fillRect/>
                    </a:stretch>
                  </pic:blipFill>
                  <pic:spPr>
                    <a:xfrm>
                      <a:off x="0" y="0"/>
                      <a:ext cx="6309360" cy="2402588"/>
                    </a:xfrm>
                    <a:prstGeom prst="rect"/>
                  </pic:spPr>
                </pic:pic>
              </a:graphicData>
            </a:graphic>
          </wp:inline>
        </w:drawing>
      </w:r>
    </w:p>
    <w:p>
      <w:pPr>
        <w:pStyle w:val="Title"/>
        <w:jc w:val="center"/>
      </w:pPr>
      <w:r>
        <w:t>Charte graphique</w:t>
      </w:r>
    </w:p>
    <w:p>
      <w:pPr>
        <w:jc w:val="center"/>
      </w:pPr>
      <w:r>
        <w:rPr>
          <w:b/>
          <w:color w:val="F08247"/>
          <w:sz w:val="36"/>
        </w:rPr>
        <w:t>Li-La by La Maison d'AVA</w:t>
      </w:r>
    </w:p>
    <w:p>
      <w:pPr>
        <w:jc w:val="center"/>
      </w:pPr>
      <w:r>
        <w:rPr>
          <w:color w:val="626A73"/>
          <w:sz w:val="20"/>
        </w:rPr>
        <w:t>Version 1.0 - Juin 2026</w:t>
      </w:r>
    </w:p>
    <w:tbl>
      <w:tblPr>
        <w:tblW w:type="auto" w:w="0"/>
        <w:jc w:val="center"/>
        <w:tblLook w:firstColumn="1" w:firstRow="1" w:lastColumn="0" w:lastRow="0" w:noHBand="0" w:noVBand="1" w:val="04A0"/>
      </w:tblPr>
      <w:tblGrid>
        <w:gridCol w:w="10368"/>
      </w:tblGrid>
      <w:tr>
        <w:tc>
          <w:tcPr>
            <w:tcW w:type="dxa" w:w="10368"/>
            <w:shd w:fill="FAF8F4"/>
          </w:tcPr>
          <w:p>
            <w:r/>
            <w:r>
              <w:rPr>
                <w:b/>
                <w:color w:val="0C2241"/>
                <w:sz w:val="22"/>
              </w:rPr>
              <w:t>Positionnement visuel : une marque claire, collaborative et premium, qui relie plusieurs entrées pour faire émerger un résultat lisible.</w:t>
            </w:r>
          </w:p>
        </w:tc>
      </w:tr>
    </w:tbl>
    <w:p>
      <w:r>
        <w:br w:type="page"/>
      </w:r>
    </w:p>
    <w:p>
      <w:pPr>
        <w:pStyle w:val="Heading1"/>
      </w:pPr>
      <w:r>
        <w:t>1. ADN visuel</w:t>
      </w:r>
    </w:p>
    <w:p>
      <w:r>
        <w:t>Li-La repose sur une idée simple : un noyau relationnel qui connecte plusieurs pôles et transforme les échanges en résultat. L'identité doit rester douce, lisible et professionnelle. Le symbole porte la notion de cercle, de circulation et de coopération. Le mot-symbole porte la dimension marque : court, mémorisable, féminin sans être enfantin.</w:t>
      </w:r>
    </w:p>
    <w:tbl>
      <w:tblPr>
        <w:tblStyle w:val="TableGrid"/>
        <w:tblW w:type="auto" w:w="0"/>
        <w:jc w:val="center"/>
        <w:tblLook w:firstColumn="1" w:firstRow="1" w:lastColumn="0" w:lastRow="0" w:noHBand="0" w:noVBand="1" w:val="04A0"/>
      </w:tblPr>
      <w:tblGrid>
        <w:gridCol w:w="5184"/>
        <w:gridCol w:w="5184"/>
      </w:tblGrid>
      <w:tr>
        <w:tc>
          <w:tcPr>
            <w:tcW w:type="dxa" w:w="5184"/>
            <w:shd w:fill="FAF8F4"/>
          </w:tcPr>
          <w:p>
            <w:r/>
            <w:r>
              <w:rPr>
                <w:b/>
                <w:color w:val="0C2241"/>
                <w:sz w:val="20"/>
              </w:rPr>
              <w:t>Territoire</w:t>
            </w:r>
          </w:p>
        </w:tc>
        <w:tc>
          <w:tcPr>
            <w:tcW w:type="dxa" w:w="5184"/>
          </w:tcPr>
          <w:p>
            <w:r/>
            <w:r>
              <w:rPr>
                <w:b w:val="0"/>
                <w:color w:val="626A73"/>
                <w:sz w:val="20"/>
              </w:rPr>
              <w:t>collaboration, méthode, accompagnement, résultat</w:t>
            </w:r>
          </w:p>
        </w:tc>
      </w:tr>
      <w:tr>
        <w:tc>
          <w:tcPr>
            <w:tcW w:type="dxa" w:w="5184"/>
            <w:shd w:fill="FAF8F4"/>
          </w:tcPr>
          <w:p>
            <w:r/>
            <w:r>
              <w:rPr>
                <w:b/>
                <w:color w:val="0C2241"/>
                <w:sz w:val="20"/>
              </w:rPr>
              <w:t>Tonalité</w:t>
            </w:r>
          </w:p>
        </w:tc>
        <w:tc>
          <w:tcPr>
            <w:tcW w:type="dxa" w:w="5184"/>
          </w:tcPr>
          <w:p>
            <w:r/>
            <w:r>
              <w:rPr>
                <w:b w:val="0"/>
                <w:color w:val="626A73"/>
                <w:sz w:val="20"/>
              </w:rPr>
              <w:t>premium accessible, humaine, claire, posée</w:t>
            </w:r>
          </w:p>
        </w:tc>
      </w:tr>
      <w:tr>
        <w:tc>
          <w:tcPr>
            <w:tcW w:type="dxa" w:w="5184"/>
            <w:shd w:fill="FAF8F4"/>
          </w:tcPr>
          <w:p>
            <w:r/>
            <w:r>
              <w:rPr>
                <w:b/>
                <w:color w:val="0C2241"/>
                <w:sz w:val="20"/>
              </w:rPr>
              <w:t>À éviter</w:t>
            </w:r>
          </w:p>
        </w:tc>
        <w:tc>
          <w:tcPr>
            <w:tcW w:type="dxa" w:w="5184"/>
          </w:tcPr>
          <w:p>
            <w:r/>
            <w:r>
              <w:rPr>
                <w:b w:val="0"/>
                <w:color w:val="626A73"/>
                <w:sz w:val="20"/>
              </w:rPr>
              <w:t>effet gadget, surcharge, pictos enfantins, couleurs trop vives</w:t>
            </w:r>
          </w:p>
        </w:tc>
      </w:tr>
      <w:tr>
        <w:tc>
          <w:tcPr>
            <w:tcW w:type="dxa" w:w="5184"/>
            <w:shd w:fill="FAF8F4"/>
          </w:tcPr>
          <w:p>
            <w:r/>
            <w:r>
              <w:rPr>
                <w:b/>
                <w:color w:val="0C2241"/>
                <w:sz w:val="20"/>
              </w:rPr>
              <w:t>Promesse graphique</w:t>
            </w:r>
          </w:p>
        </w:tc>
        <w:tc>
          <w:tcPr>
            <w:tcW w:type="dxa" w:w="5184"/>
          </w:tcPr>
          <w:p>
            <w:r/>
            <w:r>
              <w:rPr>
                <w:b w:val="0"/>
                <w:color w:val="626A73"/>
                <w:sz w:val="20"/>
              </w:rPr>
              <w:t>relier les bonnes informations pour produire une sortie propre</w:t>
            </w:r>
          </w:p>
        </w:tc>
      </w:tr>
    </w:tbl>
    <w:p>
      <w:pPr>
        <w:pStyle w:val="Heading1"/>
      </w:pPr>
      <w:r>
        <w:t>2. Logo principal</w:t>
      </w:r>
    </w:p>
    <w:p>
      <w:pPr>
        <w:jc w:val="center"/>
      </w:pPr>
      <w:r>
        <w:drawing>
          <wp:inline xmlns:a="http://schemas.openxmlformats.org/drawingml/2006/main" xmlns:pic="http://schemas.openxmlformats.org/drawingml/2006/picture">
            <wp:extent cx="6035040" cy="2298128"/>
            <wp:docPr id="2" name="Picture 2"/>
            <wp:cNvGraphicFramePr>
              <a:graphicFrameLocks noChangeAspect="1"/>
            </wp:cNvGraphicFramePr>
            <a:graphic>
              <a:graphicData uri="http://schemas.openxmlformats.org/drawingml/2006/picture">
                <pic:pic>
                  <pic:nvPicPr>
                    <pic:cNvPr id="0" name="lila-logo-transparent-safezone.png"/>
                    <pic:cNvPicPr/>
                  </pic:nvPicPr>
                  <pic:blipFill>
                    <a:blip r:embed="rId9"/>
                    <a:stretch>
                      <a:fillRect/>
                    </a:stretch>
                  </pic:blipFill>
                  <pic:spPr>
                    <a:xfrm>
                      <a:off x="0" y="0"/>
                      <a:ext cx="6035040" cy="2298128"/>
                    </a:xfrm>
                    <a:prstGeom prst="rect"/>
                  </pic:spPr>
                </pic:pic>
              </a:graphicData>
            </a:graphic>
          </wp:inline>
        </w:drawing>
      </w:r>
    </w:p>
    <w:p>
      <w:r>
        <w:t>Usage recommandé : site web, documents commerciaux, signatures, présentations, couvertures de dossiers, pages d'accueil. Le fichier PNG transparent fourni est propre pour un usage digital courant. Pour une impression grand format ou une enseigne, prévoir une vectorisation professionnelle du logo source.</w:t>
      </w:r>
    </w:p>
    <w:tbl>
      <w:tblPr>
        <w:tblStyle w:val="TableGrid"/>
        <w:tblW w:type="auto" w:w="0"/>
        <w:jc w:val="center"/>
        <w:tblLook w:firstColumn="1" w:firstRow="1" w:lastColumn="0" w:lastRow="0" w:noHBand="0" w:noVBand="1" w:val="04A0"/>
      </w:tblPr>
      <w:tblGrid>
        <w:gridCol w:w="5184"/>
        <w:gridCol w:w="5184"/>
      </w:tblGrid>
      <w:tr>
        <w:tc>
          <w:tcPr>
            <w:tcW w:type="dxa" w:w="5184"/>
            <w:shd w:fill="FAF8F4"/>
          </w:tcPr>
          <w:p>
            <w:r/>
            <w:r>
              <w:rPr>
                <w:b/>
                <w:color w:val="0C2241"/>
                <w:sz w:val="20"/>
              </w:rPr>
              <w:t>Version complète</w:t>
            </w:r>
          </w:p>
        </w:tc>
        <w:tc>
          <w:tcPr>
            <w:tcW w:type="dxa" w:w="5184"/>
          </w:tcPr>
          <w:p>
            <w:r/>
            <w:r>
              <w:rPr>
                <w:b w:val="0"/>
                <w:color w:val="626A73"/>
                <w:sz w:val="20"/>
              </w:rPr>
              <w:t>Logo + mention « by La Maison d'AVA ».</w:t>
            </w:r>
          </w:p>
        </w:tc>
      </w:tr>
      <w:tr>
        <w:tc>
          <w:tcPr>
            <w:tcW w:type="dxa" w:w="5184"/>
            <w:shd w:fill="FAF8F4"/>
          </w:tcPr>
          <w:p>
            <w:r/>
            <w:r>
              <w:rPr>
                <w:b/>
                <w:color w:val="0C2241"/>
                <w:sz w:val="20"/>
              </w:rPr>
              <w:t>Symbole seul</w:t>
            </w:r>
          </w:p>
        </w:tc>
        <w:tc>
          <w:tcPr>
            <w:tcW w:type="dxa" w:w="5184"/>
          </w:tcPr>
          <w:p>
            <w:r/>
            <w:r>
              <w:rPr>
                <w:b w:val="0"/>
                <w:color w:val="626A73"/>
                <w:sz w:val="20"/>
              </w:rPr>
              <w:t>Icône d'application, favicon, avatar, pastille réseau social.</w:t>
            </w:r>
          </w:p>
        </w:tc>
      </w:tr>
      <w:tr>
        <w:tc>
          <w:tcPr>
            <w:tcW w:type="dxa" w:w="5184"/>
            <w:shd w:fill="FAF8F4"/>
          </w:tcPr>
          <w:p>
            <w:r/>
            <w:r>
              <w:rPr>
                <w:b/>
                <w:color w:val="0C2241"/>
                <w:sz w:val="20"/>
              </w:rPr>
              <w:t>Zone de protection</w:t>
            </w:r>
          </w:p>
        </w:tc>
        <w:tc>
          <w:tcPr>
            <w:tcW w:type="dxa" w:w="5184"/>
          </w:tcPr>
          <w:p>
            <w:r/>
            <w:r>
              <w:rPr>
                <w:b w:val="0"/>
                <w:color w:val="626A73"/>
                <w:sz w:val="20"/>
              </w:rPr>
              <w:t>Laisser au minimum la largeur du point orange autour du logo.</w:t>
            </w:r>
          </w:p>
        </w:tc>
      </w:tr>
    </w:tbl>
    <w:p>
      <w:pPr>
        <w:jc w:val="center"/>
      </w:pPr>
      <w:r>
        <w:drawing>
          <wp:inline xmlns:a="http://schemas.openxmlformats.org/drawingml/2006/main" xmlns:pic="http://schemas.openxmlformats.org/drawingml/2006/picture">
            <wp:extent cx="1554480" cy="1554480"/>
            <wp:docPr id="3" name="Picture 3"/>
            <wp:cNvGraphicFramePr>
              <a:graphicFrameLocks noChangeAspect="1"/>
            </wp:cNvGraphicFramePr>
            <a:graphic>
              <a:graphicData uri="http://schemas.openxmlformats.org/drawingml/2006/picture">
                <pic:pic>
                  <pic:nvPicPr>
                    <pic:cNvPr id="0" name="lila-symbol-transparent.png"/>
                    <pic:cNvPicPr/>
                  </pic:nvPicPr>
                  <pic:blipFill>
                    <a:blip r:embed="rId10"/>
                    <a:stretch>
                      <a:fillRect/>
                    </a:stretch>
                  </pic:blipFill>
                  <pic:spPr>
                    <a:xfrm>
                      <a:off x="0" y="0"/>
                      <a:ext cx="1554480" cy="1554480"/>
                    </a:xfrm>
                    <a:prstGeom prst="rect"/>
                  </pic:spPr>
                </pic:pic>
              </a:graphicData>
            </a:graphic>
          </wp:inline>
        </w:drawing>
      </w:r>
    </w:p>
    <w:p>
      <w:pPr>
        <w:jc w:val="center"/>
      </w:pPr>
      <w:r>
        <w:rPr>
          <w:color w:val="626A73"/>
        </w:rPr>
        <w:t>Symbole isolé recommandé pour les favicons et icônes.</w:t>
      </w:r>
    </w:p>
    <w:p>
      <w:r>
        <w:br w:type="page"/>
      </w:r>
    </w:p>
    <w:p>
      <w:pPr>
        <w:pStyle w:val="Heading1"/>
      </w:pPr>
      <w:r>
        <w:t>3. Palette couleurs</w:t>
      </w:r>
    </w:p>
    <w:p>
      <w:r>
        <w:t>La palette est volontairement courte : un bleu nuit très structurant, un orange chaud pour l'énergie et deux accents doux pour l'humain et l'équilibre.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C2241"/>
          </w:tcPr>
          <w:p>
            <w:r/>
            <w:r>
              <w:rPr>
                <w:b/>
                <w:color w:val="FFFFFF"/>
                <w:sz w:val="20"/>
              </w:rPr>
              <w:t>Couleur</w:t>
            </w:r>
          </w:p>
        </w:tc>
        <w:tc>
          <w:tcPr>
            <w:tcW w:type="dxa" w:w="2074"/>
            <w:shd w:fill="0C2241"/>
          </w:tcPr>
          <w:p>
            <w:r/>
            <w:r>
              <w:rPr>
                <w:b/>
                <w:color w:val="FFFFFF"/>
                <w:sz w:val="20"/>
              </w:rPr>
              <w:t>Aperçu</w:t>
            </w:r>
          </w:p>
        </w:tc>
        <w:tc>
          <w:tcPr>
            <w:tcW w:type="dxa" w:w="2074"/>
            <w:shd w:fill="0C2241"/>
          </w:tcPr>
          <w:p>
            <w:r/>
            <w:r>
              <w:rPr>
                <w:b/>
                <w:color w:val="FFFFFF"/>
                <w:sz w:val="20"/>
              </w:rPr>
              <w:t>HEX</w:t>
            </w:r>
          </w:p>
        </w:tc>
        <w:tc>
          <w:tcPr>
            <w:tcW w:type="dxa" w:w="2074"/>
            <w:shd w:fill="0C2241"/>
          </w:tcPr>
          <w:p>
            <w:r/>
            <w:r>
              <w:rPr>
                <w:b/>
                <w:color w:val="FFFFFF"/>
                <w:sz w:val="20"/>
              </w:rPr>
              <w:t>RVB</w:t>
            </w:r>
          </w:p>
        </w:tc>
        <w:tc>
          <w:tcPr>
            <w:tcW w:type="dxa" w:w="2074"/>
            <w:shd w:fill="0C2241"/>
          </w:tcPr>
          <w:p>
            <w:r/>
            <w:r>
              <w:rPr>
                <w:b/>
                <w:color w:val="FFFFFF"/>
                <w:sz w:val="20"/>
              </w:rPr>
              <w:t>Usage</w:t>
            </w:r>
          </w:p>
        </w:tc>
      </w:tr>
      <w:tr>
        <w:tc>
          <w:tcPr>
            <w:tcW w:type="dxa" w:w="2074"/>
          </w:tcPr>
          <w:p>
            <w:r/>
            <w:r>
              <w:rPr>
                <w:b/>
                <w:color w:val="0C2241"/>
                <w:sz w:val="20"/>
              </w:rPr>
              <w:t>Bleu nuit Li-La</w:t>
            </w:r>
          </w:p>
        </w:tc>
        <w:tc>
          <w:tcPr>
            <w:tcW w:type="dxa" w:w="2074"/>
            <w:shd w:fill="0C2241"/>
          </w:tcPr>
          <w:p/>
        </w:tc>
        <w:tc>
          <w:tcPr>
            <w:tcW w:type="dxa" w:w="2074"/>
          </w:tcPr>
          <w:p>
            <w:r/>
            <w:r>
              <w:rPr>
                <w:b w:val="0"/>
                <w:color w:val="626A73"/>
                <w:sz w:val="20"/>
              </w:rPr>
              <w:t>#0C2241</w:t>
            </w:r>
          </w:p>
        </w:tc>
        <w:tc>
          <w:tcPr>
            <w:tcW w:type="dxa" w:w="2074"/>
          </w:tcPr>
          <w:p>
            <w:r/>
            <w:r>
              <w:rPr>
                <w:b w:val="0"/>
                <w:color w:val="626A73"/>
                <w:sz w:val="20"/>
              </w:rPr>
              <w:t>RVB 12 34 65</w:t>
            </w:r>
          </w:p>
        </w:tc>
        <w:tc>
          <w:tcPr>
            <w:tcW w:type="dxa" w:w="2074"/>
          </w:tcPr>
          <w:p>
            <w:r/>
            <w:r>
              <w:rPr>
                <w:b w:val="0"/>
                <w:color w:val="626A73"/>
                <w:sz w:val="20"/>
              </w:rPr>
              <w:t>Logo, titres, textes premium</w:t>
            </w:r>
          </w:p>
        </w:tc>
      </w:tr>
      <w:tr>
        <w:tc>
          <w:tcPr>
            <w:tcW w:type="dxa" w:w="2074"/>
          </w:tcPr>
          <w:p>
            <w:r/>
            <w:r>
              <w:rPr>
                <w:b/>
                <w:color w:val="0C2241"/>
                <w:sz w:val="20"/>
              </w:rPr>
              <w:t>Orange AVA</w:t>
            </w:r>
          </w:p>
        </w:tc>
        <w:tc>
          <w:tcPr>
            <w:tcW w:type="dxa" w:w="2074"/>
            <w:shd w:fill="F08247"/>
          </w:tcPr>
          <w:p/>
        </w:tc>
        <w:tc>
          <w:tcPr>
            <w:tcW w:type="dxa" w:w="2074"/>
          </w:tcPr>
          <w:p>
            <w:r/>
            <w:r>
              <w:rPr>
                <w:b w:val="0"/>
                <w:color w:val="626A73"/>
                <w:sz w:val="20"/>
              </w:rPr>
              <w:t>#F08247</w:t>
            </w:r>
          </w:p>
        </w:tc>
        <w:tc>
          <w:tcPr>
            <w:tcW w:type="dxa" w:w="2074"/>
          </w:tcPr>
          <w:p>
            <w:r/>
            <w:r>
              <w:rPr>
                <w:b w:val="0"/>
                <w:color w:val="626A73"/>
                <w:sz w:val="20"/>
              </w:rPr>
              <w:t>RVB 240 130 71</w:t>
            </w:r>
          </w:p>
        </w:tc>
        <w:tc>
          <w:tcPr>
            <w:tcW w:type="dxa" w:w="2074"/>
          </w:tcPr>
          <w:p>
            <w:r/>
            <w:r>
              <w:rPr>
                <w:b w:val="0"/>
                <w:color w:val="626A73"/>
                <w:sz w:val="20"/>
              </w:rPr>
              <w:t>Accent chaud, CTA, élément relationnel</w:t>
            </w:r>
          </w:p>
        </w:tc>
      </w:tr>
      <w:tr>
        <w:tc>
          <w:tcPr>
            <w:tcW w:type="dxa" w:w="2074"/>
          </w:tcPr>
          <w:p>
            <w:r/>
            <w:r>
              <w:rPr>
                <w:b/>
                <w:color w:val="0C2241"/>
                <w:sz w:val="20"/>
              </w:rPr>
              <w:t>Lavande doux</w:t>
            </w:r>
          </w:p>
        </w:tc>
        <w:tc>
          <w:tcPr>
            <w:tcW w:type="dxa" w:w="2074"/>
            <w:shd w:fill="A996B8"/>
          </w:tcPr>
          <w:p/>
        </w:tc>
        <w:tc>
          <w:tcPr>
            <w:tcW w:type="dxa" w:w="2074"/>
          </w:tcPr>
          <w:p>
            <w:r/>
            <w:r>
              <w:rPr>
                <w:b w:val="0"/>
                <w:color w:val="626A73"/>
                <w:sz w:val="20"/>
              </w:rPr>
              <w:t>#A996B8</w:t>
            </w:r>
          </w:p>
        </w:tc>
        <w:tc>
          <w:tcPr>
            <w:tcW w:type="dxa" w:w="2074"/>
          </w:tcPr>
          <w:p>
            <w:r/>
            <w:r>
              <w:rPr>
                <w:b w:val="0"/>
                <w:color w:val="626A73"/>
                <w:sz w:val="20"/>
              </w:rPr>
              <w:t>RVB 169 150 184</w:t>
            </w:r>
          </w:p>
        </w:tc>
        <w:tc>
          <w:tcPr>
            <w:tcW w:type="dxa" w:w="2074"/>
          </w:tcPr>
          <w:p>
            <w:r/>
            <w:r>
              <w:rPr>
                <w:b w:val="0"/>
                <w:color w:val="626A73"/>
                <w:sz w:val="20"/>
              </w:rPr>
              <w:t>Accent humain, point haut du symbole</w:t>
            </w:r>
          </w:p>
        </w:tc>
      </w:tr>
      <w:tr>
        <w:tc>
          <w:tcPr>
            <w:tcW w:type="dxa" w:w="2074"/>
          </w:tcPr>
          <w:p>
            <w:r/>
            <w:r>
              <w:rPr>
                <w:b/>
                <w:color w:val="0C2241"/>
                <w:sz w:val="20"/>
              </w:rPr>
              <w:t>Vert sauge</w:t>
            </w:r>
          </w:p>
        </w:tc>
        <w:tc>
          <w:tcPr>
            <w:tcW w:type="dxa" w:w="2074"/>
            <w:shd w:fill="9AAD8F"/>
          </w:tcPr>
          <w:p/>
        </w:tc>
        <w:tc>
          <w:tcPr>
            <w:tcW w:type="dxa" w:w="2074"/>
          </w:tcPr>
          <w:p>
            <w:r/>
            <w:r>
              <w:rPr>
                <w:b w:val="0"/>
                <w:color w:val="626A73"/>
                <w:sz w:val="20"/>
              </w:rPr>
              <w:t>#9AAD8F</w:t>
            </w:r>
          </w:p>
        </w:tc>
        <w:tc>
          <w:tcPr>
            <w:tcW w:type="dxa" w:w="2074"/>
          </w:tcPr>
          <w:p>
            <w:r/>
            <w:r>
              <w:rPr>
                <w:b w:val="0"/>
                <w:color w:val="626A73"/>
                <w:sz w:val="20"/>
              </w:rPr>
              <w:t>RVB 154 173 143</w:t>
            </w:r>
          </w:p>
        </w:tc>
        <w:tc>
          <w:tcPr>
            <w:tcW w:type="dxa" w:w="2074"/>
          </w:tcPr>
          <w:p>
            <w:r/>
            <w:r>
              <w:rPr>
                <w:b w:val="0"/>
                <w:color w:val="626A73"/>
                <w:sz w:val="20"/>
              </w:rPr>
              <w:t>Accent calme, validation, résultat</w:t>
            </w:r>
          </w:p>
        </w:tc>
      </w:tr>
      <w:tr>
        <w:tc>
          <w:tcPr>
            <w:tcW w:type="dxa" w:w="2074"/>
          </w:tcPr>
          <w:p>
            <w:r/>
            <w:r>
              <w:rPr>
                <w:b/>
                <w:color w:val="0C2241"/>
                <w:sz w:val="20"/>
              </w:rPr>
              <w:t>Blanc cassé</w:t>
            </w:r>
          </w:p>
        </w:tc>
        <w:tc>
          <w:tcPr>
            <w:tcW w:type="dxa" w:w="2074"/>
            <w:shd w:fill="FAF8F4"/>
          </w:tcPr>
          <w:p/>
        </w:tc>
        <w:tc>
          <w:tcPr>
            <w:tcW w:type="dxa" w:w="2074"/>
          </w:tcPr>
          <w:p>
            <w:r/>
            <w:r>
              <w:rPr>
                <w:b w:val="0"/>
                <w:color w:val="626A73"/>
                <w:sz w:val="20"/>
              </w:rPr>
              <w:t>#FAF8F4</w:t>
            </w:r>
          </w:p>
        </w:tc>
        <w:tc>
          <w:tcPr>
            <w:tcW w:type="dxa" w:w="2074"/>
          </w:tcPr>
          <w:p>
            <w:r/>
            <w:r>
              <w:rPr>
                <w:b w:val="0"/>
                <w:color w:val="626A73"/>
                <w:sz w:val="20"/>
              </w:rPr>
              <w:t>RVB 250 248 244</w:t>
            </w:r>
          </w:p>
        </w:tc>
        <w:tc>
          <w:tcPr>
            <w:tcW w:type="dxa" w:w="2074"/>
          </w:tcPr>
          <w:p>
            <w:r/>
            <w:r>
              <w:rPr>
                <w:b w:val="0"/>
                <w:color w:val="626A73"/>
                <w:sz w:val="20"/>
              </w:rPr>
              <w:t>Fonds doux, respirations</w:t>
            </w:r>
          </w:p>
        </w:tc>
      </w:tr>
      <w:tr>
        <w:tc>
          <w:tcPr>
            <w:tcW w:type="dxa" w:w="2074"/>
          </w:tcPr>
          <w:p>
            <w:r/>
            <w:r>
              <w:rPr>
                <w:b/>
                <w:color w:val="0C2241"/>
                <w:sz w:val="20"/>
              </w:rPr>
              <w:t>Gris texte</w:t>
            </w:r>
          </w:p>
        </w:tc>
        <w:tc>
          <w:tcPr>
            <w:tcW w:type="dxa" w:w="2074"/>
            <w:shd w:fill="626A73"/>
          </w:tcPr>
          <w:p/>
        </w:tc>
        <w:tc>
          <w:tcPr>
            <w:tcW w:type="dxa" w:w="2074"/>
          </w:tcPr>
          <w:p>
            <w:r/>
            <w:r>
              <w:rPr>
                <w:b w:val="0"/>
                <w:color w:val="626A73"/>
                <w:sz w:val="20"/>
              </w:rPr>
              <w:t>#626A73</w:t>
            </w:r>
          </w:p>
        </w:tc>
        <w:tc>
          <w:tcPr>
            <w:tcW w:type="dxa" w:w="2074"/>
          </w:tcPr>
          <w:p>
            <w:r/>
            <w:r>
              <w:rPr>
                <w:b w:val="0"/>
                <w:color w:val="626A73"/>
                <w:sz w:val="20"/>
              </w:rPr>
              <w:t>RVB 98 106 115</w:t>
            </w:r>
          </w:p>
        </w:tc>
        <w:tc>
          <w:tcPr>
            <w:tcW w:type="dxa" w:w="2074"/>
          </w:tcPr>
          <w:p>
            <w:r/>
            <w:r>
              <w:rPr>
                <w:b w:val="0"/>
                <w:color w:val="626A73"/>
                <w:sz w:val="20"/>
              </w:rPr>
              <w:t>Textes secondaires</w:t>
            </w:r>
          </w:p>
        </w:tc>
      </w:tr>
    </w:tbl>
    <w:p>
      <w:pPr>
        <w:pStyle w:val="Heading1"/>
      </w:pPr>
      <w:r>
        <w:t>4. Typographies</w:t>
      </w:r>
    </w:p>
    <w:p>
      <w:r>
        <w:t>Le logo utilise une écriture arrondie et très lisible. Pour les supports, il faut éviter les polices décoratives et rester sur une famille moderne, claire et disponible.</w:t>
      </w:r>
    </w:p>
    <w:tbl>
      <w:tblPr>
        <w:tblStyle w:val="TableGrid"/>
        <w:tblW w:type="auto" w:w="0"/>
        <w:tblLook w:firstColumn="1" w:firstRow="1" w:lastColumn="0" w:lastRow="0" w:noHBand="0" w:noVBand="1" w:val="04A0"/>
      </w:tblPr>
      <w:tblGrid>
        <w:gridCol w:w="3456"/>
        <w:gridCol w:w="3456"/>
        <w:gridCol w:w="3456"/>
      </w:tblGrid>
      <w:tr>
        <w:tc>
          <w:tcPr>
            <w:tcW w:type="dxa" w:w="3456"/>
            <w:shd w:fill="0C2241"/>
          </w:tcPr>
          <w:p>
            <w:r/>
            <w:r>
              <w:rPr>
                <w:b/>
                <w:color w:val="FFFFFF"/>
                <w:sz w:val="20"/>
              </w:rPr>
              <w:t>Niveau</w:t>
            </w:r>
          </w:p>
        </w:tc>
        <w:tc>
          <w:tcPr>
            <w:tcW w:type="dxa" w:w="3456"/>
            <w:shd w:fill="0C2241"/>
          </w:tcPr>
          <w:p>
            <w:r/>
            <w:r>
              <w:rPr>
                <w:b/>
                <w:color w:val="FFFFFF"/>
                <w:sz w:val="20"/>
              </w:rPr>
              <w:t>Recommandation</w:t>
            </w:r>
          </w:p>
        </w:tc>
        <w:tc>
          <w:tcPr>
            <w:tcW w:type="dxa" w:w="3456"/>
            <w:shd w:fill="0C2241"/>
          </w:tcPr>
          <w:p>
            <w:r/>
            <w:r>
              <w:rPr>
                <w:b/>
                <w:color w:val="FFFFFF"/>
                <w:sz w:val="20"/>
              </w:rPr>
              <w:t>Usage</w:t>
            </w:r>
          </w:p>
        </w:tc>
      </w:tr>
      <w:tr>
        <w:tc>
          <w:tcPr>
            <w:tcW w:type="dxa" w:w="3456"/>
          </w:tcPr>
          <w:p>
            <w:r/>
            <w:r>
              <w:rPr>
                <w:b/>
                <w:color w:val="0C2241"/>
                <w:sz w:val="20"/>
              </w:rPr>
              <w:t>Titres</w:t>
            </w:r>
          </w:p>
        </w:tc>
        <w:tc>
          <w:tcPr>
            <w:tcW w:type="dxa" w:w="3456"/>
          </w:tcPr>
          <w:p>
            <w:r/>
            <w:r>
              <w:rPr>
                <w:b w:val="0"/>
                <w:color w:val="626A73"/>
                <w:sz w:val="20"/>
              </w:rPr>
              <w:t>Montserrat SemiBold ou Poppins SemiBold</w:t>
            </w:r>
          </w:p>
        </w:tc>
        <w:tc>
          <w:tcPr>
            <w:tcW w:type="dxa" w:w="3456"/>
          </w:tcPr>
          <w:p>
            <w:r/>
            <w:r>
              <w:rPr>
                <w:b w:val="0"/>
                <w:color w:val="626A73"/>
                <w:sz w:val="20"/>
              </w:rPr>
              <w:t>Pages, slides, accroches</w:t>
            </w:r>
          </w:p>
        </w:tc>
      </w:tr>
      <w:tr>
        <w:tc>
          <w:tcPr>
            <w:tcW w:type="dxa" w:w="3456"/>
          </w:tcPr>
          <w:p>
            <w:r/>
            <w:r>
              <w:rPr>
                <w:b/>
                <w:color w:val="0C2241"/>
                <w:sz w:val="20"/>
              </w:rPr>
              <w:t>Texte courant</w:t>
            </w:r>
          </w:p>
        </w:tc>
        <w:tc>
          <w:tcPr>
            <w:tcW w:type="dxa" w:w="3456"/>
          </w:tcPr>
          <w:p>
            <w:r/>
            <w:r>
              <w:rPr>
                <w:b w:val="0"/>
                <w:color w:val="626A73"/>
                <w:sz w:val="20"/>
              </w:rPr>
              <w:t>Inter, Arial ou Aptos</w:t>
            </w:r>
          </w:p>
        </w:tc>
        <w:tc>
          <w:tcPr>
            <w:tcW w:type="dxa" w:w="3456"/>
          </w:tcPr>
          <w:p>
            <w:r/>
            <w:r>
              <w:rPr>
                <w:b w:val="0"/>
                <w:color w:val="626A73"/>
                <w:sz w:val="20"/>
              </w:rPr>
              <w:t>Documents, site, fiches</w:t>
            </w:r>
          </w:p>
        </w:tc>
      </w:tr>
      <w:tr>
        <w:tc>
          <w:tcPr>
            <w:tcW w:type="dxa" w:w="3456"/>
          </w:tcPr>
          <w:p>
            <w:r/>
            <w:r>
              <w:rPr>
                <w:b/>
                <w:color w:val="0C2241"/>
                <w:sz w:val="20"/>
              </w:rPr>
              <w:t>Accent</w:t>
            </w:r>
          </w:p>
        </w:tc>
        <w:tc>
          <w:tcPr>
            <w:tcW w:type="dxa" w:w="3456"/>
          </w:tcPr>
          <w:p>
            <w:r/>
            <w:r>
              <w:rPr>
                <w:b w:val="0"/>
                <w:color w:val="626A73"/>
                <w:sz w:val="20"/>
              </w:rPr>
              <w:t>Poppins Medium / Montserrat Medium</w:t>
            </w:r>
          </w:p>
        </w:tc>
        <w:tc>
          <w:tcPr>
            <w:tcW w:type="dxa" w:w="3456"/>
          </w:tcPr>
          <w:p>
            <w:r/>
            <w:r>
              <w:rPr>
                <w:b w:val="0"/>
                <w:color w:val="626A73"/>
                <w:sz w:val="20"/>
              </w:rPr>
              <w:t>Boutons, micro-titres, légendes</w:t>
            </w:r>
          </w:p>
        </w:tc>
      </w:tr>
    </w:tbl>
    <w:p>
      <w:pPr>
        <w:pStyle w:val="Heading1"/>
      </w:pPr>
      <w:r>
        <w:t>5. Règles d'usage</w:t>
      </w:r>
    </w:p>
    <w:p>
      <w:pPr/>
      <w:r>
        <w:rPr>
          <w:b/>
          <w:color w:val="F08247"/>
        </w:rPr>
        <w:t xml:space="preserve">✓ </w:t>
      </w:r>
      <w:r>
        <w:t>Toujours conserver une marge respirante autour du logo.</w:t>
      </w:r>
    </w:p>
    <w:p>
      <w:pPr/>
      <w:r>
        <w:rPr>
          <w:b/>
          <w:color w:val="F08247"/>
        </w:rPr>
        <w:t xml:space="preserve">✓ </w:t>
      </w:r>
      <w:r>
        <w:t>Ne pas déformer le logo, ne pas l'étirer, ne pas changer ses couleurs séparément.</w:t>
      </w:r>
    </w:p>
    <w:p>
      <w:pPr/>
      <w:r>
        <w:rPr>
          <w:b/>
          <w:color w:val="F08247"/>
        </w:rPr>
        <w:t xml:space="preserve">✓ </w:t>
      </w:r>
      <w:r>
        <w:t>Sur fond clair : utiliser le logo complet.</w:t>
      </w:r>
    </w:p>
    <w:p>
      <w:pPr/>
      <w:r>
        <w:rPr>
          <w:b/>
          <w:color w:val="F08247"/>
        </w:rPr>
        <w:t xml:space="preserve">✓ </w:t>
      </w:r>
      <w:r>
        <w:t>Sur fond foncé : utiliser plutôt le symbole seul ou demander une version blanche du mot-symbole.</w:t>
      </w:r>
    </w:p>
    <w:p>
      <w:pPr/>
      <w:r>
        <w:rPr>
          <w:b/>
          <w:color w:val="F08247"/>
        </w:rPr>
        <w:t xml:space="preserve">✓ </w:t>
      </w:r>
      <w:r>
        <w:t>Pour une icône petite taille : utiliser uniquement le symbole, jamais le logo complet.</w:t>
      </w:r>
    </w:p>
    <w:p>
      <w:pPr/>
      <w:r>
        <w:rPr>
          <w:b/>
          <w:color w:val="F08247"/>
        </w:rPr>
        <w:t xml:space="preserve">✓ </w:t>
      </w:r>
      <w:r>
        <w:t>Éviter les fonds photo chargés derrière le logo.</w:t>
      </w:r>
    </w:p>
    <w:p>
      <w:pPr>
        <w:jc w:val="center"/>
      </w:pPr>
      <w:r>
        <w:drawing>
          <wp:inline xmlns:a="http://schemas.openxmlformats.org/drawingml/2006/main" xmlns:pic="http://schemas.openxmlformats.org/drawingml/2006/picture">
            <wp:extent cx="5394960" cy="2247900"/>
            <wp:docPr id="4" name="Picture 4"/>
            <wp:cNvGraphicFramePr>
              <a:graphicFrameLocks noChangeAspect="1"/>
            </wp:cNvGraphicFramePr>
            <a:graphic>
              <a:graphicData uri="http://schemas.openxmlformats.org/drawingml/2006/picture">
                <pic:pic>
                  <pic:nvPicPr>
                    <pic:cNvPr id="0" name="usages-logo.png"/>
                    <pic:cNvPicPr/>
                  </pic:nvPicPr>
                  <pic:blipFill>
                    <a:blip r:embed="rId11"/>
                    <a:stretch>
                      <a:fillRect/>
                    </a:stretch>
                  </pic:blipFill>
                  <pic:spPr>
                    <a:xfrm>
                      <a:off x="0" y="0"/>
                      <a:ext cx="5394960" cy="2247900"/>
                    </a:xfrm>
                    <a:prstGeom prst="rect"/>
                  </pic:spPr>
                </pic:pic>
              </a:graphicData>
            </a:graphic>
          </wp:inline>
        </w:drawing>
      </w:r>
    </w:p>
    <w:p>
      <w:r>
        <w:br w:type="page"/>
      </w:r>
    </w:p>
    <w:p>
      <w:pPr>
        <w:pStyle w:val="Heading1"/>
      </w:pPr>
      <w:r>
        <w:t>6. Iconographie et favicons</w:t>
      </w:r>
    </w:p>
    <w:p>
      <w:r>
        <w:t>Le symbole circulaire est la base de tous les petits formats. Il reste identifiable même en 32 px, alors que le mot-symbole complet devient illisible.</w:t>
      </w:r>
    </w:p>
    <w:tbl>
      <w:tblPr>
        <w:tblStyle w:val="TableGrid"/>
        <w:tblW w:type="auto" w:w="0"/>
        <w:tblLook w:firstColumn="1" w:firstRow="1" w:lastColumn="0" w:lastRow="0" w:noHBand="0" w:noVBand="1" w:val="04A0"/>
      </w:tblPr>
      <w:tblGrid>
        <w:gridCol w:w="3456"/>
        <w:gridCol w:w="3456"/>
        <w:gridCol w:w="3456"/>
      </w:tblGrid>
      <w:tr>
        <w:tc>
          <w:tcPr>
            <w:tcW w:type="dxa" w:w="3456"/>
            <w:shd w:fill="0C2241"/>
          </w:tcPr>
          <w:p>
            <w:r/>
            <w:r>
              <w:rPr>
                <w:b/>
                <w:color w:val="FFFFFF"/>
                <w:sz w:val="20"/>
              </w:rPr>
              <w:t>Fichier</w:t>
            </w:r>
          </w:p>
        </w:tc>
        <w:tc>
          <w:tcPr>
            <w:tcW w:type="dxa" w:w="3456"/>
            <w:shd w:fill="0C2241"/>
          </w:tcPr>
          <w:p>
            <w:r/>
            <w:r>
              <w:rPr>
                <w:b/>
                <w:color w:val="FFFFFF"/>
                <w:sz w:val="20"/>
              </w:rPr>
              <w:t>Taille</w:t>
            </w:r>
          </w:p>
        </w:tc>
        <w:tc>
          <w:tcPr>
            <w:tcW w:type="dxa" w:w="3456"/>
            <w:shd w:fill="0C2241"/>
          </w:tcPr>
          <w:p>
            <w:r/>
            <w:r>
              <w:rPr>
                <w:b/>
                <w:color w:val="FFFFFF"/>
                <w:sz w:val="20"/>
              </w:rPr>
              <w:t>Usage</w:t>
            </w:r>
          </w:p>
        </w:tc>
      </w:tr>
      <w:tr>
        <w:tc>
          <w:tcPr>
            <w:tcW w:type="dxa" w:w="3456"/>
          </w:tcPr>
          <w:p>
            <w:r/>
            <w:r>
              <w:rPr>
                <w:b/>
                <w:color w:val="0C2241"/>
                <w:sz w:val="20"/>
              </w:rPr>
              <w:t>favicon.ico</w:t>
            </w:r>
          </w:p>
        </w:tc>
        <w:tc>
          <w:tcPr>
            <w:tcW w:type="dxa" w:w="3456"/>
          </w:tcPr>
          <w:p>
            <w:r/>
            <w:r>
              <w:rPr>
                <w:b w:val="0"/>
                <w:color w:val="626A73"/>
                <w:sz w:val="20"/>
              </w:rPr>
              <w:t>16 à 256 px</w:t>
            </w:r>
          </w:p>
        </w:tc>
        <w:tc>
          <w:tcPr>
            <w:tcW w:type="dxa" w:w="3456"/>
          </w:tcPr>
          <w:p>
            <w:r/>
            <w:r>
              <w:rPr>
                <w:b w:val="0"/>
                <w:color w:val="626A73"/>
                <w:sz w:val="20"/>
              </w:rPr>
              <w:t>Navigateurs classiques</w:t>
            </w:r>
          </w:p>
        </w:tc>
      </w:tr>
      <w:tr>
        <w:tc>
          <w:tcPr>
            <w:tcW w:type="dxa" w:w="3456"/>
          </w:tcPr>
          <w:p>
            <w:r/>
            <w:r>
              <w:rPr>
                <w:b/>
                <w:color w:val="0C2241"/>
                <w:sz w:val="20"/>
              </w:rPr>
              <w:t>favicon-32x32.png</w:t>
            </w:r>
          </w:p>
        </w:tc>
        <w:tc>
          <w:tcPr>
            <w:tcW w:type="dxa" w:w="3456"/>
          </w:tcPr>
          <w:p>
            <w:r/>
            <w:r>
              <w:rPr>
                <w:b w:val="0"/>
                <w:color w:val="626A73"/>
                <w:sz w:val="20"/>
              </w:rPr>
              <w:t>32 px</w:t>
            </w:r>
          </w:p>
        </w:tc>
        <w:tc>
          <w:tcPr>
            <w:tcW w:type="dxa" w:w="3456"/>
          </w:tcPr>
          <w:p>
            <w:r/>
            <w:r>
              <w:rPr>
                <w:b w:val="0"/>
                <w:color w:val="626A73"/>
                <w:sz w:val="20"/>
              </w:rPr>
              <w:t>Onglets navigateur</w:t>
            </w:r>
          </w:p>
        </w:tc>
      </w:tr>
      <w:tr>
        <w:tc>
          <w:tcPr>
            <w:tcW w:type="dxa" w:w="3456"/>
          </w:tcPr>
          <w:p>
            <w:r/>
            <w:r>
              <w:rPr>
                <w:b/>
                <w:color w:val="0C2241"/>
                <w:sz w:val="20"/>
              </w:rPr>
              <w:t>apple-touch-icon.png</w:t>
            </w:r>
          </w:p>
        </w:tc>
        <w:tc>
          <w:tcPr>
            <w:tcW w:type="dxa" w:w="3456"/>
          </w:tcPr>
          <w:p>
            <w:r/>
            <w:r>
              <w:rPr>
                <w:b w:val="0"/>
                <w:color w:val="626A73"/>
                <w:sz w:val="20"/>
              </w:rPr>
              <w:t>180 px</w:t>
            </w:r>
          </w:p>
        </w:tc>
        <w:tc>
          <w:tcPr>
            <w:tcW w:type="dxa" w:w="3456"/>
          </w:tcPr>
          <w:p>
            <w:r/>
            <w:r>
              <w:rPr>
                <w:b w:val="0"/>
                <w:color w:val="626A73"/>
                <w:sz w:val="20"/>
              </w:rPr>
              <w:t>iPhone / iPad</w:t>
            </w:r>
          </w:p>
        </w:tc>
      </w:tr>
      <w:tr>
        <w:tc>
          <w:tcPr>
            <w:tcW w:type="dxa" w:w="3456"/>
          </w:tcPr>
          <w:p>
            <w:r/>
            <w:r>
              <w:rPr>
                <w:b/>
                <w:color w:val="0C2241"/>
                <w:sz w:val="20"/>
              </w:rPr>
              <w:t>android-chrome-192x192.png</w:t>
            </w:r>
          </w:p>
        </w:tc>
        <w:tc>
          <w:tcPr>
            <w:tcW w:type="dxa" w:w="3456"/>
          </w:tcPr>
          <w:p>
            <w:r/>
            <w:r>
              <w:rPr>
                <w:b w:val="0"/>
                <w:color w:val="626A73"/>
                <w:sz w:val="20"/>
              </w:rPr>
              <w:t>192 px</w:t>
            </w:r>
          </w:p>
        </w:tc>
        <w:tc>
          <w:tcPr>
            <w:tcW w:type="dxa" w:w="3456"/>
          </w:tcPr>
          <w:p>
            <w:r/>
            <w:r>
              <w:rPr>
                <w:b w:val="0"/>
                <w:color w:val="626A73"/>
                <w:sz w:val="20"/>
              </w:rPr>
              <w:t>Android / PWA</w:t>
            </w:r>
          </w:p>
        </w:tc>
      </w:tr>
      <w:tr>
        <w:tc>
          <w:tcPr>
            <w:tcW w:type="dxa" w:w="3456"/>
          </w:tcPr>
          <w:p>
            <w:r/>
            <w:r>
              <w:rPr>
                <w:b/>
                <w:color w:val="0C2241"/>
                <w:sz w:val="20"/>
              </w:rPr>
              <w:t>android-chrome-512x512.png</w:t>
            </w:r>
          </w:p>
        </w:tc>
        <w:tc>
          <w:tcPr>
            <w:tcW w:type="dxa" w:w="3456"/>
          </w:tcPr>
          <w:p>
            <w:r/>
            <w:r>
              <w:rPr>
                <w:b w:val="0"/>
                <w:color w:val="626A73"/>
                <w:sz w:val="20"/>
              </w:rPr>
              <w:t>512 px</w:t>
            </w:r>
          </w:p>
        </w:tc>
        <w:tc>
          <w:tcPr>
            <w:tcW w:type="dxa" w:w="3456"/>
          </w:tcPr>
          <w:p>
            <w:r/>
            <w:r>
              <w:rPr>
                <w:b w:val="0"/>
                <w:color w:val="626A73"/>
                <w:sz w:val="20"/>
              </w:rPr>
              <w:t>PWA haute résolution</w:t>
            </w:r>
          </w:p>
        </w:tc>
      </w:tr>
      <w:tr>
        <w:tc>
          <w:tcPr>
            <w:tcW w:type="dxa" w:w="3456"/>
          </w:tcPr>
          <w:p>
            <w:r/>
            <w:r>
              <w:rPr>
                <w:b/>
                <w:color w:val="0C2241"/>
                <w:sz w:val="20"/>
              </w:rPr>
              <w:t>lila-symbol-transparent.png</w:t>
            </w:r>
          </w:p>
        </w:tc>
        <w:tc>
          <w:tcPr>
            <w:tcW w:type="dxa" w:w="3456"/>
          </w:tcPr>
          <w:p>
            <w:r/>
            <w:r>
              <w:rPr>
                <w:b w:val="0"/>
                <w:color w:val="626A73"/>
                <w:sz w:val="20"/>
              </w:rPr>
              <w:t>haute résolution</w:t>
            </w:r>
          </w:p>
        </w:tc>
        <w:tc>
          <w:tcPr>
            <w:tcW w:type="dxa" w:w="3456"/>
          </w:tcPr>
          <w:p>
            <w:r/>
            <w:r>
              <w:rPr>
                <w:b w:val="0"/>
                <w:color w:val="626A73"/>
                <w:sz w:val="20"/>
              </w:rPr>
              <w:t>Réseaux sociaux, avatar, pastille</w:t>
            </w:r>
          </w:p>
        </w:tc>
      </w:tr>
    </w:tbl>
    <w:p>
      <w:pPr>
        <w:pStyle w:val="Heading2"/>
      </w:pPr>
      <w:r>
        <w:t>Code HTML favicon</w:t>
      </w:r>
    </w:p>
    <w:p>
      <w:r>
        <w:rPr>
          <w:rFonts w:ascii="Consolas" w:hAnsi="Consolas" w:eastAsia="Consolas"/>
          <w:color w:val="0C2241"/>
          <w:sz w:val="18"/>
        </w:rPr>
        <w:t>&lt;link rel="icon" href="/favicon.ico" sizes="any"&gt;</w:t>
        <w:br/>
        <w:t>&lt;link rel="icon" type="image/png" sizes="32x32" href="/favicon-32x32.png"&gt;</w:t>
        <w:br/>
        <w:t>&lt;link rel="apple-touch-icon" href="/apple-touch-icon.png"&gt;</w:t>
      </w:r>
    </w:p>
    <w:p>
      <w:pPr>
        <w:pStyle w:val="Heading1"/>
      </w:pPr>
      <w:r>
        <w:t>7. Déclinaisons supports</w:t>
      </w:r>
    </w:p>
    <w:tbl>
      <w:tblPr>
        <w:tblStyle w:val="TableGrid"/>
        <w:tblW w:type="auto" w:w="0"/>
        <w:tblLook w:firstColumn="1" w:firstRow="1" w:lastColumn="0" w:lastRow="0" w:noHBand="0" w:noVBand="1" w:val="04A0"/>
      </w:tblPr>
      <w:tblGrid>
        <w:gridCol w:w="3456"/>
        <w:gridCol w:w="3456"/>
        <w:gridCol w:w="3456"/>
      </w:tblGrid>
      <w:tr>
        <w:tc>
          <w:tcPr>
            <w:tcW w:type="dxa" w:w="3456"/>
            <w:shd w:fill="0C2241"/>
          </w:tcPr>
          <w:p>
            <w:r/>
            <w:r>
              <w:rPr>
                <w:b/>
                <w:color w:val="FFFFFF"/>
                <w:sz w:val="20"/>
              </w:rPr>
              <w:t>Support</w:t>
            </w:r>
          </w:p>
        </w:tc>
        <w:tc>
          <w:tcPr>
            <w:tcW w:type="dxa" w:w="3456"/>
            <w:shd w:fill="0C2241"/>
          </w:tcPr>
          <w:p>
            <w:r/>
            <w:r>
              <w:rPr>
                <w:b/>
                <w:color w:val="FFFFFF"/>
                <w:sz w:val="20"/>
              </w:rPr>
              <w:t>Logo conseillé</w:t>
            </w:r>
          </w:p>
        </w:tc>
        <w:tc>
          <w:tcPr>
            <w:tcW w:type="dxa" w:w="3456"/>
            <w:shd w:fill="0C2241"/>
          </w:tcPr>
          <w:p>
            <w:r/>
            <w:r>
              <w:rPr>
                <w:b/>
                <w:color w:val="FFFFFF"/>
                <w:sz w:val="20"/>
              </w:rPr>
              <w:t>Point d'attention</w:t>
            </w:r>
          </w:p>
        </w:tc>
      </w:tr>
      <w:tr>
        <w:tc>
          <w:tcPr>
            <w:tcW w:type="dxa" w:w="3456"/>
          </w:tcPr>
          <w:p>
            <w:r/>
            <w:r>
              <w:rPr>
                <w:b/>
                <w:color w:val="0C2241"/>
                <w:sz w:val="20"/>
              </w:rPr>
              <w:t>Site web</w:t>
            </w:r>
          </w:p>
        </w:tc>
        <w:tc>
          <w:tcPr>
            <w:tcW w:type="dxa" w:w="3456"/>
          </w:tcPr>
          <w:p>
            <w:r/>
            <w:r>
              <w:rPr>
                <w:b w:val="0"/>
                <w:color w:val="626A73"/>
                <w:sz w:val="20"/>
              </w:rPr>
              <w:t>Logo complet en header</w:t>
            </w:r>
          </w:p>
        </w:tc>
        <w:tc>
          <w:tcPr>
            <w:tcW w:type="dxa" w:w="3456"/>
          </w:tcPr>
          <w:p>
            <w:r/>
            <w:r>
              <w:rPr>
                <w:b w:val="0"/>
                <w:color w:val="626A73"/>
                <w:sz w:val="20"/>
              </w:rPr>
              <w:t>Hauteur raisonnable, fond clair.</w:t>
            </w:r>
          </w:p>
        </w:tc>
      </w:tr>
      <w:tr>
        <w:tc>
          <w:tcPr>
            <w:tcW w:type="dxa" w:w="3456"/>
          </w:tcPr>
          <w:p>
            <w:r/>
            <w:r>
              <w:rPr>
                <w:b/>
                <w:color w:val="0C2241"/>
                <w:sz w:val="20"/>
              </w:rPr>
              <w:t>Application / hub</w:t>
            </w:r>
          </w:p>
        </w:tc>
        <w:tc>
          <w:tcPr>
            <w:tcW w:type="dxa" w:w="3456"/>
          </w:tcPr>
          <w:p>
            <w:r/>
            <w:r>
              <w:rPr>
                <w:b w:val="0"/>
                <w:color w:val="626A73"/>
                <w:sz w:val="20"/>
              </w:rPr>
              <w:t>Symbole seul</w:t>
            </w:r>
          </w:p>
        </w:tc>
        <w:tc>
          <w:tcPr>
            <w:tcW w:type="dxa" w:w="3456"/>
          </w:tcPr>
          <w:p>
            <w:r/>
            <w:r>
              <w:rPr>
                <w:b w:val="0"/>
                <w:color w:val="626A73"/>
                <w:sz w:val="20"/>
              </w:rPr>
              <w:t>Icône carrée, marge interne.</w:t>
            </w:r>
          </w:p>
        </w:tc>
      </w:tr>
      <w:tr>
        <w:tc>
          <w:tcPr>
            <w:tcW w:type="dxa" w:w="3456"/>
          </w:tcPr>
          <w:p>
            <w:r/>
            <w:r>
              <w:rPr>
                <w:b/>
                <w:color w:val="0C2241"/>
                <w:sz w:val="20"/>
              </w:rPr>
              <w:t>Document PDF</w:t>
            </w:r>
          </w:p>
        </w:tc>
        <w:tc>
          <w:tcPr>
            <w:tcW w:type="dxa" w:w="3456"/>
          </w:tcPr>
          <w:p>
            <w:r/>
            <w:r>
              <w:rPr>
                <w:b w:val="0"/>
                <w:color w:val="626A73"/>
                <w:sz w:val="20"/>
              </w:rPr>
              <w:t>Logo complet</w:t>
            </w:r>
          </w:p>
        </w:tc>
        <w:tc>
          <w:tcPr>
            <w:tcW w:type="dxa" w:w="3456"/>
          </w:tcPr>
          <w:p>
            <w:r/>
            <w:r>
              <w:rPr>
                <w:b w:val="0"/>
                <w:color w:val="626A73"/>
                <w:sz w:val="20"/>
              </w:rPr>
              <w:t>Bas de page possible avec symbole.</w:t>
            </w:r>
          </w:p>
        </w:tc>
      </w:tr>
      <w:tr>
        <w:tc>
          <w:tcPr>
            <w:tcW w:type="dxa" w:w="3456"/>
          </w:tcPr>
          <w:p>
            <w:r/>
            <w:r>
              <w:rPr>
                <w:b/>
                <w:color w:val="0C2241"/>
                <w:sz w:val="20"/>
              </w:rPr>
              <w:t>Réseaux sociaux</w:t>
            </w:r>
          </w:p>
        </w:tc>
        <w:tc>
          <w:tcPr>
            <w:tcW w:type="dxa" w:w="3456"/>
          </w:tcPr>
          <w:p>
            <w:r/>
            <w:r>
              <w:rPr>
                <w:b w:val="0"/>
                <w:color w:val="626A73"/>
                <w:sz w:val="20"/>
              </w:rPr>
              <w:t>Symbole ou logo court</w:t>
            </w:r>
          </w:p>
        </w:tc>
        <w:tc>
          <w:tcPr>
            <w:tcW w:type="dxa" w:w="3456"/>
          </w:tcPr>
          <w:p>
            <w:r/>
            <w:r>
              <w:rPr>
                <w:b w:val="0"/>
                <w:color w:val="626A73"/>
                <w:sz w:val="20"/>
              </w:rPr>
              <w:t>Vérifier la lisibilité en mobile.</w:t>
            </w:r>
          </w:p>
        </w:tc>
      </w:tr>
    </w:tbl>
    <w:p>
      <w:pPr>
        <w:pStyle w:val="Heading1"/>
      </w:pPr>
      <w:r>
        <w:t>8. Livrables fournis</w:t>
      </w:r>
    </w:p>
    <w:p>
      <w:r>
        <w:rPr>
          <w:color w:val="F08247"/>
        </w:rPr>
        <w:t xml:space="preserve">• </w:t>
      </w:r>
      <w:r>
        <w:t>logo/lila-logo-transparent.png</w:t>
      </w:r>
    </w:p>
    <w:p>
      <w:r>
        <w:rPr>
          <w:color w:val="F08247"/>
        </w:rPr>
        <w:t xml:space="preserve">• </w:t>
      </w:r>
      <w:r>
        <w:t>logo/lila-logo-transparent-safezone.png</w:t>
      </w:r>
    </w:p>
    <w:p>
      <w:r>
        <w:rPr>
          <w:color w:val="F08247"/>
        </w:rPr>
        <w:t xml:space="preserve">• </w:t>
      </w:r>
      <w:r>
        <w:t>icons/lila-symbol-transparent.png</w:t>
      </w:r>
    </w:p>
    <w:p>
      <w:r>
        <w:rPr>
          <w:color w:val="F08247"/>
        </w:rPr>
        <w:t xml:space="preserve">• </w:t>
      </w:r>
      <w:r>
        <w:t>favicon/favicon.ico</w:t>
      </w:r>
    </w:p>
    <w:p>
      <w:r>
        <w:rPr>
          <w:color w:val="F08247"/>
        </w:rPr>
        <w:t xml:space="preserve">• </w:t>
      </w:r>
      <w:r>
        <w:t>favicon/favicon-16x16.png à favicon-512x512.png</w:t>
      </w:r>
    </w:p>
    <w:p>
      <w:r>
        <w:rPr>
          <w:color w:val="F08247"/>
        </w:rPr>
        <w:t xml:space="preserve">• </w:t>
      </w:r>
      <w:r>
        <w:t>favicon/apple-touch-icon.png</w:t>
      </w:r>
    </w:p>
    <w:p>
      <w:r>
        <w:rPr>
          <w:color w:val="F08247"/>
        </w:rPr>
        <w:t xml:space="preserve">• </w:t>
      </w:r>
      <w:r>
        <w:t>favicon/android-chrome-192x192.png</w:t>
      </w:r>
    </w:p>
    <w:p>
      <w:r>
        <w:rPr>
          <w:color w:val="F08247"/>
        </w:rPr>
        <w:t xml:space="preserve">• </w:t>
      </w:r>
      <w:r>
        <w:t>favicon/android-chrome-512x512.png</w:t>
      </w:r>
    </w:p>
    <w:p>
      <w:r>
        <w:rPr>
          <w:color w:val="F08247"/>
        </w:rPr>
        <w:t xml:space="preserve">• </w:t>
      </w:r>
      <w:r>
        <w:t>manifest.json</w:t>
      </w:r>
    </w:p>
    <w:p>
      <w:r>
        <w:t>Note qualité : le détourage transparent a été réalisé à partir du PNG fourni. C'est exploitable immédiatement pour le web et les documents. Pour une charte définitive imprimeur, la prochaine étape utile est la vectorisation propre du symbole et du mot-symbole.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C2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C22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F082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C224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