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Julien Lanctôt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46D111F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Ici, nous pouvons voir la représentation des </w:t>
      </w:r>
      <w:r w:rsidR="00845915">
        <w:rPr>
          <w:rFonts w:asciiTheme="majorHAnsi" w:hAnsiTheme="majorHAnsi" w:cstheme="majorHAnsi"/>
          <w:lang w:val="fr-CA"/>
        </w:rPr>
        <w:t>boites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279B37CE" w:rsidR="000A111C" w:rsidRDefault="004E136B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006D9417">
                <wp:simplePos x="0" y="0"/>
                <wp:positionH relativeFrom="margin">
                  <wp:posOffset>658495</wp:posOffset>
                </wp:positionH>
                <wp:positionV relativeFrom="paragraph">
                  <wp:posOffset>134206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B24EF6" w:rsidRPr="003D155A" w:rsidRDefault="00B24EF6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10.55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B24EF6" w:rsidRPr="003D155A" w:rsidRDefault="00B24EF6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13ACDB1" w14:textId="2A700C79" w:rsidR="00274C59" w:rsidRPr="005D5F3F" w:rsidRDefault="00274C59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002E9FB4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5C3832B2" w14:textId="17B16142" w:rsidR="004E136B" w:rsidRDefault="004E136B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4563803A">
            <wp:simplePos x="0" y="0"/>
            <wp:positionH relativeFrom="margin">
              <wp:posOffset>934085</wp:posOffset>
            </wp:positionH>
            <wp:positionV relativeFrom="paragraph">
              <wp:posOffset>296545</wp:posOffset>
            </wp:positionV>
            <wp:extent cx="4347845" cy="2657475"/>
            <wp:effectExtent l="0" t="0" r="0" b="9525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2C6477B4" w:rsidR="006B68B8" w:rsidRPr="005D5F3F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lang w:val="fr-CA"/>
        </w:rPr>
        <w:t>Pour ce qui concerne la distribution, on peut remarquer que NOM et CAC contiennent des donnée</w:t>
      </w:r>
      <w:r w:rsidR="00845915">
        <w:rPr>
          <w:rFonts w:asciiTheme="majorHAnsi" w:hAnsiTheme="majorHAnsi" w:cstheme="majorHAnsi"/>
          <w:lang w:val="fr-CA"/>
        </w:rPr>
        <w:t>s</w:t>
      </w:r>
      <w:r>
        <w:rPr>
          <w:rFonts w:asciiTheme="majorHAnsi" w:hAnsiTheme="majorHAnsi" w:cstheme="majorHAnsi"/>
          <w:lang w:val="fr-CA"/>
        </w:rPr>
        <w:t xml:space="preserve"> aberrantes respectivement </w:t>
      </w:r>
      <w:r w:rsidRPr="00E25035">
        <w:rPr>
          <w:rFonts w:asciiTheme="majorHAnsi" w:hAnsiTheme="majorHAnsi" w:cstheme="majorHAnsi"/>
          <w:lang w:val="fr-CA"/>
        </w:rPr>
        <w:t>C30</w:t>
      </w:r>
      <w:r>
        <w:rPr>
          <w:rFonts w:asciiTheme="majorHAnsi" w:hAnsiTheme="majorHAnsi" w:cstheme="majorHAnsi"/>
          <w:lang w:val="fr-CA"/>
        </w:rPr>
        <w:t xml:space="preserve"> et </w:t>
      </w:r>
      <w:r w:rsidRPr="00E25035">
        <w:rPr>
          <w:rFonts w:asciiTheme="majorHAnsi" w:hAnsiTheme="majorHAnsi" w:cstheme="majorHAnsi"/>
          <w:lang w:val="fr-CA"/>
        </w:rPr>
        <w:t>C21</w:t>
      </w:r>
      <w:r>
        <w:rPr>
          <w:rFonts w:asciiTheme="majorHAnsi" w:hAnsiTheme="majorHAnsi" w:cstheme="majorHAnsi"/>
          <w:sz w:val="24"/>
          <w:szCs w:val="24"/>
          <w:lang w:val="fr-CA"/>
        </w:rPr>
        <w:t>Selon l’énoncé, les données suivent une distribution normale, cependant lorsque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 nous regardons les graphiques fréquences (voir </w:t>
      </w:r>
      <w:hyperlink w:anchor="_ANNEXE_2_:" w:history="1">
        <w:r w:rsidR="006B68B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="006B68B8"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complètement 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>normale.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Malgré cela, nous allons assumer qu’elles sont normales pour la suite du travail</w:t>
      </w:r>
      <w:r w:rsidR="00845915"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7C36A4D2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6BA772EA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</w:t>
      </w:r>
      <w:r w:rsidR="006526EC">
        <w:rPr>
          <w:rFonts w:asciiTheme="majorHAnsi" w:hAnsiTheme="majorHAnsi" w:cstheme="majorHAnsi"/>
          <w:lang w:val="fr-CA"/>
        </w:rPr>
        <w:t>n’</w:t>
      </w:r>
      <w:r w:rsidR="0039590F">
        <w:rPr>
          <w:rFonts w:asciiTheme="majorHAnsi" w:hAnsiTheme="majorHAnsi" w:cstheme="majorHAnsi"/>
          <w:lang w:val="fr-CA"/>
        </w:rPr>
        <w:t>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</w:t>
      </w:r>
      <w:r w:rsidR="006526EC">
        <w:rPr>
          <w:rFonts w:asciiTheme="majorHAnsi" w:hAnsiTheme="majorHAnsi" w:cstheme="majorHAnsi"/>
          <w:lang w:val="fr-CA"/>
        </w:rPr>
        <w:t>, ce dernier est la collecte unique</w:t>
      </w:r>
      <w:r w:rsidR="00557816">
        <w:rPr>
          <w:rFonts w:asciiTheme="majorHAnsi" w:hAnsiTheme="majorHAnsi" w:cstheme="majorHAnsi"/>
          <w:lang w:val="fr-CA"/>
        </w:rPr>
        <w:t> </w:t>
      </w:r>
      <w:r w:rsidR="006C6094">
        <w:rPr>
          <w:rFonts w:asciiTheme="majorHAnsi" w:hAnsiTheme="majorHAnsi" w:cstheme="majorHAnsi"/>
          <w:lang w:val="fr-CA"/>
        </w:rPr>
        <w:t>30 classes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permet de v</w:t>
      </w:r>
      <w:r w:rsidR="00845915">
        <w:rPr>
          <w:rFonts w:asciiTheme="majorHAnsi" w:hAnsiTheme="majorHAnsi" w:cstheme="majorHAnsi"/>
          <w:lang w:val="fr-CA"/>
        </w:rPr>
        <w:t>érifi</w:t>
      </w:r>
      <w:r w:rsidR="00BC1A71">
        <w:rPr>
          <w:rFonts w:asciiTheme="majorHAnsi" w:hAnsiTheme="majorHAnsi" w:cstheme="majorHAnsi"/>
          <w:lang w:val="fr-CA"/>
        </w:rPr>
        <w:t>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A202830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1_: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expérience et l’âge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16F865E4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52699E83" w14:textId="77777777" w:rsidR="008545FC" w:rsidRDefault="008545FC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lastRenderedPageBreak/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1F05CA4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0BF0B171" w:rsidR="00EE354A" w:rsidRDefault="00686056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Comme indiqué dans l’énoncé, il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faut utiliser le coefficient </w:t>
      </w:r>
      <w:r>
        <w:rPr>
          <w:rFonts w:asciiTheme="majorHAnsi" w:hAnsiTheme="majorHAnsi" w:cstheme="majorHAnsi"/>
          <w:sz w:val="24"/>
          <w:szCs w:val="24"/>
          <w:lang w:val="fr-CA"/>
        </w:rPr>
        <w:t>de Pearson</w:t>
      </w:r>
      <w:r w:rsidR="00841B24" w:rsidRPr="00E54297">
        <w:rPr>
          <w:rFonts w:asciiTheme="majorHAnsi" w:hAnsiTheme="majorHAnsi" w:cstheme="majorHAnsi"/>
          <w:sz w:val="24"/>
          <w:szCs w:val="24"/>
          <w:lang w:val="fr-CA"/>
        </w:rPr>
        <w:t xml:space="preserve">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r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moyennes </w:t>
      </w:r>
      <w:r w:rsidR="00845915">
        <w:rPr>
          <w:rFonts w:asciiTheme="majorHAnsi" w:hAnsiTheme="majorHAnsi" w:cstheme="majorHAnsi"/>
          <w:sz w:val="24"/>
          <w:szCs w:val="24"/>
          <w:lang w:val="fr-CA"/>
        </w:rPr>
        <w:t>respectives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,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de coefficient de corrélation de rang de </w:t>
      </w:r>
      <w:r>
        <w:rPr>
          <w:rFonts w:asciiTheme="majorHAnsi" w:hAnsiTheme="majorHAnsi" w:cstheme="majorHAnsi"/>
          <w:sz w:val="24"/>
          <w:szCs w:val="24"/>
          <w:lang w:val="fr-CA"/>
        </w:rPr>
        <w:t>Pearson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130CD6B5" w:rsidR="001F2EA6" w:rsidRPr="009C4342" w:rsidRDefault="00686056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r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(estimation des covariances)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(produit des écarts-type</m:t>
              </m:r>
            </m:den>
          </m:f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6E5A8847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Pearson 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3CAD4041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336179047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3ECF6450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156165298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0322A638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225347199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5AAE7241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Pearson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21293CF9" w14:textId="08697494" w:rsidR="004E136B" w:rsidRDefault="006E3F44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En regardant les droites de régressions linéaires des métriques (voir </w:t>
      </w:r>
      <w:hyperlink w:anchor="_ANNEXE_3_: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>-</w:t>
      </w:r>
      <w:hyperlink w:anchor="_ANNEXE_3_:_1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>En plus, lorsque l’on regarde leur R</w:t>
      </w:r>
      <w:r w:rsidR="004E136B">
        <w:rPr>
          <w:rFonts w:asciiTheme="majorHAnsi" w:hAnsiTheme="majorHAnsi" w:cstheme="majorHAnsi"/>
          <w:sz w:val="24"/>
          <w:szCs w:val="24"/>
          <w:vertAlign w:val="superscript"/>
          <w:lang w:val="fr-CA"/>
        </w:rPr>
        <w:t>2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 xml:space="preserve">, il est facile de conclure qu’aucune des métriques n’est </w:t>
      </w:r>
      <w:r w:rsidR="00D96AFA">
        <w:rPr>
          <w:rFonts w:asciiTheme="majorHAnsi" w:hAnsiTheme="majorHAnsi" w:cstheme="majorHAnsi"/>
          <w:sz w:val="24"/>
          <w:szCs w:val="24"/>
          <w:lang w:val="fr-CA"/>
        </w:rPr>
        <w:t>linéaire.</w:t>
      </w:r>
    </w:p>
    <w:p w14:paraId="4614E536" w14:textId="77777777" w:rsidR="004E136B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36FE1EBA" w14:textId="718D823F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6D5A50C3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T4. </w:t>
      </w:r>
    </w:p>
    <w:p w14:paraId="1B77DCDB" w14:textId="42527277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], on choisit de travailler avec la visualisation graphique de cette fonction </w:t>
      </w:r>
      <w:r w:rsidR="00D96AFA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Pr="007666E9">
        <w:rPr>
          <w:rFonts w:asciiTheme="majorHAnsi" w:hAnsiTheme="majorHAnsi" w:cstheme="majorHAnsi"/>
          <w:color w:val="auto"/>
          <w:lang w:val="fr-CA"/>
        </w:rPr>
        <w:t>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4BCEE33B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de travailler avec la visualisation graphique de cette </w:t>
      </w:r>
      <w:proofErr w:type="gramStart"/>
      <w:r w:rsidRPr="007666E9">
        <w:rPr>
          <w:rFonts w:asciiTheme="majorHAnsi" w:hAnsiTheme="majorHAnsi" w:cstheme="majorHAnsi"/>
          <w:color w:val="auto"/>
          <w:lang w:val="fr-CA"/>
        </w:rPr>
        <w:t>fonction</w:t>
      </w:r>
      <w:r w:rsidR="00D96AFA" w:rsidRPr="007666E9">
        <w:rPr>
          <w:rFonts w:asciiTheme="majorHAnsi" w:hAnsiTheme="majorHAnsi" w:cstheme="majorHAnsi"/>
          <w:color w:val="auto"/>
          <w:lang w:val="fr-CA"/>
        </w:rPr>
        <w:t>(</w:t>
      </w:r>
      <w:proofErr w:type="gramEnd"/>
      <w:hyperlink w:anchor="_ANNEXE_3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="00D96AFA">
        <w:rPr>
          <w:rFonts w:asciiTheme="majorHAnsi" w:hAnsiTheme="majorHAnsi" w:cstheme="majorHAnsi"/>
          <w:color w:val="auto"/>
          <w:lang w:val="fr-CA"/>
        </w:rPr>
        <w:t>.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>donc on rejette ici aussi l’hypothèse.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3BC6BFD3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2DDB3966" w:rsidR="0039590F" w:rsidRDefault="0039590F" w:rsidP="009906C8">
      <w:pPr>
        <w:pStyle w:val="Default"/>
        <w:spacing w:line="276" w:lineRule="auto"/>
        <w:rPr>
          <w:rFonts w:ascii="Helvetica" w:hAnsi="Helvetica" w:cs="Helvetica"/>
          <w:color w:val="DCDDDE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</w:t>
      </w:r>
      <w:r w:rsidRPr="009906C8">
        <w:rPr>
          <w:rFonts w:asciiTheme="majorHAnsi" w:hAnsiTheme="majorHAnsi" w:cstheme="majorHAnsi"/>
          <w:color w:val="auto"/>
          <w:lang w:val="fr-CA"/>
        </w:rPr>
        <w:t>.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Cette évidence s’applique fort probablement à de nombreuses études similaires et forcera bien des chercheurs à approfondir leur champ d’étude</w:t>
      </w:r>
      <w:r w:rsidR="009906C8">
        <w:rPr>
          <w:rFonts w:asciiTheme="majorHAnsi" w:hAnsiTheme="majorHAnsi" w:cstheme="majorHAnsi"/>
          <w:color w:val="auto"/>
          <w:lang w:val="fr-CA"/>
        </w:rPr>
        <w:t>s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pour obtenir des conclusions robustes et élégantes</w:t>
      </w:r>
      <w:r w:rsidR="009906C8" w:rsidRPr="009906C8">
        <w:rPr>
          <w:rFonts w:ascii="Helvetica" w:hAnsi="Helvetica" w:cs="Helvetica"/>
          <w:color w:val="DCDDDE"/>
          <w:lang w:val="fr-CA"/>
        </w:rPr>
        <w:t>.</w:t>
      </w:r>
    </w:p>
    <w:p w14:paraId="3D5BDF51" w14:textId="77777777" w:rsidR="00686056" w:rsidRPr="0039590F" w:rsidRDefault="00686056" w:rsidP="009906C8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bookmarkStart w:id="2" w:name="_ANNEXE_2_:"/>
      <w:bookmarkEnd w:id="2"/>
    </w:p>
    <w:p w14:paraId="19928419" w14:textId="38C1B152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0BA1B5EC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</w:p>
    <w:p w14:paraId="41562CAD" w14:textId="6D81EE77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80184AE" wp14:editId="7EBD8047">
            <wp:simplePos x="0" y="0"/>
            <wp:positionH relativeFrom="margin">
              <wp:posOffset>-317886</wp:posOffset>
            </wp:positionH>
            <wp:positionV relativeFrom="paragraph">
              <wp:posOffset>340387</wp:posOffset>
            </wp:positionV>
            <wp:extent cx="3001507" cy="1808921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07" cy="180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FAB7" w14:textId="21B9CCA4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67865E8" wp14:editId="3B3ECB83">
            <wp:simplePos x="0" y="0"/>
            <wp:positionH relativeFrom="margin">
              <wp:posOffset>3389188</wp:posOffset>
            </wp:positionH>
            <wp:positionV relativeFrom="paragraph">
              <wp:posOffset>48012</wp:posOffset>
            </wp:positionV>
            <wp:extent cx="3220278" cy="1879110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87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10FD0" w14:textId="2A4C29E5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69D45A8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07839B43" w14:textId="1AF0404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28405E0B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7DC24AB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08C44E87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8C24E7B" wp14:editId="59D502FD">
            <wp:simplePos x="0" y="0"/>
            <wp:positionH relativeFrom="margin">
              <wp:posOffset>-317721</wp:posOffset>
            </wp:positionH>
            <wp:positionV relativeFrom="paragraph">
              <wp:posOffset>344750</wp:posOffset>
            </wp:positionV>
            <wp:extent cx="3071191" cy="1854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1" cy="185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5BDC" w14:textId="0610A9D3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6F1E186" wp14:editId="33C2BAB9">
            <wp:simplePos x="0" y="0"/>
            <wp:positionH relativeFrom="column">
              <wp:posOffset>3309730</wp:posOffset>
            </wp:positionH>
            <wp:positionV relativeFrom="paragraph">
              <wp:posOffset>20324</wp:posOffset>
            </wp:positionV>
            <wp:extent cx="3100595" cy="1877898"/>
            <wp:effectExtent l="0" t="0" r="508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595" cy="187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03DA0B5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41C541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735BDC4D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0B317215" w14:textId="349C63A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873A3D8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CAC avec données aberrantes et sans données aberrantes</w:t>
      </w:r>
    </w:p>
    <w:p w14:paraId="2620C09F" w14:textId="484FB721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918EED4" wp14:editId="5196EF3A">
            <wp:simplePos x="0" y="0"/>
            <wp:positionH relativeFrom="margin">
              <wp:posOffset>1043554</wp:posOffset>
            </wp:positionH>
            <wp:positionV relativeFrom="paragraph">
              <wp:posOffset>265430</wp:posOffset>
            </wp:positionV>
            <wp:extent cx="3866322" cy="230554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22" cy="230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31F1CF4B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402ACC">
        <w:trPr>
          <w:trHeight w:val="450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402ACC">
        <w:trPr>
          <w:trHeight w:val="450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07F63C71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 xml:space="preserve">: Coefficient de </w:t>
      </w:r>
      <w:r w:rsidR="00686056">
        <w:rPr>
          <w:color w:val="auto"/>
          <w:sz w:val="28"/>
          <w:szCs w:val="28"/>
          <w:lang w:val="fr-CA"/>
        </w:rPr>
        <w:t>Pearson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50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50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50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50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6CC6B3B9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00B958D5" w:rsidR="009809B8" w:rsidRPr="005D3D9A" w:rsidRDefault="002C488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A443354" wp14:editId="2B51EA58">
            <wp:simplePos x="0" y="0"/>
            <wp:positionH relativeFrom="column">
              <wp:posOffset>638629</wp:posOffset>
            </wp:positionH>
            <wp:positionV relativeFrom="paragraph">
              <wp:posOffset>12610</wp:posOffset>
            </wp:positionV>
            <wp:extent cx="4564380" cy="2737485"/>
            <wp:effectExtent l="0" t="0" r="7620" b="5715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2590D31-4ABF-4FAD-9EF2-08F4F0037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2D2EC227" w14:textId="1535681C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0AA7E64A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43A6B388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2201B5F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1725985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3C2FCC1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665458B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7A21E04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817E5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1A22D51C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5A4C04" wp14:editId="19FDDEB0">
            <wp:simplePos x="0" y="0"/>
            <wp:positionH relativeFrom="margin">
              <wp:align>center</wp:align>
            </wp:positionH>
            <wp:positionV relativeFrom="paragraph">
              <wp:posOffset>15059</wp:posOffset>
            </wp:positionV>
            <wp:extent cx="4566285" cy="2735580"/>
            <wp:effectExtent l="0" t="0" r="5715" b="762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2CA88F9-2C43-41FF-A394-2448B7CD2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7CB17CDC" w14:textId="6D3AF48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7BAF055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4516670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1BFD15D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6BA21D2A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4275A26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69DFF04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0B487CD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5DF871F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23CE13B" w14:textId="1F39F5EA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968CEDD" wp14:editId="3F43A826">
            <wp:simplePos x="0" y="0"/>
            <wp:positionH relativeFrom="column">
              <wp:posOffset>681990</wp:posOffset>
            </wp:positionH>
            <wp:positionV relativeFrom="paragraph">
              <wp:posOffset>75474</wp:posOffset>
            </wp:positionV>
            <wp:extent cx="4564380" cy="2735580"/>
            <wp:effectExtent l="0" t="0" r="7620" b="762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43C9AD-344F-4C02-896B-754F9079B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284B35C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bookmarkStart w:id="3" w:name="_ANNEXE_3_:_1"/>
      <w:bookmarkEnd w:id="3"/>
    </w:p>
    <w:p w14:paraId="30DCFFC7" w14:textId="39AC35B2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5B7B3E5E" w:rsidR="009809B8" w:rsidRPr="005D3D9A" w:rsidRDefault="0011431E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B379356" wp14:editId="2214804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5720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614DC6-B182-4781-B969-8FA3B4173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14E78847" w14:textId="606345D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48E322BB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3E7F333A" w14:textId="7303DDE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21719272" w:rsidR="00EE354A" w:rsidRPr="00EE354A" w:rsidRDefault="00EE354A" w:rsidP="00EE354A">
      <w:pPr>
        <w:rPr>
          <w:lang w:val="fr-CA"/>
        </w:rPr>
      </w:pPr>
    </w:p>
    <w:p w14:paraId="1D3D0591" w14:textId="0055AFC9" w:rsidR="00EE354A" w:rsidRPr="00EE354A" w:rsidRDefault="00EE354A" w:rsidP="00EE354A">
      <w:pPr>
        <w:rPr>
          <w:lang w:val="fr-CA"/>
        </w:rPr>
      </w:pPr>
    </w:p>
    <w:p w14:paraId="4FDBA8D4" w14:textId="7B60960B" w:rsidR="00EE354A" w:rsidRPr="00EE354A" w:rsidRDefault="00EE354A" w:rsidP="00EE354A">
      <w:pPr>
        <w:rPr>
          <w:lang w:val="fr-CA"/>
        </w:rPr>
      </w:pPr>
    </w:p>
    <w:p w14:paraId="541EA5A6" w14:textId="59CD3667" w:rsidR="00EE354A" w:rsidRPr="00EE354A" w:rsidRDefault="00EE354A" w:rsidP="00EE354A">
      <w:pPr>
        <w:rPr>
          <w:lang w:val="fr-CA"/>
        </w:rPr>
      </w:pPr>
    </w:p>
    <w:p w14:paraId="570A2A35" w14:textId="5A2B0451" w:rsidR="00EE354A" w:rsidRPr="00EE354A" w:rsidRDefault="00EE354A" w:rsidP="00EE354A">
      <w:pPr>
        <w:rPr>
          <w:lang w:val="fr-CA"/>
        </w:rPr>
      </w:pPr>
    </w:p>
    <w:p w14:paraId="39BF5539" w14:textId="09241845" w:rsidR="00EE354A" w:rsidRPr="00EE354A" w:rsidRDefault="00EE354A" w:rsidP="00EE354A">
      <w:pPr>
        <w:rPr>
          <w:lang w:val="fr-CA"/>
        </w:rPr>
      </w:pPr>
    </w:p>
    <w:p w14:paraId="20A61575" w14:textId="434D9911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F815DA5" wp14:editId="000ACCE2">
            <wp:simplePos x="0" y="0"/>
            <wp:positionH relativeFrom="margin">
              <wp:align>center</wp:align>
            </wp:positionH>
            <wp:positionV relativeFrom="paragraph">
              <wp:posOffset>129181</wp:posOffset>
            </wp:positionV>
            <wp:extent cx="4572000" cy="2750820"/>
            <wp:effectExtent l="0" t="0" r="0" b="1143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196D327-3561-4076-9421-9D9DD58AA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61CDE1B1" w14:textId="4AF413CA" w:rsidR="00EE354A" w:rsidRPr="00EE354A" w:rsidRDefault="00EE354A" w:rsidP="00EE354A">
      <w:pPr>
        <w:rPr>
          <w:lang w:val="fr-CA"/>
        </w:rPr>
      </w:pPr>
    </w:p>
    <w:p w14:paraId="7C4E1E1F" w14:textId="06CC933A" w:rsidR="00EE354A" w:rsidRPr="00EE354A" w:rsidRDefault="00EE354A" w:rsidP="00EE354A">
      <w:pPr>
        <w:rPr>
          <w:lang w:val="fr-CA"/>
        </w:rPr>
      </w:pPr>
    </w:p>
    <w:p w14:paraId="36D76219" w14:textId="115411C1" w:rsidR="00EE354A" w:rsidRPr="00EE354A" w:rsidRDefault="00EE354A" w:rsidP="00EE354A">
      <w:pPr>
        <w:rPr>
          <w:lang w:val="fr-CA"/>
        </w:rPr>
      </w:pPr>
    </w:p>
    <w:p w14:paraId="16EFBCE7" w14:textId="77EC2FD8" w:rsidR="00EE354A" w:rsidRPr="00EE354A" w:rsidRDefault="00EE354A" w:rsidP="00EE354A">
      <w:pPr>
        <w:rPr>
          <w:lang w:val="fr-CA"/>
        </w:rPr>
      </w:pPr>
    </w:p>
    <w:p w14:paraId="44B8049B" w14:textId="4BD6DF55" w:rsidR="00EE354A" w:rsidRPr="00EE354A" w:rsidRDefault="00EE354A" w:rsidP="00EE354A">
      <w:pPr>
        <w:rPr>
          <w:lang w:val="fr-CA"/>
        </w:rPr>
      </w:pPr>
    </w:p>
    <w:p w14:paraId="1D9AAB38" w14:textId="118D4513" w:rsidR="00EE354A" w:rsidRPr="00EE354A" w:rsidRDefault="00EE354A" w:rsidP="00EE354A">
      <w:pPr>
        <w:rPr>
          <w:lang w:val="fr-CA"/>
        </w:rPr>
      </w:pPr>
    </w:p>
    <w:p w14:paraId="1B6134C0" w14:textId="4B84D773" w:rsidR="00EE354A" w:rsidRPr="00EE354A" w:rsidRDefault="00EE354A" w:rsidP="00EE354A">
      <w:pPr>
        <w:rPr>
          <w:lang w:val="fr-CA"/>
        </w:rPr>
      </w:pPr>
    </w:p>
    <w:p w14:paraId="32676E00" w14:textId="5D59D966" w:rsidR="00EE354A" w:rsidRPr="00EE354A" w:rsidRDefault="00EE354A" w:rsidP="00EE354A">
      <w:pPr>
        <w:rPr>
          <w:lang w:val="fr-CA"/>
        </w:rPr>
      </w:pPr>
    </w:p>
    <w:p w14:paraId="54576C5E" w14:textId="4255BDD4" w:rsidR="00EE354A" w:rsidRPr="00EE354A" w:rsidRDefault="00EE354A" w:rsidP="00EE354A">
      <w:pPr>
        <w:rPr>
          <w:lang w:val="fr-CA"/>
        </w:rPr>
      </w:pPr>
    </w:p>
    <w:p w14:paraId="4DD1F82E" w14:textId="50287AB6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5870B0E" wp14:editId="531DA7BB">
            <wp:simplePos x="0" y="0"/>
            <wp:positionH relativeFrom="margin">
              <wp:align>center</wp:align>
            </wp:positionH>
            <wp:positionV relativeFrom="paragraph">
              <wp:posOffset>133626</wp:posOffset>
            </wp:positionV>
            <wp:extent cx="4572000" cy="2748915"/>
            <wp:effectExtent l="0" t="0" r="0" b="1333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8D5319C-3FA1-469A-BE70-9A8CB1E0A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7157B" w14:textId="3689665B" w:rsidR="00EE354A" w:rsidRPr="00EE354A" w:rsidRDefault="00EE354A" w:rsidP="00EE354A">
      <w:pPr>
        <w:rPr>
          <w:lang w:val="fr-CA"/>
        </w:rPr>
      </w:pPr>
    </w:p>
    <w:p w14:paraId="330AFF57" w14:textId="04FB28F7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3AFB5926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6C5C5" w14:textId="77777777" w:rsidR="00F73F39" w:rsidRDefault="00F73F39" w:rsidP="000673AA">
      <w:pPr>
        <w:spacing w:after="0" w:line="240" w:lineRule="auto"/>
      </w:pPr>
      <w:r>
        <w:separator/>
      </w:r>
    </w:p>
  </w:endnote>
  <w:endnote w:type="continuationSeparator" w:id="0">
    <w:p w14:paraId="410F87E1" w14:textId="77777777" w:rsidR="00F73F39" w:rsidRDefault="00F73F39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EF3A" w14:textId="77777777" w:rsidR="00845915" w:rsidRDefault="00845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B24EF6" w:rsidRDefault="00B24EF6">
    <w:pPr>
      <w:pStyle w:val="Footer"/>
    </w:pPr>
  </w:p>
  <w:p w14:paraId="1832D105" w14:textId="77777777" w:rsidR="00B24EF6" w:rsidRDefault="00B24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254E" w14:textId="77777777" w:rsidR="00845915" w:rsidRDefault="00845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8DCA5" w14:textId="77777777" w:rsidR="00F73F39" w:rsidRDefault="00F73F39" w:rsidP="000673AA">
      <w:pPr>
        <w:spacing w:after="0" w:line="240" w:lineRule="auto"/>
      </w:pPr>
      <w:r>
        <w:separator/>
      </w:r>
    </w:p>
  </w:footnote>
  <w:footnote w:type="continuationSeparator" w:id="0">
    <w:p w14:paraId="2875792C" w14:textId="77777777" w:rsidR="00F73F39" w:rsidRDefault="00F73F39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DF9D8" w14:textId="77777777" w:rsidR="00845915" w:rsidRDefault="00845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EAFFC" w14:textId="77777777" w:rsidR="00845915" w:rsidRDefault="00845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EE2DC" w14:textId="77777777" w:rsidR="00845915" w:rsidRDefault="00845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1431E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2C4888"/>
    <w:rsid w:val="00380901"/>
    <w:rsid w:val="0039590F"/>
    <w:rsid w:val="00402ACC"/>
    <w:rsid w:val="00480418"/>
    <w:rsid w:val="004A2AEA"/>
    <w:rsid w:val="004C2D0C"/>
    <w:rsid w:val="004E136B"/>
    <w:rsid w:val="004F0A1F"/>
    <w:rsid w:val="00502243"/>
    <w:rsid w:val="005224C2"/>
    <w:rsid w:val="00530645"/>
    <w:rsid w:val="00557816"/>
    <w:rsid w:val="005A27F6"/>
    <w:rsid w:val="005A7152"/>
    <w:rsid w:val="005D3D9A"/>
    <w:rsid w:val="005D5F3F"/>
    <w:rsid w:val="00640E9C"/>
    <w:rsid w:val="006526EC"/>
    <w:rsid w:val="00655EA4"/>
    <w:rsid w:val="00676117"/>
    <w:rsid w:val="00686056"/>
    <w:rsid w:val="006B68B8"/>
    <w:rsid w:val="006C6094"/>
    <w:rsid w:val="006E3F44"/>
    <w:rsid w:val="006F2242"/>
    <w:rsid w:val="006F7008"/>
    <w:rsid w:val="00755E91"/>
    <w:rsid w:val="007666E9"/>
    <w:rsid w:val="007956FE"/>
    <w:rsid w:val="007D477A"/>
    <w:rsid w:val="00827940"/>
    <w:rsid w:val="00827A63"/>
    <w:rsid w:val="00841B24"/>
    <w:rsid w:val="00845915"/>
    <w:rsid w:val="008545FC"/>
    <w:rsid w:val="00882896"/>
    <w:rsid w:val="00884861"/>
    <w:rsid w:val="008A4B4E"/>
    <w:rsid w:val="008B44B4"/>
    <w:rsid w:val="008C368D"/>
    <w:rsid w:val="008D0996"/>
    <w:rsid w:val="00911A74"/>
    <w:rsid w:val="00941F5F"/>
    <w:rsid w:val="00944BC1"/>
    <w:rsid w:val="009650C6"/>
    <w:rsid w:val="009809B8"/>
    <w:rsid w:val="009867F8"/>
    <w:rsid w:val="009906C8"/>
    <w:rsid w:val="009C4342"/>
    <w:rsid w:val="00A1432F"/>
    <w:rsid w:val="00A34AB1"/>
    <w:rsid w:val="00A53D88"/>
    <w:rsid w:val="00A62462"/>
    <w:rsid w:val="00A80013"/>
    <w:rsid w:val="00A91852"/>
    <w:rsid w:val="00AA5146"/>
    <w:rsid w:val="00AF0B45"/>
    <w:rsid w:val="00B0056B"/>
    <w:rsid w:val="00B24EF6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C86F22"/>
    <w:rsid w:val="00D2391E"/>
    <w:rsid w:val="00D25FBE"/>
    <w:rsid w:val="00D41EAC"/>
    <w:rsid w:val="00D71480"/>
    <w:rsid w:val="00D90E21"/>
    <w:rsid w:val="00D96AFA"/>
    <w:rsid w:val="00DA004F"/>
    <w:rsid w:val="00DD33A4"/>
    <w:rsid w:val="00DE58C7"/>
    <w:rsid w:val="00E25035"/>
    <w:rsid w:val="00E25622"/>
    <w:rsid w:val="00E54297"/>
    <w:rsid w:val="00E733DA"/>
    <w:rsid w:val="00ED6F85"/>
    <w:rsid w:val="00EE354A"/>
    <w:rsid w:val="00F73F39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chart" Target="charts/chart6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 ET</a:t>
            </a:r>
            <a:r>
              <a:rPr lang="en-US" baseline="0"/>
              <a:t>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5527892068583347E-2"/>
                  <c:y val="-0.221288518475900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tp2_donnees!$B$118:$B$145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6-474C-BCD2-523A1EEF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18896"/>
        <c:axId val="526279656"/>
      </c:scatterChart>
      <c:valAx>
        <c:axId val="47511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79656"/>
        <c:crosses val="autoZero"/>
        <c:crossBetween val="midCat"/>
      </c:valAx>
      <c:valAx>
        <c:axId val="5262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1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</a:t>
            </a:r>
            <a:r>
              <a:rPr lang="en-US" baseline="0"/>
              <a:t> ET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6701081951739761E-2"/>
                  <c:y val="-0.3056203803215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tp2_donnees!$D$118:$D$145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26-409E-B058-C1D09ED4D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835704"/>
        <c:axId val="525836360"/>
      </c:scatterChart>
      <c:valAx>
        <c:axId val="52583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6360"/>
        <c:crosses val="autoZero"/>
        <c:crossBetween val="midCat"/>
      </c:valAx>
      <c:valAx>
        <c:axId val="5258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5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181185615571009"/>
                  <c:y val="-0.27870506437391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tp2_donnees!$C$118:$C$145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A8-4C3C-B987-4B2B7F59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068784"/>
        <c:axId val="528070096"/>
      </c:scatterChart>
      <c:valAx>
        <c:axId val="52806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70096"/>
        <c:crosses val="autoZero"/>
        <c:crossBetween val="midCat"/>
      </c:valAx>
      <c:valAx>
        <c:axId val="5280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NOM</a:t>
            </a:r>
            <a:r>
              <a:rPr lang="en-CA" baseline="0"/>
              <a:t>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9.0537620297462817E-2"/>
                  <c:y val="-0.23530256432627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tp2_donnees!$B$147:$B$174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tp2_donnees!$C$147:$C$174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CD-4F6C-9AEE-F2AF4552C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240720"/>
        <c:axId val="465241376"/>
      </c:scatterChart>
      <c:valAx>
        <c:axId val="46524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1376"/>
        <c:crosses val="autoZero"/>
        <c:crossBetween val="midCat"/>
      </c:valAx>
      <c:valAx>
        <c:axId val="465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CAC</a:t>
            </a:r>
            <a:r>
              <a:rPr lang="en-CA" baseline="0"/>
              <a:t> et NEC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8274278215222"/>
                  <c:y val="-0.33365432852749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tp2_donnees!$D$147:$D$174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tp2_donnees!$E$147:$E$174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AC-453C-AFEC-88937BD1F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934504"/>
        <c:axId val="530934832"/>
      </c:scatterChart>
      <c:valAx>
        <c:axId val="530934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832"/>
        <c:crosses val="autoZero"/>
        <c:crossBetween val="midCat"/>
      </c:valAx>
      <c:valAx>
        <c:axId val="5309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49409448818888"/>
                  <c:y val="-0.283596891108833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tp2_donnees!$F$147:$F$174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tp2_donnees!$G$147:$G$174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54-4C24-8648-352A95AFF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798504"/>
        <c:axId val="531803424"/>
      </c:scatterChart>
      <c:valAx>
        <c:axId val="53179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03424"/>
        <c:crosses val="autoZero"/>
        <c:crossBetween val="midCat"/>
      </c:valAx>
      <c:valAx>
        <c:axId val="5318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98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72F9-2F51-454F-B2AE-EB20040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Lanctôt Julien</cp:lastModifiedBy>
  <cp:revision>85</cp:revision>
  <cp:lastPrinted>2020-11-17T16:03:00Z</cp:lastPrinted>
  <dcterms:created xsi:type="dcterms:W3CDTF">2020-11-03T15:46:00Z</dcterms:created>
  <dcterms:modified xsi:type="dcterms:W3CDTF">2020-11-18T16:19:00Z</dcterms:modified>
</cp:coreProperties>
</file>