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50" w:type="dxa"/>
        <w:tblLayout w:type="fixed"/>
        <w:tblCellMar>
          <w:left w:w="70" w:type="dxa"/>
          <w:right w:w="70" w:type="dxa"/>
        </w:tblCellMar>
        <w:tblLook w:val="0000" w:firstRow="0" w:lastRow="0" w:firstColumn="0" w:lastColumn="0" w:noHBand="0" w:noVBand="0"/>
      </w:tblPr>
      <w:tblGrid>
        <w:gridCol w:w="8010"/>
        <w:gridCol w:w="180"/>
        <w:gridCol w:w="1080"/>
        <w:gridCol w:w="180"/>
      </w:tblGrid>
      <w:tr w:rsidR="0066676A" w:rsidRPr="007607D2" w14:paraId="5466BC05" w14:textId="77777777" w:rsidTr="00D9660F">
        <w:trPr>
          <w:cantSplit/>
        </w:trPr>
        <w:tc>
          <w:tcPr>
            <w:tcW w:w="8010" w:type="dxa"/>
            <w:tcBorders>
              <w:bottom w:val="single" w:sz="4" w:space="0" w:color="auto"/>
            </w:tcBorders>
            <w:vAlign w:val="center"/>
          </w:tcPr>
          <w:p w14:paraId="21AEF67F" w14:textId="77777777" w:rsidR="0066676A" w:rsidRPr="000D42F0" w:rsidRDefault="0066676A" w:rsidP="006609BF">
            <w:pPr>
              <w:tabs>
                <w:tab w:val="left" w:pos="2520"/>
              </w:tabs>
              <w:suppressAutoHyphens/>
              <w:spacing w:after="120"/>
              <w:ind w:right="20"/>
              <w:jc w:val="center"/>
              <w:rPr>
                <w:rFonts w:ascii="Times New Roman" w:hAnsi="Times New Roman"/>
                <w:sz w:val="32"/>
              </w:rPr>
            </w:pPr>
            <w:r w:rsidRPr="000D42F0">
              <w:rPr>
                <w:rFonts w:ascii="Times New Roman" w:hAnsi="Times New Roman"/>
                <w:b/>
                <w:bCs/>
                <w:sz w:val="32"/>
              </w:rPr>
              <w:t xml:space="preserve">ANNEXE </w:t>
            </w:r>
            <w:r w:rsidR="00610209" w:rsidRPr="000D42F0">
              <w:rPr>
                <w:rFonts w:ascii="Times New Roman" w:hAnsi="Times New Roman"/>
                <w:b/>
                <w:bCs/>
                <w:sz w:val="32"/>
              </w:rPr>
              <w:t>4</w:t>
            </w:r>
          </w:p>
        </w:tc>
        <w:tc>
          <w:tcPr>
            <w:tcW w:w="180" w:type="dxa"/>
            <w:tcBorders>
              <w:left w:val="nil"/>
              <w:right w:val="single" w:sz="4" w:space="0" w:color="auto"/>
            </w:tcBorders>
          </w:tcPr>
          <w:p w14:paraId="50331DCF" w14:textId="77777777" w:rsidR="0066676A" w:rsidRPr="000D42F0" w:rsidRDefault="0066676A" w:rsidP="00FF0E9C">
            <w:pPr>
              <w:tabs>
                <w:tab w:val="left" w:pos="55"/>
              </w:tabs>
              <w:suppressAutoHyphens/>
              <w:ind w:left="2935" w:hanging="2935"/>
              <w:jc w:val="center"/>
              <w:rPr>
                <w:rFonts w:ascii="Times New Roman" w:hAnsi="Times New Roman"/>
                <w:sz w:val="18"/>
              </w:rPr>
            </w:pPr>
          </w:p>
        </w:tc>
        <w:tc>
          <w:tcPr>
            <w:tcW w:w="1260" w:type="dxa"/>
            <w:gridSpan w:val="2"/>
            <w:vMerge w:val="restart"/>
            <w:tcBorders>
              <w:top w:val="single" w:sz="4" w:space="0" w:color="auto"/>
              <w:left w:val="single" w:sz="4" w:space="0" w:color="auto"/>
              <w:bottom w:val="threeDEngrave" w:sz="24" w:space="0" w:color="auto"/>
              <w:right w:val="threeDEngrave" w:sz="24" w:space="0" w:color="auto"/>
            </w:tcBorders>
            <w:vAlign w:val="center"/>
          </w:tcPr>
          <w:p w14:paraId="540B6677" w14:textId="77777777" w:rsidR="0066676A" w:rsidRPr="000D42F0" w:rsidRDefault="00D9660F" w:rsidP="00FF0E9C">
            <w:pPr>
              <w:suppressAutoHyphens/>
              <w:jc w:val="center"/>
              <w:rPr>
                <w:rFonts w:ascii="Times New Roman" w:hAnsi="Times New Roman"/>
                <w:sz w:val="22"/>
              </w:rPr>
            </w:pPr>
            <w:r>
              <w:rPr>
                <w:rFonts w:ascii="Times New Roman" w:hAnsi="Times New Roman"/>
                <w:b/>
                <w:bCs/>
                <w:i/>
                <w:iCs/>
                <w:sz w:val="22"/>
              </w:rPr>
              <w:t>Attendre les instruction</w:t>
            </w:r>
            <w:r w:rsidR="0066676A" w:rsidRPr="000D42F0">
              <w:rPr>
                <w:rFonts w:ascii="Times New Roman" w:hAnsi="Times New Roman"/>
                <w:b/>
                <w:bCs/>
                <w:i/>
                <w:iCs/>
                <w:sz w:val="22"/>
              </w:rPr>
              <w:t>s</w:t>
            </w:r>
          </w:p>
        </w:tc>
      </w:tr>
      <w:tr w:rsidR="0066676A" w:rsidRPr="007607D2" w14:paraId="5CBB213A" w14:textId="77777777" w:rsidTr="00D9660F">
        <w:trPr>
          <w:cantSplit/>
          <w:trHeight w:val="442"/>
        </w:trPr>
        <w:tc>
          <w:tcPr>
            <w:tcW w:w="8010" w:type="dxa"/>
            <w:vMerge w:val="restart"/>
            <w:tcBorders>
              <w:top w:val="single" w:sz="4" w:space="0" w:color="auto"/>
              <w:bottom w:val="threeDEngrave" w:sz="24" w:space="0" w:color="auto"/>
            </w:tcBorders>
            <w:vAlign w:val="center"/>
          </w:tcPr>
          <w:p w14:paraId="0447EF07" w14:textId="77777777" w:rsidR="0066676A" w:rsidRPr="000D42F0" w:rsidRDefault="0066676A" w:rsidP="00E876F3">
            <w:pPr>
              <w:tabs>
                <w:tab w:val="left" w:pos="2880"/>
              </w:tabs>
              <w:suppressAutoHyphens/>
              <w:spacing w:after="120"/>
              <w:jc w:val="left"/>
              <w:rPr>
                <w:rFonts w:ascii="Times New Roman" w:hAnsi="Times New Roman"/>
                <w:sz w:val="28"/>
              </w:rPr>
            </w:pPr>
            <w:r w:rsidRPr="000D42F0">
              <w:rPr>
                <w:rFonts w:ascii="Times New Roman" w:hAnsi="Times New Roman"/>
                <w:b/>
                <w:bCs/>
                <w:sz w:val="28"/>
              </w:rPr>
              <w:t xml:space="preserve">DOSSIER </w:t>
            </w:r>
            <w:r w:rsidR="00E876F3">
              <w:rPr>
                <w:rFonts w:ascii="Times New Roman" w:hAnsi="Times New Roman"/>
                <w:b/>
                <w:bCs/>
                <w:sz w:val="28"/>
              </w:rPr>
              <w:t>BÉLANGER</w:t>
            </w:r>
            <w:r w:rsidRPr="000D42F0">
              <w:rPr>
                <w:rFonts w:ascii="Times New Roman" w:hAnsi="Times New Roman"/>
                <w:b/>
                <w:bCs/>
                <w:sz w:val="28"/>
              </w:rPr>
              <w:t> :</w:t>
            </w:r>
            <w:r w:rsidRPr="000D42F0">
              <w:rPr>
                <w:rFonts w:ascii="Times New Roman" w:hAnsi="Times New Roman"/>
                <w:sz w:val="28"/>
              </w:rPr>
              <w:t xml:space="preserve"> QUESTIONS</w:t>
            </w:r>
          </w:p>
        </w:tc>
        <w:tc>
          <w:tcPr>
            <w:tcW w:w="180" w:type="dxa"/>
            <w:vMerge w:val="restart"/>
            <w:tcBorders>
              <w:left w:val="nil"/>
              <w:right w:val="single" w:sz="4" w:space="0" w:color="auto"/>
            </w:tcBorders>
            <w:vAlign w:val="center"/>
          </w:tcPr>
          <w:p w14:paraId="56A97F89" w14:textId="77777777" w:rsidR="0066676A" w:rsidRPr="000D42F0" w:rsidRDefault="0066676A" w:rsidP="00FF0E9C">
            <w:pPr>
              <w:suppressAutoHyphens/>
              <w:rPr>
                <w:rFonts w:ascii="Times New Roman" w:hAnsi="Times New Roman"/>
              </w:rPr>
            </w:pPr>
          </w:p>
        </w:tc>
        <w:tc>
          <w:tcPr>
            <w:tcW w:w="1260" w:type="dxa"/>
            <w:gridSpan w:val="2"/>
            <w:vMerge/>
            <w:tcBorders>
              <w:top w:val="threeDEngrave" w:sz="24" w:space="0" w:color="auto"/>
              <w:left w:val="single" w:sz="4" w:space="0" w:color="auto"/>
              <w:bottom w:val="threeDEngrave" w:sz="24" w:space="0" w:color="auto"/>
              <w:right w:val="threeDEngrave" w:sz="24" w:space="0" w:color="auto"/>
            </w:tcBorders>
          </w:tcPr>
          <w:p w14:paraId="3F8E9A1D" w14:textId="77777777" w:rsidR="0066676A" w:rsidRPr="000D42F0" w:rsidRDefault="0066676A" w:rsidP="00FF0E9C">
            <w:pPr>
              <w:suppressAutoHyphens/>
              <w:jc w:val="center"/>
              <w:rPr>
                <w:rFonts w:ascii="Times New Roman" w:hAnsi="Times New Roman"/>
                <w:b/>
                <w:bCs/>
                <w:i/>
                <w:iCs/>
                <w:sz w:val="18"/>
              </w:rPr>
            </w:pPr>
          </w:p>
        </w:tc>
      </w:tr>
      <w:tr w:rsidR="0066676A" w:rsidRPr="007607D2" w14:paraId="465C4B93" w14:textId="77777777" w:rsidTr="00D9660F">
        <w:trPr>
          <w:cantSplit/>
          <w:trHeight w:val="207"/>
        </w:trPr>
        <w:tc>
          <w:tcPr>
            <w:tcW w:w="8010" w:type="dxa"/>
            <w:vMerge/>
            <w:tcBorders>
              <w:top w:val="threeDEngrave" w:sz="24" w:space="0" w:color="auto"/>
              <w:bottom w:val="threeDEngrave" w:sz="24" w:space="0" w:color="auto"/>
            </w:tcBorders>
          </w:tcPr>
          <w:p w14:paraId="11F68DFB" w14:textId="77777777" w:rsidR="0066676A" w:rsidRPr="000D42F0" w:rsidRDefault="0066676A" w:rsidP="00FF0E9C">
            <w:pPr>
              <w:suppressAutoHyphens/>
              <w:rPr>
                <w:rFonts w:ascii="Times New Roman" w:hAnsi="Times New Roman"/>
                <w:sz w:val="18"/>
              </w:rPr>
            </w:pPr>
          </w:p>
        </w:tc>
        <w:tc>
          <w:tcPr>
            <w:tcW w:w="180" w:type="dxa"/>
            <w:vMerge/>
            <w:tcBorders>
              <w:left w:val="nil"/>
              <w:right w:val="single" w:sz="4" w:space="0" w:color="auto"/>
            </w:tcBorders>
          </w:tcPr>
          <w:p w14:paraId="3AB19CD7" w14:textId="77777777" w:rsidR="0066676A" w:rsidRPr="000D42F0" w:rsidRDefault="0066676A" w:rsidP="00FF0E9C">
            <w:pPr>
              <w:suppressAutoHyphens/>
              <w:rPr>
                <w:rFonts w:ascii="Times New Roman" w:hAnsi="Times New Roman"/>
                <w:sz w:val="18"/>
              </w:rPr>
            </w:pPr>
          </w:p>
        </w:tc>
        <w:tc>
          <w:tcPr>
            <w:tcW w:w="1260" w:type="dxa"/>
            <w:gridSpan w:val="2"/>
            <w:vMerge/>
            <w:tcBorders>
              <w:top w:val="threeDEngrave" w:sz="24" w:space="0" w:color="auto"/>
              <w:left w:val="single" w:sz="4" w:space="0" w:color="auto"/>
              <w:bottom w:val="threeDEngrave" w:sz="24" w:space="0" w:color="auto"/>
              <w:right w:val="threeDEngrave" w:sz="24" w:space="0" w:color="auto"/>
            </w:tcBorders>
          </w:tcPr>
          <w:p w14:paraId="4ADAC8F5" w14:textId="77777777" w:rsidR="0066676A" w:rsidRPr="000D42F0" w:rsidRDefault="0066676A" w:rsidP="00FF0E9C">
            <w:pPr>
              <w:suppressAutoHyphens/>
              <w:jc w:val="center"/>
              <w:rPr>
                <w:rFonts w:ascii="Times New Roman" w:hAnsi="Times New Roman"/>
                <w:b/>
                <w:bCs/>
                <w:i/>
                <w:iCs/>
                <w:sz w:val="18"/>
              </w:rPr>
            </w:pPr>
          </w:p>
        </w:tc>
      </w:tr>
      <w:tr w:rsidR="0066676A" w:rsidRPr="007607D2" w14:paraId="6C8FF170" w14:textId="77777777" w:rsidTr="00D9660F">
        <w:trPr>
          <w:gridAfter w:val="1"/>
          <w:wAfter w:w="180" w:type="dxa"/>
          <w:cantSplit/>
          <w:trHeight w:val="207"/>
        </w:trPr>
        <w:tc>
          <w:tcPr>
            <w:tcW w:w="8010" w:type="dxa"/>
            <w:tcBorders>
              <w:top w:val="threeDEngrave" w:sz="24" w:space="0" w:color="auto"/>
            </w:tcBorders>
          </w:tcPr>
          <w:p w14:paraId="5DCC27CF" w14:textId="77777777" w:rsidR="0066676A" w:rsidRPr="000D42F0" w:rsidRDefault="0066676A" w:rsidP="00FF0E9C">
            <w:pPr>
              <w:tabs>
                <w:tab w:val="left" w:pos="2520"/>
              </w:tabs>
              <w:suppressAutoHyphens/>
              <w:jc w:val="left"/>
              <w:rPr>
                <w:rFonts w:ascii="Times New Roman" w:hAnsi="Times New Roman"/>
                <w:sz w:val="18"/>
              </w:rPr>
            </w:pPr>
          </w:p>
        </w:tc>
        <w:tc>
          <w:tcPr>
            <w:tcW w:w="180" w:type="dxa"/>
            <w:tcBorders>
              <w:left w:val="nil"/>
            </w:tcBorders>
          </w:tcPr>
          <w:p w14:paraId="7C200F21" w14:textId="77777777" w:rsidR="0066676A" w:rsidRPr="000D42F0" w:rsidRDefault="0066676A" w:rsidP="00FF0E9C">
            <w:pPr>
              <w:suppressAutoHyphens/>
              <w:rPr>
                <w:rFonts w:ascii="Times New Roman" w:hAnsi="Times New Roman"/>
                <w:sz w:val="18"/>
              </w:rPr>
            </w:pPr>
          </w:p>
        </w:tc>
        <w:tc>
          <w:tcPr>
            <w:tcW w:w="1080" w:type="dxa"/>
            <w:tcBorders>
              <w:top w:val="threeDEngrave" w:sz="24" w:space="0" w:color="auto"/>
            </w:tcBorders>
          </w:tcPr>
          <w:p w14:paraId="74F16A82" w14:textId="77777777" w:rsidR="0066676A" w:rsidRPr="000D42F0" w:rsidRDefault="0066676A" w:rsidP="00FF0E9C">
            <w:pPr>
              <w:suppressAutoHyphens/>
              <w:ind w:right="110"/>
              <w:jc w:val="center"/>
              <w:rPr>
                <w:rFonts w:ascii="Times New Roman" w:hAnsi="Times New Roman"/>
                <w:b/>
                <w:bCs/>
                <w:i/>
                <w:iCs/>
                <w:sz w:val="18"/>
              </w:rPr>
            </w:pPr>
          </w:p>
        </w:tc>
      </w:tr>
    </w:tbl>
    <w:p w14:paraId="7618F52A" w14:textId="77777777" w:rsidR="004F6BBC" w:rsidRPr="004F6BBC" w:rsidRDefault="004F6BBC" w:rsidP="004F6BBC">
      <w:pPr>
        <w:suppressAutoHyphens/>
        <w:rPr>
          <w:rFonts w:ascii="Times New Roman" w:hAnsi="Times New Roman"/>
        </w:rPr>
      </w:pPr>
      <w:r w:rsidRPr="004F6BBC">
        <w:rPr>
          <w:rFonts w:ascii="Times New Roman" w:hAnsi="Times New Roman"/>
        </w:rPr>
        <w:t>ANNEXE 3</w:t>
      </w:r>
    </w:p>
    <w:p w14:paraId="36823A1B" w14:textId="77777777" w:rsidR="004F6BBC" w:rsidRPr="004F6BBC" w:rsidRDefault="004F6BBC" w:rsidP="004F6BBC">
      <w:pPr>
        <w:suppressAutoHyphens/>
        <w:rPr>
          <w:rFonts w:ascii="Times New Roman" w:hAnsi="Times New Roman"/>
        </w:rPr>
      </w:pPr>
    </w:p>
    <w:p w14:paraId="587C91B0" w14:textId="77777777" w:rsidR="004F6BBC" w:rsidRPr="004F6BBC" w:rsidRDefault="004F6BBC" w:rsidP="004F6BBC">
      <w:pPr>
        <w:suppressAutoHyphens/>
        <w:rPr>
          <w:rFonts w:ascii="Times New Roman" w:hAnsi="Times New Roman"/>
        </w:rPr>
      </w:pPr>
      <w:r w:rsidRPr="004F6BBC">
        <w:rPr>
          <w:rFonts w:ascii="Times New Roman" w:hAnsi="Times New Roman"/>
        </w:rPr>
        <w:t>DOSSIER BÉLANGER : RÉSUMÉS DES FAITS</w:t>
      </w:r>
    </w:p>
    <w:p w14:paraId="743AFC01" w14:textId="77777777" w:rsidR="004F6BBC" w:rsidRPr="004F6BBC" w:rsidRDefault="004F6BBC" w:rsidP="004F6BBC">
      <w:pPr>
        <w:suppressAutoHyphens/>
        <w:rPr>
          <w:rFonts w:ascii="Times New Roman" w:hAnsi="Times New Roman"/>
        </w:rPr>
      </w:pPr>
    </w:p>
    <w:p w14:paraId="15E2B80A" w14:textId="77777777" w:rsidR="004F6BBC" w:rsidRPr="004F6BBC" w:rsidRDefault="004F6BBC" w:rsidP="004F6BBC">
      <w:pPr>
        <w:suppressAutoHyphens/>
        <w:rPr>
          <w:rFonts w:ascii="Times New Roman" w:hAnsi="Times New Roman"/>
        </w:rPr>
      </w:pPr>
      <w:r w:rsidRPr="004F6BBC">
        <w:rPr>
          <w:rFonts w:ascii="Times New Roman" w:hAnsi="Times New Roman"/>
        </w:rPr>
        <w:t xml:space="preserve">Nadia </w:t>
      </w:r>
      <w:proofErr w:type="spellStart"/>
      <w:r w:rsidRPr="004F6BBC">
        <w:rPr>
          <w:rFonts w:ascii="Times New Roman" w:hAnsi="Times New Roman"/>
        </w:rPr>
        <w:t>Boudrias</w:t>
      </w:r>
      <w:proofErr w:type="spellEnd"/>
      <w:r w:rsidRPr="004F6BBC">
        <w:rPr>
          <w:rFonts w:ascii="Times New Roman" w:hAnsi="Times New Roman"/>
        </w:rPr>
        <w:t xml:space="preserve"> et Claude Bélanger se sont </w:t>
      </w:r>
      <w:r w:rsidRPr="001F61B6">
        <w:rPr>
          <w:rFonts w:ascii="Times New Roman" w:hAnsi="Times New Roman"/>
          <w:highlight w:val="cyan"/>
        </w:rPr>
        <w:t>mariés le 30 août 1999</w:t>
      </w:r>
      <w:r w:rsidRPr="004F6BBC">
        <w:rPr>
          <w:rFonts w:ascii="Times New Roman" w:hAnsi="Times New Roman"/>
        </w:rPr>
        <w:t xml:space="preserve">, ayant fait précéder leur union d’un </w:t>
      </w:r>
      <w:r w:rsidRPr="001F61B6">
        <w:rPr>
          <w:rFonts w:ascii="Times New Roman" w:hAnsi="Times New Roman"/>
          <w:highlight w:val="cyan"/>
        </w:rPr>
        <w:t>contrat de mariage en séparation de biens</w:t>
      </w:r>
      <w:r w:rsidRPr="004F6BBC">
        <w:rPr>
          <w:rFonts w:ascii="Times New Roman" w:hAnsi="Times New Roman"/>
        </w:rPr>
        <w:t xml:space="preserve">. </w:t>
      </w:r>
      <w:r w:rsidRPr="001F61B6">
        <w:rPr>
          <w:rFonts w:ascii="Times New Roman" w:hAnsi="Times New Roman"/>
          <w:highlight w:val="cyan"/>
        </w:rPr>
        <w:t>Trois</w:t>
      </w:r>
      <w:r w:rsidRPr="004F6BBC">
        <w:rPr>
          <w:rFonts w:ascii="Times New Roman" w:hAnsi="Times New Roman"/>
        </w:rPr>
        <w:t xml:space="preserve"> enfants sont nés de leur union : Charlotte, née le 13 février 2003, qui a débuté des études universitaires en génie en septembre 2022; </w:t>
      </w:r>
      <w:proofErr w:type="spellStart"/>
      <w:r w:rsidRPr="004F6BBC">
        <w:rPr>
          <w:rFonts w:ascii="Times New Roman" w:hAnsi="Times New Roman"/>
        </w:rPr>
        <w:t>Émilio</w:t>
      </w:r>
      <w:proofErr w:type="spellEnd"/>
      <w:r w:rsidRPr="004F6BBC">
        <w:rPr>
          <w:rFonts w:ascii="Times New Roman" w:hAnsi="Times New Roman"/>
        </w:rPr>
        <w:t>, né le 8 août 2006, qui poursuit sa cinquième année de secondaire au Collège Notre-Dame, et Adam, né le 25 novembre 2007, qui est inscrit au programme sport-étude de l’École secondaire Jean-Vanier.</w:t>
      </w:r>
    </w:p>
    <w:p w14:paraId="35BB0CE8" w14:textId="77777777" w:rsidR="004F6BBC" w:rsidRPr="004F6BBC" w:rsidRDefault="004F6BBC" w:rsidP="004F6BBC">
      <w:pPr>
        <w:suppressAutoHyphens/>
        <w:rPr>
          <w:rFonts w:ascii="Times New Roman" w:hAnsi="Times New Roman"/>
        </w:rPr>
      </w:pPr>
    </w:p>
    <w:p w14:paraId="63EAFFBD" w14:textId="77777777" w:rsidR="004F6BBC" w:rsidRPr="004F6BBC" w:rsidRDefault="004F6BBC" w:rsidP="004F6BBC">
      <w:pPr>
        <w:suppressAutoHyphens/>
        <w:rPr>
          <w:rFonts w:ascii="Times New Roman" w:hAnsi="Times New Roman"/>
        </w:rPr>
      </w:pPr>
      <w:r w:rsidRPr="008B6719">
        <w:rPr>
          <w:rFonts w:ascii="Times New Roman" w:hAnsi="Times New Roman"/>
          <w:highlight w:val="yellow"/>
        </w:rPr>
        <w:t>Nadia</w:t>
      </w:r>
      <w:r w:rsidRPr="004F6BBC">
        <w:rPr>
          <w:rFonts w:ascii="Times New Roman" w:hAnsi="Times New Roman"/>
        </w:rPr>
        <w:t xml:space="preserve"> travaille </w:t>
      </w:r>
      <w:r w:rsidRPr="008B6719">
        <w:rPr>
          <w:rFonts w:ascii="Times New Roman" w:hAnsi="Times New Roman"/>
          <w:color w:val="000000" w:themeColor="text1"/>
        </w:rPr>
        <w:t xml:space="preserve">comme adjointe à la direction pour la société de transport Charrier </w:t>
      </w:r>
      <w:r w:rsidRPr="004F6BBC">
        <w:rPr>
          <w:rFonts w:ascii="Times New Roman" w:hAnsi="Times New Roman"/>
        </w:rPr>
        <w:t xml:space="preserve">inc. et elle a un </w:t>
      </w:r>
      <w:r w:rsidRPr="00B547C4">
        <w:rPr>
          <w:rFonts w:ascii="Times New Roman" w:hAnsi="Times New Roman"/>
          <w:highlight w:val="cyan"/>
        </w:rPr>
        <w:t>revenu brut de 78 600,00 $ par année</w:t>
      </w:r>
      <w:r w:rsidRPr="004F6BBC">
        <w:rPr>
          <w:rFonts w:ascii="Times New Roman" w:hAnsi="Times New Roman"/>
        </w:rPr>
        <w:t xml:space="preserve">. Elle </w:t>
      </w:r>
      <w:r w:rsidRPr="00B547C4">
        <w:rPr>
          <w:rFonts w:ascii="Times New Roman" w:hAnsi="Times New Roman"/>
          <w:u w:val="single"/>
        </w:rPr>
        <w:t>ne paie aucune cotisation syndicale ou professionnelle</w:t>
      </w:r>
      <w:r w:rsidRPr="004F6BBC">
        <w:rPr>
          <w:rFonts w:ascii="Times New Roman" w:hAnsi="Times New Roman"/>
        </w:rPr>
        <w:t xml:space="preserve">. Par contre, elle reçoit des </w:t>
      </w:r>
      <w:r w:rsidRPr="00B547C4">
        <w:rPr>
          <w:rFonts w:ascii="Times New Roman" w:hAnsi="Times New Roman"/>
          <w:highlight w:val="cyan"/>
        </w:rPr>
        <w:t>allocations canadiennes pour enfants de 175,18 $ par mois</w:t>
      </w:r>
      <w:r w:rsidRPr="004F6BBC">
        <w:rPr>
          <w:rFonts w:ascii="Times New Roman" w:hAnsi="Times New Roman"/>
        </w:rPr>
        <w:t xml:space="preserve">. </w:t>
      </w:r>
      <w:r w:rsidRPr="008B6719">
        <w:rPr>
          <w:rFonts w:ascii="Times New Roman" w:hAnsi="Times New Roman"/>
          <w:highlight w:val="yellow"/>
        </w:rPr>
        <w:t>Claude</w:t>
      </w:r>
      <w:r w:rsidRPr="004F6BBC">
        <w:rPr>
          <w:rFonts w:ascii="Times New Roman" w:hAnsi="Times New Roman"/>
        </w:rPr>
        <w:t xml:space="preserve">, quant à lui, est </w:t>
      </w:r>
      <w:r w:rsidRPr="008B6719">
        <w:rPr>
          <w:rFonts w:ascii="Times New Roman" w:hAnsi="Times New Roman"/>
          <w:color w:val="000000" w:themeColor="text1"/>
        </w:rPr>
        <w:t xml:space="preserve">architecte à </w:t>
      </w:r>
      <w:r w:rsidRPr="004F6BBC">
        <w:rPr>
          <w:rFonts w:ascii="Times New Roman" w:hAnsi="Times New Roman"/>
        </w:rPr>
        <w:t xml:space="preserve">l’emploi de la firme de consultants Nous Construisons inc. et gagne un revenu </w:t>
      </w:r>
      <w:r w:rsidRPr="006F462C">
        <w:rPr>
          <w:rFonts w:ascii="Times New Roman" w:hAnsi="Times New Roman"/>
          <w:highlight w:val="cyan"/>
        </w:rPr>
        <w:t>brut annuel de 173 000,00 $.</w:t>
      </w:r>
      <w:r w:rsidRPr="004F6BBC">
        <w:rPr>
          <w:rFonts w:ascii="Times New Roman" w:hAnsi="Times New Roman"/>
        </w:rPr>
        <w:t xml:space="preserve"> Il </w:t>
      </w:r>
      <w:r w:rsidRPr="001321A7">
        <w:rPr>
          <w:rFonts w:ascii="Times New Roman" w:hAnsi="Times New Roman"/>
          <w:color w:val="FF0000"/>
        </w:rPr>
        <w:t>paie des cotisations professionnelles de 1 265,00 $ par année</w:t>
      </w:r>
      <w:r w:rsidRPr="004F6BBC">
        <w:rPr>
          <w:rFonts w:ascii="Times New Roman" w:hAnsi="Times New Roman"/>
        </w:rPr>
        <w:t>.</w:t>
      </w:r>
    </w:p>
    <w:p w14:paraId="4961DF3C" w14:textId="77777777" w:rsidR="004F6BBC" w:rsidRPr="004F6BBC" w:rsidRDefault="004F6BBC" w:rsidP="004F6BBC">
      <w:pPr>
        <w:suppressAutoHyphens/>
        <w:rPr>
          <w:rFonts w:ascii="Times New Roman" w:hAnsi="Times New Roman"/>
        </w:rPr>
      </w:pPr>
    </w:p>
    <w:p w14:paraId="4ABDD803" w14:textId="5F718575" w:rsidR="004F6BBC" w:rsidRPr="004F6BBC" w:rsidRDefault="004F6BBC" w:rsidP="004F6BBC">
      <w:pPr>
        <w:suppressAutoHyphens/>
        <w:rPr>
          <w:rFonts w:ascii="Times New Roman" w:hAnsi="Times New Roman"/>
        </w:rPr>
      </w:pPr>
      <w:r w:rsidRPr="004F6BBC">
        <w:rPr>
          <w:rFonts w:ascii="Times New Roman" w:hAnsi="Times New Roman"/>
        </w:rPr>
        <w:t xml:space="preserve">Cette année, Charlotte fréquente l’Université de Montréal et il est à prévoir qu’il en coûtera une somme d’environ </w:t>
      </w:r>
      <w:r w:rsidRPr="001321A7">
        <w:rPr>
          <w:rFonts w:ascii="Times New Roman" w:hAnsi="Times New Roman"/>
          <w:highlight w:val="cyan"/>
        </w:rPr>
        <w:t>6 000,00 $</w:t>
      </w:r>
      <w:r w:rsidRPr="004F6BBC">
        <w:rPr>
          <w:rFonts w:ascii="Times New Roman" w:hAnsi="Times New Roman"/>
        </w:rPr>
        <w:t xml:space="preserve"> pour couvrir ses frais de scolarité et ses livres. Elle a obtenu une </w:t>
      </w:r>
      <w:r w:rsidRPr="001321A7">
        <w:rPr>
          <w:rFonts w:ascii="Times New Roman" w:hAnsi="Times New Roman"/>
          <w:color w:val="FF0000"/>
        </w:rPr>
        <w:t xml:space="preserve">bourse de 1 700,00 $ </w:t>
      </w:r>
      <w:r w:rsidRPr="004F6BBC">
        <w:rPr>
          <w:rFonts w:ascii="Times New Roman" w:hAnsi="Times New Roman"/>
        </w:rPr>
        <w:t xml:space="preserve">du ministère de l’Éducation, mais elle n’a pas travaillé à l’été 2022, car elle a effectué un voyage humanitaire de deux mois au Mexique, ce que ses deux parents avaient fortement encouragé. </w:t>
      </w:r>
      <w:proofErr w:type="spellStart"/>
      <w:r w:rsidRPr="004F6BBC">
        <w:rPr>
          <w:rFonts w:ascii="Times New Roman" w:hAnsi="Times New Roman"/>
        </w:rPr>
        <w:t>Émilio</w:t>
      </w:r>
      <w:proofErr w:type="spellEnd"/>
      <w:r w:rsidRPr="004F6BBC">
        <w:rPr>
          <w:rFonts w:ascii="Times New Roman" w:hAnsi="Times New Roman"/>
        </w:rPr>
        <w:t xml:space="preserve"> est en cinquième année du secondaire au Collège Notre-Dame et il en </w:t>
      </w:r>
      <w:r w:rsidRPr="00697798">
        <w:rPr>
          <w:rFonts w:ascii="Times New Roman" w:hAnsi="Times New Roman"/>
          <w:highlight w:val="cyan"/>
        </w:rPr>
        <w:t>coûte 4 650,00 $ par an pour ses frais.</w:t>
      </w:r>
      <w:r w:rsidRPr="004F6BBC">
        <w:rPr>
          <w:rFonts w:ascii="Times New Roman" w:hAnsi="Times New Roman"/>
        </w:rPr>
        <w:t xml:space="preserve"> Quant à Adam, il est un des espoirs du Québec en tennis. Il pratique ce sport depuis trois ans et, depuis deux ans, il s’entraîne intensivement avec un entraîneur privé. Cette année, il est inscrit au </w:t>
      </w:r>
      <w:r w:rsidRPr="00687EB6">
        <w:rPr>
          <w:rFonts w:ascii="Times New Roman" w:hAnsi="Times New Roman"/>
          <w:color w:val="000000" w:themeColor="text1"/>
          <w:highlight w:val="cyan"/>
        </w:rPr>
        <w:t>programme sport-étude et il en coûtera environ 7</w:t>
      </w:r>
      <w:r w:rsidR="007E2A18" w:rsidRPr="00687EB6">
        <w:rPr>
          <w:rFonts w:ascii="Times New Roman" w:hAnsi="Times New Roman"/>
          <w:color w:val="000000" w:themeColor="text1"/>
          <w:highlight w:val="cyan"/>
        </w:rPr>
        <w:t> </w:t>
      </w:r>
      <w:r w:rsidRPr="00687EB6">
        <w:rPr>
          <w:rFonts w:ascii="Times New Roman" w:hAnsi="Times New Roman"/>
          <w:color w:val="000000" w:themeColor="text1"/>
          <w:highlight w:val="cyan"/>
        </w:rPr>
        <w:t>200,00 $</w:t>
      </w:r>
      <w:r w:rsidRPr="003E3479">
        <w:rPr>
          <w:rFonts w:ascii="Times New Roman" w:hAnsi="Times New Roman"/>
          <w:color w:val="FF0000"/>
        </w:rPr>
        <w:t xml:space="preserve"> </w:t>
      </w:r>
      <w:r w:rsidRPr="004F6BBC">
        <w:rPr>
          <w:rFonts w:ascii="Times New Roman" w:hAnsi="Times New Roman"/>
        </w:rPr>
        <w:t>à ses parents pour cet entraînement.</w:t>
      </w:r>
    </w:p>
    <w:p w14:paraId="7014D569" w14:textId="77777777" w:rsidR="004F6BBC" w:rsidRPr="004F6BBC" w:rsidRDefault="004F6BBC" w:rsidP="004F6BBC">
      <w:pPr>
        <w:suppressAutoHyphens/>
        <w:rPr>
          <w:rFonts w:ascii="Times New Roman" w:hAnsi="Times New Roman"/>
        </w:rPr>
      </w:pPr>
    </w:p>
    <w:p w14:paraId="6A4C13AE" w14:textId="77777777" w:rsidR="004F6BBC" w:rsidRPr="004F6BBC" w:rsidRDefault="004F6BBC" w:rsidP="004F6BBC">
      <w:pPr>
        <w:suppressAutoHyphens/>
        <w:rPr>
          <w:rFonts w:ascii="Times New Roman" w:hAnsi="Times New Roman"/>
        </w:rPr>
      </w:pPr>
      <w:r w:rsidRPr="008B6719">
        <w:rPr>
          <w:rFonts w:ascii="Times New Roman" w:hAnsi="Times New Roman"/>
          <w:highlight w:val="yellow"/>
        </w:rPr>
        <w:t>Claude</w:t>
      </w:r>
      <w:r w:rsidRPr="004F6BBC">
        <w:rPr>
          <w:rFonts w:ascii="Times New Roman" w:hAnsi="Times New Roman"/>
        </w:rPr>
        <w:t xml:space="preserve"> possède les éléments d’actif et le passif suivants : la résidence familiale d’une valeur de </w:t>
      </w:r>
      <w:r w:rsidRPr="001965B4">
        <w:rPr>
          <w:rFonts w:ascii="Times New Roman" w:hAnsi="Times New Roman"/>
          <w:highlight w:val="cyan"/>
        </w:rPr>
        <w:t>750 000,00 $,</w:t>
      </w:r>
      <w:r w:rsidRPr="004F6BBC">
        <w:rPr>
          <w:rFonts w:ascii="Times New Roman" w:hAnsi="Times New Roman"/>
        </w:rPr>
        <w:t xml:space="preserve"> grevée d’une </w:t>
      </w:r>
      <w:r w:rsidRPr="001965B4">
        <w:rPr>
          <w:rFonts w:ascii="Times New Roman" w:hAnsi="Times New Roman"/>
          <w:color w:val="FF0000"/>
        </w:rPr>
        <w:t xml:space="preserve">hypothèque de 158 000,00 $; </w:t>
      </w:r>
      <w:r w:rsidRPr="004F6BBC">
        <w:rPr>
          <w:rFonts w:ascii="Times New Roman" w:hAnsi="Times New Roman"/>
        </w:rPr>
        <w:t xml:space="preserve">une marge de crédit pour dettes diverses d’un montant de </w:t>
      </w:r>
      <w:r w:rsidRPr="00410859">
        <w:rPr>
          <w:rFonts w:ascii="Times New Roman" w:hAnsi="Times New Roman"/>
          <w:color w:val="FF0000"/>
        </w:rPr>
        <w:t xml:space="preserve">26 000,00 $; </w:t>
      </w:r>
      <w:r w:rsidRPr="004F6BBC">
        <w:rPr>
          <w:rFonts w:ascii="Times New Roman" w:hAnsi="Times New Roman"/>
        </w:rPr>
        <w:t xml:space="preserve">une voiture Honda Accord 2019 d’une valeur de </w:t>
      </w:r>
      <w:r w:rsidRPr="00410859">
        <w:rPr>
          <w:rFonts w:ascii="Times New Roman" w:hAnsi="Times New Roman"/>
          <w:highlight w:val="cyan"/>
        </w:rPr>
        <w:t>20 000,00 $;</w:t>
      </w:r>
      <w:r w:rsidRPr="004F6BBC">
        <w:rPr>
          <w:rFonts w:ascii="Times New Roman" w:hAnsi="Times New Roman"/>
        </w:rPr>
        <w:t xml:space="preserve"> un </w:t>
      </w:r>
      <w:r w:rsidRPr="00410859">
        <w:rPr>
          <w:rFonts w:ascii="Times New Roman" w:hAnsi="Times New Roman"/>
          <w:highlight w:val="cyan"/>
        </w:rPr>
        <w:t>REER de 54 000,00 $.</w:t>
      </w:r>
    </w:p>
    <w:p w14:paraId="039BE1D7" w14:textId="77777777" w:rsidR="004F6BBC" w:rsidRPr="004F6BBC" w:rsidRDefault="004F6BBC" w:rsidP="004F6BBC">
      <w:pPr>
        <w:suppressAutoHyphens/>
        <w:rPr>
          <w:rFonts w:ascii="Times New Roman" w:hAnsi="Times New Roman"/>
        </w:rPr>
      </w:pPr>
    </w:p>
    <w:p w14:paraId="0E33B09A" w14:textId="77777777" w:rsidR="004F6BBC" w:rsidRPr="004F6BBC" w:rsidRDefault="004F6BBC" w:rsidP="004F6BBC">
      <w:pPr>
        <w:suppressAutoHyphens/>
        <w:rPr>
          <w:rFonts w:ascii="Times New Roman" w:hAnsi="Times New Roman"/>
        </w:rPr>
      </w:pPr>
      <w:r w:rsidRPr="005B0A03">
        <w:rPr>
          <w:rFonts w:ascii="Times New Roman" w:hAnsi="Times New Roman"/>
          <w:highlight w:val="yellow"/>
        </w:rPr>
        <w:t>Nadia</w:t>
      </w:r>
      <w:r w:rsidRPr="004F6BBC">
        <w:rPr>
          <w:rFonts w:ascii="Times New Roman" w:hAnsi="Times New Roman"/>
        </w:rPr>
        <w:t xml:space="preserve"> </w:t>
      </w:r>
      <w:proofErr w:type="spellStart"/>
      <w:r w:rsidRPr="004F6BBC">
        <w:rPr>
          <w:rFonts w:ascii="Times New Roman" w:hAnsi="Times New Roman"/>
        </w:rPr>
        <w:t>Boudrias</w:t>
      </w:r>
      <w:proofErr w:type="spellEnd"/>
      <w:r w:rsidRPr="004F6BBC">
        <w:rPr>
          <w:rFonts w:ascii="Times New Roman" w:hAnsi="Times New Roman"/>
        </w:rPr>
        <w:t xml:space="preserve"> possède les meubles meublant la résidence familiale, valant </w:t>
      </w:r>
      <w:r w:rsidRPr="00F66EAA">
        <w:rPr>
          <w:rFonts w:ascii="Times New Roman" w:hAnsi="Times New Roman"/>
          <w:highlight w:val="cyan"/>
        </w:rPr>
        <w:t>32 000,00 $,</w:t>
      </w:r>
      <w:r w:rsidRPr="004F6BBC">
        <w:rPr>
          <w:rFonts w:ascii="Times New Roman" w:hAnsi="Times New Roman"/>
        </w:rPr>
        <w:t xml:space="preserve"> et un appartement en copropriété (condominium) en Floride </w:t>
      </w:r>
      <w:r w:rsidRPr="00F66EAA">
        <w:rPr>
          <w:rFonts w:ascii="Times New Roman" w:hAnsi="Times New Roman"/>
          <w:highlight w:val="cyan"/>
        </w:rPr>
        <w:t>valant 375 000,00 $,</w:t>
      </w:r>
      <w:r w:rsidRPr="004F6BBC">
        <w:rPr>
          <w:rFonts w:ascii="Times New Roman" w:hAnsi="Times New Roman"/>
        </w:rPr>
        <w:t xml:space="preserve"> appartement dont elle </w:t>
      </w:r>
      <w:r w:rsidRPr="00F66EAA">
        <w:rPr>
          <w:rFonts w:ascii="Times New Roman" w:hAnsi="Times New Roman"/>
          <w:color w:val="FF0000"/>
        </w:rPr>
        <w:t>a hérité de sa mère</w:t>
      </w:r>
      <w:r w:rsidRPr="004F6BBC">
        <w:rPr>
          <w:rFonts w:ascii="Times New Roman" w:hAnsi="Times New Roman"/>
        </w:rPr>
        <w:t>.</w:t>
      </w:r>
    </w:p>
    <w:p w14:paraId="700ABFF6" w14:textId="77777777" w:rsidR="004F6BBC" w:rsidRPr="004F6BBC" w:rsidRDefault="004F6BBC" w:rsidP="004F6BBC">
      <w:pPr>
        <w:suppressAutoHyphens/>
        <w:rPr>
          <w:rFonts w:ascii="Times New Roman" w:hAnsi="Times New Roman"/>
        </w:rPr>
      </w:pPr>
    </w:p>
    <w:p w14:paraId="67732D29" w14:textId="77777777" w:rsidR="004F6BBC" w:rsidRPr="004F6BBC" w:rsidRDefault="004F6BBC" w:rsidP="004F6BBC">
      <w:pPr>
        <w:suppressAutoHyphens/>
        <w:rPr>
          <w:rFonts w:ascii="Times New Roman" w:hAnsi="Times New Roman"/>
        </w:rPr>
      </w:pPr>
      <w:r w:rsidRPr="004F6BBC">
        <w:rPr>
          <w:rFonts w:ascii="Times New Roman" w:hAnsi="Times New Roman"/>
        </w:rPr>
        <w:t>La relation entre les parties s’est grandement détériorée au cours de la dernière année. Nadia a informé Claude qu’elle voulait se séparer et qu’à défaut d’entente, elle entreprendrait des procédures de divorce prochainement.</w:t>
      </w:r>
      <w:r w:rsidRPr="00BD6874">
        <w:rPr>
          <w:rFonts w:ascii="Times New Roman" w:hAnsi="Times New Roman"/>
          <w:color w:val="FF0000"/>
        </w:rPr>
        <w:t xml:space="preserve"> Elle a informé Claude que les trois enfants désirent continuer d’habiter avec elle dans le domicile familial qu’elle lui demande de quitter dans les meilleurs délais. </w:t>
      </w:r>
      <w:r w:rsidRPr="004F6BBC">
        <w:rPr>
          <w:rFonts w:ascii="Times New Roman" w:hAnsi="Times New Roman"/>
        </w:rPr>
        <w:t xml:space="preserve">Les trois enfants </w:t>
      </w:r>
      <w:r w:rsidRPr="005B782A">
        <w:rPr>
          <w:rFonts w:ascii="Times New Roman" w:hAnsi="Times New Roman"/>
          <w:highlight w:val="cyan"/>
        </w:rPr>
        <w:t>verront leur père 70 jours par an</w:t>
      </w:r>
      <w:r w:rsidRPr="004F6BBC">
        <w:rPr>
          <w:rFonts w:ascii="Times New Roman" w:hAnsi="Times New Roman"/>
        </w:rPr>
        <w:t xml:space="preserve">, et </w:t>
      </w:r>
      <w:r w:rsidRPr="005B782A">
        <w:rPr>
          <w:rFonts w:ascii="Times New Roman" w:hAnsi="Times New Roman"/>
          <w:highlight w:val="yellow"/>
        </w:rPr>
        <w:t>leur mère paiera pour toutes leurs dépenses avec la pension alimentaire que versera le père</w:t>
      </w:r>
      <w:r w:rsidRPr="004F6BBC">
        <w:rPr>
          <w:rFonts w:ascii="Times New Roman" w:hAnsi="Times New Roman"/>
        </w:rPr>
        <w:t>. Les deux parents acceptent que les enfants continuent à fréquenter l’université, le collège et à jouer au tennis.</w:t>
      </w:r>
    </w:p>
    <w:p w14:paraId="48987435" w14:textId="77777777" w:rsidR="004F6BBC" w:rsidRPr="004F6BBC" w:rsidRDefault="004F6BBC" w:rsidP="004F6BBC">
      <w:pPr>
        <w:suppressAutoHyphens/>
        <w:rPr>
          <w:rFonts w:ascii="Times New Roman" w:hAnsi="Times New Roman"/>
        </w:rPr>
      </w:pPr>
    </w:p>
    <w:p w14:paraId="692E4B66" w14:textId="200069F0" w:rsidR="0066676A" w:rsidRDefault="004F6BBC" w:rsidP="004F6BBC">
      <w:pPr>
        <w:suppressAutoHyphens/>
        <w:rPr>
          <w:rFonts w:ascii="Times New Roman" w:hAnsi="Times New Roman"/>
        </w:rPr>
      </w:pPr>
      <w:r w:rsidRPr="004F6BBC">
        <w:rPr>
          <w:rFonts w:ascii="Times New Roman" w:hAnsi="Times New Roman"/>
        </w:rPr>
        <w:t xml:space="preserve">Ce jour, le 21 septembre 2022, </w:t>
      </w:r>
      <w:r w:rsidRPr="00C11EAD">
        <w:rPr>
          <w:rFonts w:ascii="Times New Roman" w:hAnsi="Times New Roman"/>
          <w:highlight w:val="yellow"/>
        </w:rPr>
        <w:t>Claude</w:t>
      </w:r>
      <w:r w:rsidRPr="004F6BBC">
        <w:rPr>
          <w:rFonts w:ascii="Times New Roman" w:hAnsi="Times New Roman"/>
        </w:rPr>
        <w:t xml:space="preserve"> vous consulte dans le présent dossier.</w:t>
      </w:r>
    </w:p>
    <w:p w14:paraId="4AECDF53" w14:textId="77777777" w:rsidR="004F6BBC" w:rsidRPr="000D42F0" w:rsidRDefault="004F6BBC" w:rsidP="004F6BBC">
      <w:pPr>
        <w:suppressAutoHyphens/>
        <w:rPr>
          <w:rFonts w:ascii="Times New Roman" w:hAnsi="Times New Roman"/>
        </w:rPr>
      </w:pPr>
    </w:p>
    <w:p w14:paraId="300F6FAF" w14:textId="77777777" w:rsidR="0066676A" w:rsidRPr="000D42F0" w:rsidRDefault="0066676A" w:rsidP="00FF0E9C">
      <w:pPr>
        <w:pStyle w:val="tabimp025"/>
        <w:suppressAutoHyphens/>
        <w:rPr>
          <w:b/>
          <w:bCs/>
        </w:rPr>
      </w:pPr>
      <w:r w:rsidRPr="000D42F0">
        <w:rPr>
          <w:b/>
          <w:bCs/>
        </w:rPr>
        <w:t>1.</w:t>
      </w:r>
      <w:r w:rsidRPr="000D42F0">
        <w:rPr>
          <w:b/>
          <w:bCs/>
        </w:rPr>
        <w:tab/>
        <w:t>Quelles sont les règles de fixation de la pension</w:t>
      </w:r>
      <w:r w:rsidR="00D9660F">
        <w:rPr>
          <w:b/>
          <w:bCs/>
        </w:rPr>
        <w:t xml:space="preserve"> alimentaire pour enfants appli</w:t>
      </w:r>
      <w:r w:rsidRPr="000D42F0">
        <w:rPr>
          <w:b/>
          <w:bCs/>
        </w:rPr>
        <w:t>cables en l’espèce? Motivez votre réponse.</w:t>
      </w:r>
    </w:p>
    <w:p w14:paraId="5B3C4811" w14:textId="4388F089" w:rsidR="0066676A" w:rsidRDefault="0066676A" w:rsidP="00C11EAD"/>
    <w:p w14:paraId="18EEEFE6" w14:textId="1DFD1A8A" w:rsidR="004F6BBC" w:rsidRPr="00702EC8" w:rsidRDefault="001C1AF3" w:rsidP="00C11EAD">
      <w:pPr>
        <w:rPr>
          <w:color w:val="FF0000"/>
        </w:rPr>
      </w:pPr>
      <w:r w:rsidRPr="00702EC8">
        <w:rPr>
          <w:color w:val="FF0000"/>
        </w:rPr>
        <w:t xml:space="preserve">L’art. 2 </w:t>
      </w:r>
      <w:r w:rsidR="00D45639" w:rsidRPr="00702EC8">
        <w:rPr>
          <w:color w:val="FF0000"/>
        </w:rPr>
        <w:t xml:space="preserve">(1) </w:t>
      </w:r>
      <w:r w:rsidRPr="00702EC8">
        <w:rPr>
          <w:color w:val="FF0000"/>
        </w:rPr>
        <w:t xml:space="preserve">L.D. </w:t>
      </w:r>
      <w:r w:rsidR="00121A95" w:rsidRPr="00702EC8">
        <w:rPr>
          <w:color w:val="FF0000"/>
        </w:rPr>
        <w:t>prévoit que les province peu</w:t>
      </w:r>
      <w:r w:rsidR="00496BE6" w:rsidRPr="00702EC8">
        <w:rPr>
          <w:color w:val="FF0000"/>
        </w:rPr>
        <w:t>vent</w:t>
      </w:r>
      <w:r w:rsidR="00121A95" w:rsidRPr="00702EC8">
        <w:rPr>
          <w:color w:val="FF0000"/>
        </w:rPr>
        <w:t xml:space="preserve"> adopter ses propres lignes directrices en matière de pension </w:t>
      </w:r>
      <w:r w:rsidR="0072584A" w:rsidRPr="00702EC8">
        <w:rPr>
          <w:color w:val="FF0000"/>
        </w:rPr>
        <w:t xml:space="preserve">alimentaire pour enfants. </w:t>
      </w:r>
      <w:r w:rsidR="00982232" w:rsidRPr="00702EC8">
        <w:rPr>
          <w:color w:val="FF0000"/>
        </w:rPr>
        <w:t>Ce sont donc les règles provinciales qui s’appliquent</w:t>
      </w:r>
      <w:r w:rsidR="00F22181" w:rsidRPr="00702EC8">
        <w:rPr>
          <w:color w:val="FF0000"/>
        </w:rPr>
        <w:t xml:space="preserve"> conformément au</w:t>
      </w:r>
      <w:r w:rsidR="00982232" w:rsidRPr="00702EC8">
        <w:rPr>
          <w:color w:val="FF0000"/>
        </w:rPr>
        <w:t xml:space="preserve"> </w:t>
      </w:r>
      <w:r w:rsidR="00121A95" w:rsidRPr="00702EC8">
        <w:rPr>
          <w:color w:val="FF0000"/>
        </w:rPr>
        <w:t>R-</w:t>
      </w:r>
      <w:r w:rsidR="000A2BC3" w:rsidRPr="00702EC8">
        <w:rPr>
          <w:color w:val="FF0000"/>
        </w:rPr>
        <w:t xml:space="preserve">sur les </w:t>
      </w:r>
      <w:r w:rsidR="00121A95" w:rsidRPr="00702EC8">
        <w:rPr>
          <w:color w:val="FF0000"/>
        </w:rPr>
        <w:t>pension</w:t>
      </w:r>
      <w:r w:rsidR="006B65C0" w:rsidRPr="00702EC8">
        <w:rPr>
          <w:color w:val="FF0000"/>
        </w:rPr>
        <w:t>s</w:t>
      </w:r>
      <w:r w:rsidR="00121A95" w:rsidRPr="00702EC8">
        <w:rPr>
          <w:color w:val="FF0000"/>
        </w:rPr>
        <w:t xml:space="preserve"> alimentaire</w:t>
      </w:r>
      <w:r w:rsidR="006B65C0" w:rsidRPr="00702EC8">
        <w:rPr>
          <w:color w:val="FF0000"/>
        </w:rPr>
        <w:t>s</w:t>
      </w:r>
      <w:r w:rsidR="00121A95" w:rsidRPr="00702EC8">
        <w:rPr>
          <w:color w:val="FF0000"/>
        </w:rPr>
        <w:t xml:space="preserve"> po</w:t>
      </w:r>
      <w:r w:rsidR="00D327E0" w:rsidRPr="00702EC8">
        <w:rPr>
          <w:color w:val="FF0000"/>
        </w:rPr>
        <w:t>ur</w:t>
      </w:r>
      <w:r w:rsidR="00121A95" w:rsidRPr="00702EC8">
        <w:rPr>
          <w:color w:val="FF0000"/>
        </w:rPr>
        <w:t xml:space="preserve"> les enfants. </w:t>
      </w:r>
    </w:p>
    <w:p w14:paraId="67F233C0" w14:textId="77777777" w:rsidR="003063B7" w:rsidRPr="000D42F0" w:rsidRDefault="003063B7" w:rsidP="00C11EAD"/>
    <w:p w14:paraId="21761A81" w14:textId="77777777" w:rsidR="004F6BBC" w:rsidRPr="000D42F0" w:rsidRDefault="004F6BBC" w:rsidP="004F6BBC">
      <w:pPr>
        <w:pStyle w:val="marge0"/>
        <w:suppressAutoHyphens/>
        <w:spacing w:line="240" w:lineRule="auto"/>
        <w:jc w:val="center"/>
        <w:rPr>
          <w:b/>
          <w:bCs/>
        </w:rPr>
      </w:pPr>
      <w:r w:rsidRPr="000D42F0">
        <w:rPr>
          <w:b/>
          <w:bCs/>
        </w:rPr>
        <w:t>*  *  *  *  *</w:t>
      </w:r>
    </w:p>
    <w:p w14:paraId="4AE3996F" w14:textId="77777777" w:rsidR="004F6BBC" w:rsidRPr="000D42F0" w:rsidRDefault="004F6BBC" w:rsidP="004F6BBC">
      <w:pPr>
        <w:pStyle w:val="marge0"/>
        <w:suppressAutoHyphens/>
        <w:spacing w:line="240" w:lineRule="auto"/>
        <w:jc w:val="left"/>
      </w:pPr>
    </w:p>
    <w:p w14:paraId="77808804" w14:textId="000E8A8E" w:rsidR="004F6BBC" w:rsidRPr="004F6BBC" w:rsidRDefault="004F6BBC" w:rsidP="004F6BBC">
      <w:pPr>
        <w:pStyle w:val="marge025"/>
        <w:suppressAutoHyphens/>
        <w:ind w:left="0"/>
        <w:rPr>
          <w:rFonts w:cs="Arial"/>
        </w:rPr>
      </w:pPr>
      <w:r w:rsidRPr="00561627">
        <w:rPr>
          <w:rFonts w:cs="Arial"/>
        </w:rPr>
        <w:t xml:space="preserve">Claude </w:t>
      </w:r>
      <w:r>
        <w:rPr>
          <w:rFonts w:cs="Arial"/>
        </w:rPr>
        <w:t>Bélanger</w:t>
      </w:r>
      <w:r w:rsidRPr="00561627">
        <w:rPr>
          <w:rFonts w:cs="Arial"/>
        </w:rPr>
        <w:t xml:space="preserve"> vous demande également de lui calculer la pension alimentaire qui serait payable au bénéfice des enfants, advenant que ceux-ci </w:t>
      </w:r>
      <w:r w:rsidRPr="00622A1E">
        <w:rPr>
          <w:rFonts w:cs="Arial"/>
          <w:highlight w:val="yellow"/>
        </w:rPr>
        <w:t>souhaitent demeurer avec chaque parent, en alternance, à raison d’une semaine à la fois</w:t>
      </w:r>
      <w:r>
        <w:rPr>
          <w:rFonts w:cs="Arial"/>
        </w:rPr>
        <w:t>.</w:t>
      </w:r>
    </w:p>
    <w:p w14:paraId="32A5968F" w14:textId="77777777" w:rsidR="0066676A" w:rsidRPr="000D42F0" w:rsidRDefault="0066676A" w:rsidP="00FF0E9C">
      <w:pPr>
        <w:pStyle w:val="marge0"/>
        <w:suppressAutoHyphens/>
      </w:pPr>
    </w:p>
    <w:p w14:paraId="263F0062" w14:textId="1CDE6CCB" w:rsidR="003063B7" w:rsidRPr="00BC292F" w:rsidRDefault="0066676A" w:rsidP="00BC292F">
      <w:pPr>
        <w:pStyle w:val="tabimp025"/>
        <w:suppressAutoHyphens/>
        <w:rPr>
          <w:b/>
          <w:bCs/>
          <w:spacing w:val="-5"/>
        </w:rPr>
      </w:pPr>
      <w:r w:rsidRPr="000D42F0">
        <w:rPr>
          <w:b/>
          <w:bCs/>
          <w:spacing w:val="-5"/>
        </w:rPr>
        <w:t>2.</w:t>
      </w:r>
      <w:r w:rsidRPr="000D42F0">
        <w:rPr>
          <w:b/>
          <w:bCs/>
          <w:spacing w:val="-5"/>
        </w:rPr>
        <w:tab/>
      </w:r>
      <w:r w:rsidR="00E876F3" w:rsidRPr="00561627">
        <w:rPr>
          <w:b/>
          <w:bCs/>
          <w:spacing w:val="-5"/>
        </w:rPr>
        <w:t xml:space="preserve">Faites le calcul de la pension alimentaire annuelle que devrait payer Claude </w:t>
      </w:r>
      <w:r w:rsidR="00E876F3">
        <w:rPr>
          <w:b/>
          <w:bCs/>
          <w:spacing w:val="-5"/>
        </w:rPr>
        <w:t>Bélanger</w:t>
      </w:r>
      <w:r w:rsidR="00E876F3" w:rsidRPr="00561627">
        <w:rPr>
          <w:b/>
          <w:bCs/>
          <w:spacing w:val="-5"/>
        </w:rPr>
        <w:t xml:space="preserve">, pour les trois enfants, </w:t>
      </w:r>
      <w:r w:rsidR="00E876F3">
        <w:rPr>
          <w:b/>
          <w:bCs/>
          <w:spacing w:val="-5"/>
        </w:rPr>
        <w:t xml:space="preserve">si </w:t>
      </w:r>
      <w:r w:rsidR="00E876F3" w:rsidRPr="00707458">
        <w:rPr>
          <w:b/>
          <w:bCs/>
          <w:spacing w:val="-5"/>
          <w:highlight w:val="yellow"/>
        </w:rPr>
        <w:t xml:space="preserve">295 jours de temps parental annuel était accordé à Nadia </w:t>
      </w:r>
      <w:proofErr w:type="spellStart"/>
      <w:r w:rsidR="00E876F3" w:rsidRPr="00707458">
        <w:rPr>
          <w:b/>
          <w:bCs/>
          <w:spacing w:val="-5"/>
          <w:highlight w:val="yellow"/>
        </w:rPr>
        <w:t>Boudrias</w:t>
      </w:r>
      <w:proofErr w:type="spellEnd"/>
      <w:r w:rsidR="00E876F3">
        <w:rPr>
          <w:b/>
          <w:bCs/>
          <w:spacing w:val="-5"/>
        </w:rPr>
        <w:t xml:space="preserve"> pour les enfants</w:t>
      </w:r>
      <w:r w:rsidR="00E876F3" w:rsidRPr="00561627">
        <w:rPr>
          <w:b/>
          <w:bCs/>
          <w:spacing w:val="-5"/>
        </w:rPr>
        <w:t xml:space="preserve"> </w:t>
      </w:r>
      <w:proofErr w:type="spellStart"/>
      <w:r w:rsidR="00E876F3">
        <w:rPr>
          <w:b/>
          <w:bCs/>
          <w:spacing w:val="-5"/>
        </w:rPr>
        <w:t>Émilio</w:t>
      </w:r>
      <w:proofErr w:type="spellEnd"/>
      <w:r w:rsidR="00E876F3" w:rsidRPr="00561627">
        <w:rPr>
          <w:b/>
          <w:bCs/>
          <w:spacing w:val="-5"/>
        </w:rPr>
        <w:t xml:space="preserve"> et </w:t>
      </w:r>
      <w:r w:rsidR="00E876F3">
        <w:rPr>
          <w:b/>
          <w:bCs/>
          <w:spacing w:val="-5"/>
        </w:rPr>
        <w:t>Adam</w:t>
      </w:r>
      <w:r w:rsidR="00E876F3" w:rsidRPr="00561627">
        <w:rPr>
          <w:b/>
          <w:bCs/>
          <w:spacing w:val="-5"/>
        </w:rPr>
        <w:t xml:space="preserve"> </w:t>
      </w:r>
      <w:r w:rsidR="00E876F3">
        <w:rPr>
          <w:b/>
          <w:bCs/>
          <w:spacing w:val="-5"/>
        </w:rPr>
        <w:t>et que Charlotte</w:t>
      </w:r>
      <w:r w:rsidR="00E876F3" w:rsidRPr="00561627">
        <w:rPr>
          <w:b/>
          <w:bCs/>
          <w:spacing w:val="-5"/>
        </w:rPr>
        <w:t xml:space="preserve"> demeure à temps plein avec elle. À cette fin, remplissez le Formulaire de fixation des pensions alimentaires pour enfants, joint dans l’annexe 5.</w:t>
      </w:r>
    </w:p>
    <w:p w14:paraId="133C5920" w14:textId="7405040F" w:rsidR="003063B7" w:rsidRPr="00402402" w:rsidRDefault="003063B7" w:rsidP="00E876F3">
      <w:pPr>
        <w:pStyle w:val="tabimp025"/>
        <w:suppressAutoHyphens/>
      </w:pPr>
    </w:p>
    <w:p w14:paraId="7F79AD5B" w14:textId="7281D96D" w:rsidR="00446824" w:rsidRPr="00402402" w:rsidRDefault="00446824" w:rsidP="00E876F3">
      <w:pPr>
        <w:pStyle w:val="tabimp025"/>
        <w:suppressAutoHyphens/>
      </w:pPr>
      <w:r w:rsidRPr="00402402">
        <w:t>200</w:t>
      </w:r>
      <w:r w:rsidR="0049396A">
        <w:t xml:space="preserve">, </w:t>
      </w:r>
      <w:r w:rsidR="00CF6564">
        <w:t>209</w:t>
      </w:r>
      <w:r w:rsidR="0049396A">
        <w:t>, 300</w:t>
      </w:r>
      <w:r w:rsidRPr="00402402">
        <w:t> : P-</w:t>
      </w:r>
      <w:r w:rsidR="00080A29" w:rsidRPr="00402402">
        <w:tab/>
      </w:r>
      <w:r w:rsidR="00BE6326" w:rsidRPr="00BE6326">
        <w:t>173 000,00 $</w:t>
      </w:r>
      <w:r w:rsidRPr="00402402">
        <w:tab/>
        <w:t xml:space="preserve"> M-</w:t>
      </w:r>
      <w:r w:rsidRPr="00402402">
        <w:tab/>
      </w:r>
      <w:r w:rsidR="00402402" w:rsidRPr="00402402">
        <w:t>78 600,00 $</w:t>
      </w:r>
    </w:p>
    <w:p w14:paraId="6A5A7B5F" w14:textId="77C22136" w:rsidR="00446824" w:rsidRPr="00402402" w:rsidRDefault="0049396A" w:rsidP="00E876F3">
      <w:pPr>
        <w:pStyle w:val="tabimp025"/>
        <w:suppressAutoHyphens/>
      </w:pPr>
      <w:r>
        <w:t xml:space="preserve">301 : </w:t>
      </w:r>
      <w:r>
        <w:tab/>
      </w:r>
      <w:r>
        <w:tab/>
        <w:t>P-</w:t>
      </w:r>
      <w:r>
        <w:tab/>
      </w:r>
      <w:r w:rsidR="00615E4B">
        <w:t>12</w:t>
      </w:r>
      <w:r w:rsidR="00C8495E">
        <w:t> </w:t>
      </w:r>
      <w:r w:rsidR="00C50E1C">
        <w:t>215</w:t>
      </w:r>
      <w:r w:rsidR="00C8495E">
        <w:t> </w:t>
      </w:r>
      <w:r w:rsidR="00FC6816">
        <w:t>$</w:t>
      </w:r>
      <w:r w:rsidR="00FC6816">
        <w:tab/>
        <w:t>M-</w:t>
      </w:r>
      <w:r w:rsidR="00724F90">
        <w:tab/>
      </w:r>
      <w:r w:rsidR="00234C93">
        <w:t>12 215 </w:t>
      </w:r>
      <w:r w:rsidR="00A7689F">
        <w:t>$</w:t>
      </w:r>
      <w:r w:rsidR="007B6413">
        <w:t xml:space="preserve"> (commentaire : quelqu’un qui gagne moins de 12 215 $ avec justification on ne peut pas lui imputer le paiement d’une pension alimentaire</w:t>
      </w:r>
      <w:r w:rsidR="00BD2022">
        <w:t>)</w:t>
      </w:r>
    </w:p>
    <w:p w14:paraId="0C8799F0" w14:textId="23B44585" w:rsidR="00446824" w:rsidRPr="00402402" w:rsidRDefault="00075F27" w:rsidP="00E876F3">
      <w:pPr>
        <w:pStyle w:val="tabimp025"/>
        <w:suppressAutoHyphens/>
      </w:pPr>
      <w:r>
        <w:t xml:space="preserve">303 : </w:t>
      </w:r>
      <w:r>
        <w:tab/>
      </w:r>
      <w:r>
        <w:tab/>
        <w:t>P-</w:t>
      </w:r>
      <w:r>
        <w:tab/>
      </w:r>
      <w:r w:rsidRPr="00860C82">
        <w:rPr>
          <w:color w:val="000000" w:themeColor="text1"/>
        </w:rPr>
        <w:t>1 265,00</w:t>
      </w:r>
      <w:r w:rsidR="00295224">
        <w:rPr>
          <w:color w:val="000000" w:themeColor="text1"/>
        </w:rPr>
        <w:t> $</w:t>
      </w:r>
    </w:p>
    <w:p w14:paraId="51398EE0" w14:textId="67570C66" w:rsidR="00446824" w:rsidRPr="00F406E5" w:rsidRDefault="00BE6326" w:rsidP="00E876F3">
      <w:pPr>
        <w:pStyle w:val="tabimp025"/>
        <w:suppressAutoHyphens/>
      </w:pPr>
      <w:r w:rsidRPr="00F406E5">
        <w:t>305</w:t>
      </w:r>
      <w:r w:rsidRPr="00F406E5">
        <w:tab/>
      </w:r>
      <w:r w:rsidRPr="00F406E5">
        <w:tab/>
        <w:t>P-</w:t>
      </w:r>
      <w:r w:rsidRPr="00F406E5">
        <w:tab/>
      </w:r>
      <w:r w:rsidR="00DF733F" w:rsidRPr="00F406E5">
        <w:t>159 520 $</w:t>
      </w:r>
      <w:r w:rsidR="00DF733F" w:rsidRPr="00F406E5">
        <w:tab/>
        <w:t>M-</w:t>
      </w:r>
      <w:r w:rsidR="00DF733F" w:rsidRPr="00F406E5">
        <w:tab/>
        <w:t>66 385 $</w:t>
      </w:r>
    </w:p>
    <w:p w14:paraId="6386071F" w14:textId="451D1BEC" w:rsidR="00446824" w:rsidRDefault="00F406E5" w:rsidP="00E876F3">
      <w:pPr>
        <w:pStyle w:val="tabimp025"/>
        <w:suppressAutoHyphens/>
      </w:pPr>
      <w:r w:rsidRPr="00F406E5">
        <w:t>306 :</w:t>
      </w:r>
      <w:r>
        <w:tab/>
      </w:r>
      <w:r>
        <w:tab/>
        <w:t>225 905 $</w:t>
      </w:r>
    </w:p>
    <w:p w14:paraId="08C4FA70" w14:textId="35DDDB86" w:rsidR="00A96660" w:rsidRDefault="00A96660" w:rsidP="00E876F3">
      <w:pPr>
        <w:pStyle w:val="tabimp025"/>
        <w:suppressAutoHyphens/>
      </w:pPr>
      <w:r>
        <w:t>307 :</w:t>
      </w:r>
      <w:r>
        <w:tab/>
      </w:r>
      <w:r>
        <w:tab/>
        <w:t>P-</w:t>
      </w:r>
      <w:r>
        <w:tab/>
      </w:r>
      <w:r w:rsidR="00340A85">
        <w:t>70, 6137</w:t>
      </w:r>
      <w:r w:rsidR="00E61B28">
        <w:t> </w:t>
      </w:r>
      <w:r w:rsidR="00340A85">
        <w:t>%</w:t>
      </w:r>
      <w:r w:rsidR="00340A85">
        <w:tab/>
        <w:t>M-</w:t>
      </w:r>
      <w:r w:rsidR="00BF1E0E">
        <w:tab/>
        <w:t>29, 3862</w:t>
      </w:r>
      <w:r w:rsidR="00E61B28">
        <w:t> </w:t>
      </w:r>
      <w:r w:rsidR="00BF1E0E">
        <w:t>%</w:t>
      </w:r>
    </w:p>
    <w:p w14:paraId="1B3B8683" w14:textId="55A41978" w:rsidR="0075484B" w:rsidRDefault="0075484B" w:rsidP="00E876F3">
      <w:pPr>
        <w:pStyle w:val="tabimp025"/>
        <w:suppressAutoHyphens/>
      </w:pPr>
    </w:p>
    <w:p w14:paraId="1371EE2F" w14:textId="489B625E" w:rsidR="0075484B" w:rsidRDefault="0075484B" w:rsidP="00E876F3">
      <w:pPr>
        <w:pStyle w:val="tabimp025"/>
        <w:suppressAutoHyphens/>
      </w:pPr>
      <w:r>
        <w:t>400 :</w:t>
      </w:r>
      <w:r>
        <w:tab/>
        <w:t>3</w:t>
      </w:r>
    </w:p>
    <w:p w14:paraId="0C19972E" w14:textId="2C52441D" w:rsidR="00EB6B72" w:rsidRDefault="00EB6B72" w:rsidP="00E876F3">
      <w:pPr>
        <w:pStyle w:val="tabimp025"/>
        <w:suppressAutoHyphens/>
      </w:pPr>
      <w:r>
        <w:t xml:space="preserve">401 : </w:t>
      </w:r>
      <w:r>
        <w:tab/>
        <w:t xml:space="preserve">26 790 + </w:t>
      </w:r>
      <w:r w:rsidR="000A15CB">
        <w:t>(</w:t>
      </w:r>
      <w:r>
        <w:t>6.5</w:t>
      </w:r>
      <w:r w:rsidR="000A15CB">
        <w:t>/100</w:t>
      </w:r>
      <w:r>
        <w:t xml:space="preserve"> X 25</w:t>
      </w:r>
      <w:r w:rsidR="0081505F">
        <w:t> </w:t>
      </w:r>
      <w:r>
        <w:t>905</w:t>
      </w:r>
      <w:r w:rsidR="0081505F">
        <w:t> </w:t>
      </w:r>
      <w:r>
        <w:t>$</w:t>
      </w:r>
      <w:r w:rsidR="000A15CB">
        <w:t>)</w:t>
      </w:r>
      <w:r>
        <w:t xml:space="preserve"> </w:t>
      </w:r>
      <w:r w:rsidR="000A15CB">
        <w:t>= 28 473,8</w:t>
      </w:r>
      <w:r w:rsidR="00E66302">
        <w:t>2</w:t>
      </w:r>
      <w:r w:rsidR="000A15CB">
        <w:t xml:space="preserve"> $</w:t>
      </w:r>
      <w:r w:rsidR="00956CCE">
        <w:t xml:space="preserve"> </w:t>
      </w:r>
      <w:r w:rsidR="00F96728">
        <w:t>(on ne doit pas l’arrondir</w:t>
      </w:r>
      <w:r w:rsidR="00627C40">
        <w:t>)</w:t>
      </w:r>
    </w:p>
    <w:p w14:paraId="1FDEF70D" w14:textId="17C4A1F6" w:rsidR="007A6D35" w:rsidRDefault="007A6D35" w:rsidP="00E876F3">
      <w:pPr>
        <w:pStyle w:val="tabimp025"/>
        <w:suppressAutoHyphens/>
      </w:pPr>
      <w:r>
        <w:t>402 :</w:t>
      </w:r>
      <w:r w:rsidR="00E775B3">
        <w:tab/>
      </w:r>
      <w:r w:rsidR="003D421A">
        <w:tab/>
        <w:t>P-</w:t>
      </w:r>
      <w:r w:rsidR="003D421A">
        <w:tab/>
      </w:r>
      <w:r w:rsidR="002B6C56">
        <w:t>20 106,4</w:t>
      </w:r>
      <w:r w:rsidR="00A84A51">
        <w:t>4</w:t>
      </w:r>
      <w:r w:rsidR="002B6C56">
        <w:t>$</w:t>
      </w:r>
      <w:r w:rsidR="00B46E7A">
        <w:tab/>
        <w:t>M-</w:t>
      </w:r>
      <w:r w:rsidR="00B46E7A">
        <w:tab/>
      </w:r>
      <w:r w:rsidR="003F002F">
        <w:t>8 367,3</w:t>
      </w:r>
      <w:r w:rsidR="00A84A51">
        <w:t>9</w:t>
      </w:r>
      <w:r w:rsidR="003F002F">
        <w:t>$</w:t>
      </w:r>
    </w:p>
    <w:p w14:paraId="38DF4D52" w14:textId="2BBFF2A9" w:rsidR="0030349E" w:rsidRDefault="006827BD" w:rsidP="00E876F3">
      <w:pPr>
        <w:pStyle w:val="tabimp025"/>
        <w:suppressAutoHyphens/>
      </w:pPr>
      <w:r>
        <w:t>403 :</w:t>
      </w:r>
      <w:r>
        <w:tab/>
      </w:r>
      <w:r>
        <w:tab/>
      </w:r>
      <w:r w:rsidR="00B5350C">
        <w:t>Pas de frais de garde</w:t>
      </w:r>
    </w:p>
    <w:p w14:paraId="41E2B546" w14:textId="01DD7140" w:rsidR="006827BD" w:rsidRDefault="006827BD" w:rsidP="0074533F">
      <w:pPr>
        <w:pStyle w:val="tabimp025"/>
        <w:suppressAutoHyphens/>
        <w:ind w:left="1412" w:hanging="1412"/>
      </w:pPr>
      <w:r>
        <w:t>404 :</w:t>
      </w:r>
      <w:r>
        <w:tab/>
        <w:t>M-</w:t>
      </w:r>
      <w:r w:rsidR="00B10BB2">
        <w:tab/>
      </w:r>
      <w:r w:rsidR="003666A2">
        <w:t>6 000 $</w:t>
      </w:r>
      <w:r w:rsidR="00385C67">
        <w:t xml:space="preserve"> - 1 500 $ </w:t>
      </w:r>
      <w:r w:rsidR="004446D7">
        <w:t xml:space="preserve">(bourse) </w:t>
      </w:r>
      <w:r w:rsidR="00385C67">
        <w:t>= 4 300 $</w:t>
      </w:r>
      <w:r w:rsidR="003F0CD7">
        <w:t xml:space="preserve"> (si avait eu des revenus, car elle est majeure on tient compte du 1/3 de son salaire)</w:t>
      </w:r>
    </w:p>
    <w:p w14:paraId="6252CC0B" w14:textId="325AB02C" w:rsidR="003C1582" w:rsidRDefault="003C1582" w:rsidP="00E876F3">
      <w:pPr>
        <w:pStyle w:val="tabimp025"/>
        <w:suppressAutoHyphens/>
      </w:pPr>
      <w:r>
        <w:t>405 :</w:t>
      </w:r>
      <w:r>
        <w:tab/>
      </w:r>
      <w:r>
        <w:tab/>
        <w:t>M-</w:t>
      </w:r>
      <w:r w:rsidR="00E11D68">
        <w:tab/>
      </w:r>
      <w:r w:rsidR="00172C6A">
        <w:t>11</w:t>
      </w:r>
      <w:r w:rsidR="00E11D68">
        <w:t> </w:t>
      </w:r>
      <w:r w:rsidR="00172C6A">
        <w:t>850</w:t>
      </w:r>
      <w:r w:rsidR="00E11D68">
        <w:t>.00</w:t>
      </w:r>
      <w:r w:rsidR="00172C6A">
        <w:t> $</w:t>
      </w:r>
    </w:p>
    <w:p w14:paraId="3EC1AF85" w14:textId="5FA0289A" w:rsidR="003C1582" w:rsidRDefault="003C1582" w:rsidP="00E876F3">
      <w:pPr>
        <w:pStyle w:val="tabimp025"/>
        <w:suppressAutoHyphens/>
      </w:pPr>
      <w:r>
        <w:t>406 :</w:t>
      </w:r>
      <w:r>
        <w:tab/>
      </w:r>
      <w:r>
        <w:tab/>
      </w:r>
      <w:r w:rsidR="008D12B9">
        <w:t>M-</w:t>
      </w:r>
      <w:r w:rsidR="008D12B9">
        <w:tab/>
        <w:t>16 150.00 $</w:t>
      </w:r>
    </w:p>
    <w:p w14:paraId="4808CA56" w14:textId="5A10CDA4" w:rsidR="00366D37" w:rsidRDefault="00366D37" w:rsidP="00E876F3">
      <w:pPr>
        <w:pStyle w:val="tabimp025"/>
        <w:suppressAutoHyphens/>
      </w:pPr>
      <w:r>
        <w:t>407 :</w:t>
      </w:r>
      <w:r>
        <w:tab/>
      </w:r>
      <w:r>
        <w:tab/>
        <w:t>P-</w:t>
      </w:r>
      <w:r>
        <w:tab/>
      </w:r>
      <w:r w:rsidR="00B40248">
        <w:t>1</w:t>
      </w:r>
      <w:r w:rsidR="00C851F0">
        <w:t>1 404.12$</w:t>
      </w:r>
      <w:r>
        <w:tab/>
        <w:t>M-</w:t>
      </w:r>
      <w:r>
        <w:tab/>
      </w:r>
      <w:r w:rsidR="005F6803">
        <w:t>4</w:t>
      </w:r>
      <w:r w:rsidR="00C851F0">
        <w:t> 745.88 $</w:t>
      </w:r>
    </w:p>
    <w:p w14:paraId="51ADE19F" w14:textId="54BCF003" w:rsidR="007A24CC" w:rsidRDefault="007A24CC" w:rsidP="00E876F3">
      <w:pPr>
        <w:pStyle w:val="tabimp025"/>
        <w:suppressAutoHyphens/>
      </w:pPr>
      <w:r>
        <w:t>510 :</w:t>
      </w:r>
      <w:r>
        <w:tab/>
      </w:r>
      <w:r>
        <w:tab/>
        <w:t>P- X</w:t>
      </w:r>
    </w:p>
    <w:p w14:paraId="5E3F0EF9" w14:textId="77777777" w:rsidR="003C59CA" w:rsidRDefault="003C59CA" w:rsidP="00E876F3">
      <w:pPr>
        <w:pStyle w:val="tabimp025"/>
        <w:suppressAutoHyphens/>
      </w:pPr>
      <w:r>
        <w:t xml:space="preserve">Section 1 </w:t>
      </w:r>
    </w:p>
    <w:p w14:paraId="6F508CA9" w14:textId="56C851B3" w:rsidR="007A24CC" w:rsidRDefault="007A24CC" w:rsidP="00E876F3">
      <w:pPr>
        <w:pStyle w:val="tabimp025"/>
        <w:suppressAutoHyphens/>
      </w:pPr>
      <w:r>
        <w:t>511 :</w:t>
      </w:r>
      <w:r w:rsidR="00DB09C8">
        <w:t xml:space="preserve"> </w:t>
      </w:r>
      <w:r w:rsidR="00CB6376">
        <w:t xml:space="preserve">… </w:t>
      </w:r>
      <w:r w:rsidR="00094544">
        <w:t>vo</w:t>
      </w:r>
      <w:r w:rsidR="00C11EF5">
        <w:t>i</w:t>
      </w:r>
      <w:r w:rsidR="00094544">
        <w:t>r le corrigé</w:t>
      </w:r>
    </w:p>
    <w:p w14:paraId="54F35287" w14:textId="28967429" w:rsidR="00F978A8" w:rsidRDefault="00F978A8" w:rsidP="00E876F3">
      <w:pPr>
        <w:pStyle w:val="tabimp025"/>
        <w:suppressAutoHyphens/>
      </w:pPr>
      <w:r>
        <w:t xml:space="preserve">Commentaire 800 : père qui </w:t>
      </w:r>
      <w:r w:rsidR="00511FE7">
        <w:t>remplit</w:t>
      </w:r>
      <w:r>
        <w:t xml:space="preserve"> le formulaire alors il offre </w:t>
      </w:r>
    </w:p>
    <w:p w14:paraId="39CC22E9" w14:textId="676428AC" w:rsidR="00EB42A2" w:rsidRDefault="00EB42A2" w:rsidP="00E876F3">
      <w:pPr>
        <w:pStyle w:val="tabimp025"/>
        <w:suppressAutoHyphens/>
      </w:pPr>
    </w:p>
    <w:p w14:paraId="08793B22" w14:textId="2DDE495D" w:rsidR="00EB42A2" w:rsidRDefault="00EB42A2" w:rsidP="00E876F3">
      <w:pPr>
        <w:pStyle w:val="tabimp025"/>
        <w:suppressAutoHyphens/>
      </w:pPr>
    </w:p>
    <w:p w14:paraId="6D4D854E" w14:textId="5C26294A" w:rsidR="00EB42A2" w:rsidRPr="00F406E5" w:rsidRDefault="00EB42A2" w:rsidP="00056841">
      <w:pPr>
        <w:pStyle w:val="tabimp025"/>
        <w:suppressAutoHyphens/>
        <w:ind w:left="0" w:firstLine="0"/>
      </w:pPr>
      <w:r>
        <w:t>Commentaire : %</w:t>
      </w:r>
      <w:r w:rsidR="00D43E8A">
        <w:t xml:space="preserve"> = </w:t>
      </w:r>
      <w:r>
        <w:t xml:space="preserve">4 chiffres après la virgule et on arrondie. Pas un % = 2 chiffres après la virgule et on n’arrondie pas. </w:t>
      </w:r>
    </w:p>
    <w:p w14:paraId="5FA3D8CB" w14:textId="77777777" w:rsidR="0066676A" w:rsidRPr="000D42F0" w:rsidRDefault="0066676A" w:rsidP="00FF0E9C">
      <w:pPr>
        <w:pStyle w:val="marge0"/>
        <w:suppressAutoHyphens/>
        <w:spacing w:line="240" w:lineRule="auto"/>
        <w:jc w:val="center"/>
        <w:rPr>
          <w:b/>
          <w:bCs/>
        </w:rPr>
      </w:pPr>
      <w:r w:rsidRPr="000D42F0">
        <w:rPr>
          <w:b/>
          <w:bCs/>
        </w:rPr>
        <w:t>*  *  *  *  *</w:t>
      </w:r>
    </w:p>
    <w:p w14:paraId="2BC0C42E" w14:textId="77777777" w:rsidR="0066676A" w:rsidRPr="000D42F0" w:rsidRDefault="0066676A" w:rsidP="00FF0E9C">
      <w:pPr>
        <w:pStyle w:val="marge0"/>
        <w:suppressAutoHyphens/>
        <w:spacing w:line="240" w:lineRule="auto"/>
        <w:jc w:val="center"/>
      </w:pPr>
    </w:p>
    <w:p w14:paraId="1D32E9C9" w14:textId="5FA9DDFC" w:rsidR="0066676A" w:rsidRPr="000D42F0" w:rsidRDefault="0066676A" w:rsidP="00FF0E9C">
      <w:pPr>
        <w:pStyle w:val="tabimp025"/>
        <w:keepNext/>
        <w:suppressAutoHyphens/>
        <w:rPr>
          <w:b/>
          <w:bCs/>
        </w:rPr>
      </w:pPr>
      <w:r w:rsidRPr="000D42F0">
        <w:rPr>
          <w:b/>
          <w:bCs/>
        </w:rPr>
        <w:t>3.</w:t>
      </w:r>
      <w:r w:rsidRPr="000D42F0">
        <w:rPr>
          <w:b/>
          <w:bCs/>
        </w:rPr>
        <w:tab/>
        <w:t xml:space="preserve">Quelle sera alors la pension alimentaire </w:t>
      </w:r>
      <w:r w:rsidR="00CF1083" w:rsidRPr="000D42F0">
        <w:rPr>
          <w:b/>
          <w:bCs/>
        </w:rPr>
        <w:t xml:space="preserve">annuelle </w:t>
      </w:r>
      <w:r w:rsidRPr="000D42F0">
        <w:rPr>
          <w:b/>
          <w:bCs/>
        </w:rPr>
        <w:t xml:space="preserve">payable </w:t>
      </w:r>
      <w:r w:rsidR="00CF1083" w:rsidRPr="000D42F0">
        <w:rPr>
          <w:b/>
          <w:bCs/>
        </w:rPr>
        <w:t xml:space="preserve">au bénéfice des enfants en vertu du </w:t>
      </w:r>
      <w:r w:rsidR="00CF1083" w:rsidRPr="000D42F0">
        <w:rPr>
          <w:b/>
          <w:bCs/>
          <w:i/>
        </w:rPr>
        <w:t>Règlement sur la fixation des pensions alimentaires pour enfants</w:t>
      </w:r>
      <w:r w:rsidR="00CF1083" w:rsidRPr="000D42F0">
        <w:rPr>
          <w:b/>
          <w:bCs/>
        </w:rPr>
        <w:t>? Veuille</w:t>
      </w:r>
      <w:r w:rsidR="00E43387" w:rsidRPr="000D42F0">
        <w:rPr>
          <w:b/>
          <w:bCs/>
        </w:rPr>
        <w:t>z remplir la partie </w:t>
      </w:r>
      <w:r w:rsidR="0049388A" w:rsidRPr="000D42F0">
        <w:rPr>
          <w:b/>
          <w:bCs/>
        </w:rPr>
        <w:t>5, section 3</w:t>
      </w:r>
      <w:r w:rsidR="00CF1083" w:rsidRPr="000D42F0">
        <w:rPr>
          <w:b/>
          <w:bCs/>
        </w:rPr>
        <w:t xml:space="preserve"> du Fo</w:t>
      </w:r>
      <w:r w:rsidR="00E43387" w:rsidRPr="000D42F0">
        <w:rPr>
          <w:b/>
          <w:bCs/>
        </w:rPr>
        <w:t>rmulaire joint dans l’annexe 5</w:t>
      </w:r>
      <w:r w:rsidR="002D4E30">
        <w:rPr>
          <w:b/>
          <w:bCs/>
        </w:rPr>
        <w:t xml:space="preserve"> (garde partagée)</w:t>
      </w:r>
    </w:p>
    <w:p w14:paraId="5698BFE7" w14:textId="0D33D800" w:rsidR="004F6BBC" w:rsidRPr="003063B7" w:rsidRDefault="004F6BBC" w:rsidP="004F6BBC">
      <w:pPr>
        <w:pStyle w:val="marge0"/>
        <w:suppressAutoHyphens/>
        <w:spacing w:line="240" w:lineRule="auto"/>
        <w:jc w:val="left"/>
      </w:pPr>
    </w:p>
    <w:p w14:paraId="18F23465" w14:textId="0D0BE38F" w:rsidR="003063B7" w:rsidRDefault="00D70507" w:rsidP="004F6BBC">
      <w:pPr>
        <w:pStyle w:val="marge0"/>
        <w:suppressAutoHyphens/>
        <w:spacing w:line="240" w:lineRule="auto"/>
        <w:jc w:val="left"/>
      </w:pPr>
      <w:r>
        <w:t>530 :</w:t>
      </w:r>
      <w:r w:rsidR="00EC32C2">
        <w:tab/>
        <w:t>P-</w:t>
      </w:r>
      <w:r w:rsidR="00EB5E84">
        <w:tab/>
      </w:r>
      <w:r w:rsidR="00803407">
        <w:t xml:space="preserve">182.50 </w:t>
      </w:r>
      <w:r w:rsidR="00803407">
        <w:tab/>
      </w:r>
      <w:r w:rsidR="00913628">
        <w:t>50</w:t>
      </w:r>
      <w:r w:rsidR="00803407">
        <w:t>.0000</w:t>
      </w:r>
      <w:r w:rsidR="00913628">
        <w:t>%</w:t>
      </w:r>
      <w:r w:rsidR="00EC32C2">
        <w:tab/>
        <w:t>M-</w:t>
      </w:r>
      <w:r w:rsidR="00803407">
        <w:t>182.50</w:t>
      </w:r>
      <w:r w:rsidR="00EC32C2">
        <w:tab/>
      </w:r>
      <w:r w:rsidR="00913628">
        <w:t>50</w:t>
      </w:r>
      <w:r w:rsidR="00803407">
        <w:t>.0000</w:t>
      </w:r>
      <w:r w:rsidR="00913628">
        <w:t>%</w:t>
      </w:r>
    </w:p>
    <w:p w14:paraId="5E016BB3" w14:textId="26688BBD" w:rsidR="00B9567F" w:rsidRDefault="00B9567F" w:rsidP="004F6BBC">
      <w:pPr>
        <w:pStyle w:val="marge0"/>
        <w:suppressAutoHyphens/>
        <w:spacing w:line="240" w:lineRule="auto"/>
        <w:jc w:val="left"/>
      </w:pPr>
      <w:r>
        <w:t>531 :</w:t>
      </w:r>
      <w:r w:rsidR="00EC32C2">
        <w:tab/>
      </w:r>
      <w:r w:rsidR="00EB5E84">
        <w:t>P-</w:t>
      </w:r>
      <w:r w:rsidR="00EB5E84">
        <w:tab/>
        <w:t>20 106,44$</w:t>
      </w:r>
      <w:r w:rsidR="00EB5E84">
        <w:tab/>
        <w:t>M-</w:t>
      </w:r>
      <w:r w:rsidR="00EB5E84">
        <w:tab/>
        <w:t>8 367,39$</w:t>
      </w:r>
    </w:p>
    <w:p w14:paraId="13C5A1C3" w14:textId="2063C6B5" w:rsidR="00111209" w:rsidRDefault="00402E74" w:rsidP="004F6BBC">
      <w:pPr>
        <w:pStyle w:val="marge0"/>
        <w:suppressAutoHyphens/>
        <w:spacing w:line="240" w:lineRule="auto"/>
        <w:jc w:val="left"/>
      </w:pPr>
      <w:r>
        <w:t>532 :</w:t>
      </w:r>
      <w:r w:rsidR="0082387D">
        <w:tab/>
        <w:t>P-</w:t>
      </w:r>
      <w:r w:rsidR="00F648E5">
        <w:tab/>
      </w:r>
      <w:r w:rsidR="007C22E2">
        <w:t>14 236,91 $</w:t>
      </w:r>
      <w:r w:rsidR="007C22E2">
        <w:tab/>
        <w:t>M-</w:t>
      </w:r>
      <w:r w:rsidR="007C22E2">
        <w:tab/>
      </w:r>
      <w:r w:rsidR="00634E78">
        <w:t>14 236,91 $</w:t>
      </w:r>
    </w:p>
    <w:p w14:paraId="2ECAD3F7" w14:textId="6DAFF314" w:rsidR="00084BB8" w:rsidRDefault="002B5621" w:rsidP="004F6BBC">
      <w:pPr>
        <w:pStyle w:val="marge0"/>
        <w:suppressAutoHyphens/>
        <w:spacing w:line="240" w:lineRule="auto"/>
        <w:jc w:val="left"/>
      </w:pPr>
      <w:r>
        <w:t>533 :</w:t>
      </w:r>
      <w:r w:rsidR="00825B31">
        <w:tab/>
        <w:t>P-</w:t>
      </w:r>
      <w:r w:rsidR="00825B31">
        <w:tab/>
        <w:t>5 869,5</w:t>
      </w:r>
      <w:r w:rsidR="00803407">
        <w:t>2</w:t>
      </w:r>
      <w:r w:rsidR="00825B31">
        <w:t> $</w:t>
      </w:r>
      <w:r w:rsidR="00825B31">
        <w:tab/>
        <w:t>M-</w:t>
      </w:r>
      <w:r w:rsidR="003D7531">
        <w:tab/>
        <w:t>0$</w:t>
      </w:r>
    </w:p>
    <w:p w14:paraId="3A94A478" w14:textId="397346D7" w:rsidR="005D2A41" w:rsidRDefault="005D2A41" w:rsidP="004F6BBC">
      <w:pPr>
        <w:pStyle w:val="marge0"/>
        <w:suppressAutoHyphens/>
        <w:spacing w:line="240" w:lineRule="auto"/>
        <w:jc w:val="left"/>
      </w:pPr>
      <w:r w:rsidRPr="00BA7D41">
        <w:rPr>
          <w:highlight w:val="cyan"/>
        </w:rPr>
        <w:t>534 :</w:t>
      </w:r>
      <w:r w:rsidR="00A63602" w:rsidRPr="00BA7D41">
        <w:rPr>
          <w:highlight w:val="cyan"/>
        </w:rPr>
        <w:tab/>
        <w:t>P-</w:t>
      </w:r>
      <w:r w:rsidR="00A26134" w:rsidRPr="00BA7D41">
        <w:rPr>
          <w:highlight w:val="cyan"/>
        </w:rPr>
        <w:tab/>
      </w:r>
      <w:r w:rsidR="005527DD" w:rsidRPr="00BA7D41">
        <w:rPr>
          <w:highlight w:val="cyan"/>
        </w:rPr>
        <w:t>17 273,65 $</w:t>
      </w:r>
      <w:r w:rsidR="003C6263">
        <w:tab/>
        <w:t>M-</w:t>
      </w:r>
      <w:r w:rsidR="003C6263">
        <w:tab/>
        <w:t>0$</w:t>
      </w:r>
    </w:p>
    <w:p w14:paraId="16717EE6" w14:textId="77777777" w:rsidR="00605DAE" w:rsidRDefault="00605DAE" w:rsidP="004F6BBC">
      <w:pPr>
        <w:pStyle w:val="marge0"/>
        <w:suppressAutoHyphens/>
        <w:spacing w:line="240" w:lineRule="auto"/>
        <w:jc w:val="left"/>
      </w:pPr>
    </w:p>
    <w:p w14:paraId="4AD2FAA7" w14:textId="77777777" w:rsidR="003063B7" w:rsidRPr="003063B7" w:rsidRDefault="003063B7" w:rsidP="004F6BBC">
      <w:pPr>
        <w:pStyle w:val="marge0"/>
        <w:suppressAutoHyphens/>
        <w:spacing w:line="240" w:lineRule="auto"/>
        <w:jc w:val="left"/>
      </w:pPr>
    </w:p>
    <w:p w14:paraId="3D06D3A4" w14:textId="77777777" w:rsidR="004F6BBC" w:rsidRPr="000D42F0" w:rsidRDefault="004F6BBC" w:rsidP="004F6BBC">
      <w:pPr>
        <w:pStyle w:val="marge0"/>
        <w:suppressAutoHyphens/>
        <w:spacing w:line="240" w:lineRule="auto"/>
        <w:jc w:val="center"/>
        <w:rPr>
          <w:b/>
          <w:bCs/>
        </w:rPr>
      </w:pPr>
      <w:r w:rsidRPr="000D42F0">
        <w:rPr>
          <w:b/>
          <w:bCs/>
        </w:rPr>
        <w:t>*  *  *  *  *</w:t>
      </w:r>
    </w:p>
    <w:p w14:paraId="49F2026F" w14:textId="77777777" w:rsidR="004F6BBC" w:rsidRPr="000D42F0" w:rsidRDefault="004F6BBC" w:rsidP="004F6BBC">
      <w:pPr>
        <w:pStyle w:val="marge0"/>
        <w:suppressAutoHyphens/>
        <w:spacing w:line="240" w:lineRule="auto"/>
        <w:jc w:val="left"/>
        <w:rPr>
          <w:b/>
          <w:bCs/>
        </w:rPr>
      </w:pPr>
    </w:p>
    <w:p w14:paraId="31EBB160" w14:textId="24EEAB3C" w:rsidR="00CF1083" w:rsidRPr="002D289F" w:rsidRDefault="004F6BBC" w:rsidP="002D289F">
      <w:pPr>
        <w:pStyle w:val="marge025"/>
        <w:suppressAutoHyphens/>
        <w:ind w:left="0"/>
        <w:rPr>
          <w:rFonts w:cs="Arial"/>
        </w:rPr>
      </w:pPr>
      <w:r w:rsidRPr="00561627">
        <w:rPr>
          <w:rFonts w:cs="Arial"/>
        </w:rPr>
        <w:t xml:space="preserve">Les enfants ont confirmé à leurs parents qu’ils souhaitaient </w:t>
      </w:r>
      <w:r>
        <w:rPr>
          <w:rFonts w:cs="Arial"/>
        </w:rPr>
        <w:t xml:space="preserve">demeurer avec chaque parent, en alternance, à raison </w:t>
      </w:r>
      <w:r w:rsidRPr="00E96E5D">
        <w:rPr>
          <w:rFonts w:cs="Arial"/>
          <w:highlight w:val="cyan"/>
        </w:rPr>
        <w:t>d’une semaine à la fois.</w:t>
      </w:r>
      <w:r w:rsidRPr="00561627">
        <w:rPr>
          <w:rFonts w:cs="Arial"/>
        </w:rPr>
        <w:t xml:space="preserve"> Claude vous consulte pour savoir s’il peut proposer à </w:t>
      </w:r>
      <w:r>
        <w:rPr>
          <w:rFonts w:cs="Arial"/>
        </w:rPr>
        <w:t>Nadia</w:t>
      </w:r>
      <w:r w:rsidRPr="00561627">
        <w:rPr>
          <w:rFonts w:cs="Arial"/>
        </w:rPr>
        <w:t xml:space="preserve"> d’assumer </w:t>
      </w:r>
      <w:r w:rsidRPr="00B64B29">
        <w:rPr>
          <w:rFonts w:cs="Arial"/>
          <w:highlight w:val="cyan"/>
        </w:rPr>
        <w:t>la totalité des frais d’études post-secondaires nets ainsi que les frais particuliers</w:t>
      </w:r>
      <w:r w:rsidRPr="00561627">
        <w:rPr>
          <w:rFonts w:cs="Arial"/>
        </w:rPr>
        <w:t xml:space="preserve"> </w:t>
      </w:r>
      <w:r w:rsidRPr="004E1966">
        <w:rPr>
          <w:rFonts w:cs="Arial"/>
          <w:highlight w:val="cyan"/>
        </w:rPr>
        <w:t>nets d’école privée et de tennis</w:t>
      </w:r>
      <w:r w:rsidRPr="00561627">
        <w:rPr>
          <w:rFonts w:cs="Arial"/>
        </w:rPr>
        <w:t>, en autant que cela soit pris en compte dans le calcul de la pension alimentaire pour les enfants.</w:t>
      </w:r>
    </w:p>
    <w:p w14:paraId="3A0078A2" w14:textId="77777777" w:rsidR="00CF1083" w:rsidRPr="000D42F0" w:rsidRDefault="00CF1083" w:rsidP="00FF0E9C">
      <w:pPr>
        <w:pStyle w:val="tabimp025"/>
        <w:suppressAutoHyphens/>
        <w:rPr>
          <w:b/>
          <w:bCs/>
        </w:rPr>
      </w:pPr>
    </w:p>
    <w:p w14:paraId="3F20A0A4" w14:textId="66B419E9" w:rsidR="00E876F3" w:rsidRDefault="00CF1083" w:rsidP="00E876F3">
      <w:pPr>
        <w:pStyle w:val="tabimp025"/>
        <w:suppressAutoHyphens/>
        <w:rPr>
          <w:rFonts w:cs="Arial"/>
          <w:b/>
        </w:rPr>
      </w:pPr>
      <w:r w:rsidRPr="000D42F0">
        <w:rPr>
          <w:b/>
          <w:bCs/>
        </w:rPr>
        <w:t xml:space="preserve">4. </w:t>
      </w:r>
      <w:r w:rsidR="00E876F3">
        <w:rPr>
          <w:b/>
          <w:bCs/>
        </w:rPr>
        <w:tab/>
      </w:r>
      <w:r w:rsidR="00E876F3" w:rsidRPr="00F31AD0">
        <w:rPr>
          <w:rFonts w:cs="Arial"/>
          <w:b/>
        </w:rPr>
        <w:t xml:space="preserve">Advenant que les sommes dues à ce titre soient payées par Claude </w:t>
      </w:r>
      <w:r w:rsidR="00E876F3">
        <w:rPr>
          <w:rFonts w:cs="Arial"/>
          <w:b/>
        </w:rPr>
        <w:t>Bélanger</w:t>
      </w:r>
      <w:r w:rsidR="00E876F3" w:rsidRPr="00F31AD0">
        <w:rPr>
          <w:rFonts w:cs="Arial"/>
          <w:b/>
        </w:rPr>
        <w:t xml:space="preserve"> directement aux institutions concernées, quel serait alors le montant annuel de pension alimentaire payable au bénéfice des enfants en vertu du </w:t>
      </w:r>
      <w:r w:rsidR="00E876F3" w:rsidRPr="00F31AD0">
        <w:rPr>
          <w:rFonts w:cs="Arial"/>
          <w:b/>
          <w:i/>
        </w:rPr>
        <w:t>Règlement sur la fixation des pensions alimentaires pour enfants</w:t>
      </w:r>
      <w:r w:rsidR="00E876F3" w:rsidRPr="00F31AD0">
        <w:rPr>
          <w:rFonts w:cs="Arial"/>
          <w:b/>
        </w:rPr>
        <w:t>? Veuillez remplir la partie 5, section 3 du Formulaire joint dans l’annexe 5.</w:t>
      </w:r>
    </w:p>
    <w:p w14:paraId="4901B737" w14:textId="77777777" w:rsidR="00832BC6" w:rsidRDefault="00832BC6" w:rsidP="00E876F3">
      <w:pPr>
        <w:pStyle w:val="tabimp025"/>
        <w:suppressAutoHyphens/>
        <w:rPr>
          <w:rFonts w:cs="Arial"/>
          <w:bCs/>
        </w:rPr>
      </w:pPr>
    </w:p>
    <w:p w14:paraId="452DCF6B" w14:textId="6662C6EA" w:rsidR="00713157" w:rsidRDefault="00832BC6" w:rsidP="00824745">
      <w:pPr>
        <w:pStyle w:val="tabimp025"/>
        <w:suppressAutoHyphens/>
        <w:rPr>
          <w:rFonts w:cs="Arial"/>
          <w:bCs/>
        </w:rPr>
      </w:pPr>
      <w:r>
        <w:rPr>
          <w:rFonts w:cs="Arial"/>
          <w:bCs/>
        </w:rPr>
        <w:t xml:space="preserve">On doit enlever tous les frais à la colonne </w:t>
      </w:r>
      <w:r w:rsidR="004021A6">
        <w:rPr>
          <w:rFonts w:cs="Arial"/>
          <w:bCs/>
        </w:rPr>
        <w:t>de 403-406</w:t>
      </w:r>
      <w:r w:rsidR="00107D64">
        <w:rPr>
          <w:rFonts w:cs="Arial"/>
          <w:bCs/>
        </w:rPr>
        <w:t xml:space="preserve"> : </w:t>
      </w:r>
      <w:r>
        <w:rPr>
          <w:rFonts w:cs="Arial"/>
          <w:bCs/>
        </w:rPr>
        <w:t>16 150$</w:t>
      </w:r>
      <w:r w:rsidR="00713157">
        <w:rPr>
          <w:rFonts w:cs="Arial"/>
          <w:bCs/>
        </w:rPr>
        <w:t xml:space="preserve"> </w:t>
      </w:r>
    </w:p>
    <w:p w14:paraId="27AE04EB" w14:textId="59FF8236" w:rsidR="007E5D49" w:rsidRDefault="00C075B9" w:rsidP="007E5D49">
      <w:pPr>
        <w:pStyle w:val="tabimp025"/>
        <w:suppressAutoHyphens/>
        <w:rPr>
          <w:rFonts w:cs="Arial"/>
          <w:bCs/>
        </w:rPr>
      </w:pPr>
      <w:r>
        <w:rPr>
          <w:rFonts w:cs="Arial"/>
          <w:bCs/>
        </w:rPr>
        <w:t>(</w:t>
      </w:r>
      <w:r w:rsidR="00596E77" w:rsidRPr="00596E77">
        <w:rPr>
          <w:rFonts w:cs="Arial"/>
          <w:bCs/>
        </w:rPr>
        <w:t>17 273,65 $</w:t>
      </w:r>
      <w:r w:rsidR="00596E77">
        <w:rPr>
          <w:rFonts w:cs="Arial"/>
          <w:bCs/>
        </w:rPr>
        <w:t>-16 150 $</w:t>
      </w:r>
      <w:r>
        <w:rPr>
          <w:rFonts w:cs="Arial"/>
          <w:bCs/>
        </w:rPr>
        <w:t>= 1 123,65 $)</w:t>
      </w:r>
    </w:p>
    <w:p w14:paraId="7B8C3E6D" w14:textId="77777777" w:rsidR="00957546" w:rsidRPr="00301633" w:rsidRDefault="00957546" w:rsidP="00E876F3">
      <w:pPr>
        <w:pStyle w:val="tabimp025"/>
        <w:suppressAutoHyphens/>
        <w:rPr>
          <w:rFonts w:cs="Arial"/>
          <w:bCs/>
        </w:rPr>
      </w:pPr>
    </w:p>
    <w:p w14:paraId="45D0443F" w14:textId="3E0DB56A" w:rsidR="004F440D" w:rsidRDefault="001637F5" w:rsidP="004F440D">
      <w:pPr>
        <w:pStyle w:val="tabimp025"/>
        <w:suppressAutoHyphens/>
        <w:rPr>
          <w:rFonts w:cs="Arial"/>
          <w:bCs/>
        </w:rPr>
      </w:pPr>
      <w:r w:rsidRPr="00301633">
        <w:rPr>
          <w:rFonts w:cs="Arial"/>
          <w:bCs/>
        </w:rPr>
        <w:t>534.1</w:t>
      </w:r>
      <w:r w:rsidR="00FB66E2">
        <w:rPr>
          <w:rFonts w:cs="Arial"/>
          <w:bCs/>
        </w:rPr>
        <w:t> </w:t>
      </w:r>
      <w:r w:rsidR="004F440D">
        <w:rPr>
          <w:rFonts w:cs="Arial"/>
          <w:bCs/>
        </w:rPr>
        <w:t xml:space="preserve">Pension alimentaire annuelle à payer ajustée Motif : </w:t>
      </w:r>
      <w:r w:rsidR="003B6E89">
        <w:rPr>
          <w:rFonts w:cs="Arial"/>
          <w:bCs/>
        </w:rPr>
        <w:t>Le père paie la totalité des frais d’études post-secondaires nets ainsi que les frais particuliers nets d’école privée et de ten</w:t>
      </w:r>
      <w:r w:rsidR="0082041D">
        <w:rPr>
          <w:rFonts w:cs="Arial"/>
          <w:bCs/>
        </w:rPr>
        <w:t>n</w:t>
      </w:r>
      <w:r w:rsidR="003B6E89">
        <w:rPr>
          <w:rFonts w:cs="Arial"/>
          <w:bCs/>
        </w:rPr>
        <w:t>is</w:t>
      </w:r>
      <w:r w:rsidR="00B854AF">
        <w:rPr>
          <w:rFonts w:cs="Arial"/>
          <w:bCs/>
        </w:rPr>
        <w:t xml:space="preserve"> (1 123,65$)</w:t>
      </w:r>
    </w:p>
    <w:p w14:paraId="178E5014" w14:textId="49A2DCF7" w:rsidR="0094654F" w:rsidRDefault="0094654F" w:rsidP="004F440D">
      <w:pPr>
        <w:pStyle w:val="tabimp025"/>
        <w:suppressAutoHyphens/>
        <w:rPr>
          <w:rFonts w:cs="Arial"/>
          <w:bCs/>
        </w:rPr>
      </w:pPr>
    </w:p>
    <w:p w14:paraId="0803D76F" w14:textId="3A333F76" w:rsidR="0094654F" w:rsidRDefault="0094654F" w:rsidP="0094654F">
      <w:pPr>
        <w:pStyle w:val="tabimp025"/>
        <w:numPr>
          <w:ilvl w:val="0"/>
          <w:numId w:val="4"/>
        </w:numPr>
        <w:suppressAutoHyphens/>
        <w:rPr>
          <w:rFonts w:cs="Arial"/>
          <w:bCs/>
        </w:rPr>
      </w:pPr>
      <w:r>
        <w:rPr>
          <w:rFonts w:cs="Arial"/>
          <w:bCs/>
        </w:rPr>
        <w:t>Par défaut dans le formulaire c’est la créancière qui paie les frais. Ici, c’est monsieur alors il payerait deux fois si on ne les retire pa</w:t>
      </w:r>
      <w:r w:rsidR="0059060B">
        <w:rPr>
          <w:rFonts w:cs="Arial"/>
          <w:bCs/>
        </w:rPr>
        <w:t>s, soit les réajust</w:t>
      </w:r>
      <w:r w:rsidR="00156FE1">
        <w:rPr>
          <w:rFonts w:cs="Arial"/>
          <w:bCs/>
        </w:rPr>
        <w:t>er.</w:t>
      </w:r>
    </w:p>
    <w:p w14:paraId="5B1676A5" w14:textId="5995D62F" w:rsidR="007E5D49" w:rsidRDefault="007E5D49" w:rsidP="0094654F">
      <w:pPr>
        <w:pStyle w:val="tabimp025"/>
        <w:numPr>
          <w:ilvl w:val="0"/>
          <w:numId w:val="4"/>
        </w:numPr>
        <w:suppressAutoHyphens/>
        <w:rPr>
          <w:rFonts w:cs="Arial"/>
          <w:bCs/>
        </w:rPr>
      </w:pPr>
      <w:r>
        <w:rPr>
          <w:rFonts w:cs="Arial"/>
          <w:bCs/>
        </w:rPr>
        <w:t>Réajustement de pension on ne touche pas à la colonne 407</w:t>
      </w:r>
    </w:p>
    <w:p w14:paraId="1E8C0036" w14:textId="77777777" w:rsidR="003063B7" w:rsidRPr="00673BE0" w:rsidRDefault="003063B7" w:rsidP="00673BE0">
      <w:pPr>
        <w:suppressAutoHyphens/>
        <w:rPr>
          <w:rFonts w:ascii="Times New Roman" w:hAnsi="Times New Roman"/>
        </w:rPr>
      </w:pPr>
    </w:p>
    <w:sectPr w:rsidR="003063B7" w:rsidRPr="00673BE0" w:rsidSect="00673BE0">
      <w:footerReference w:type="even" r:id="rId8"/>
      <w:footerReference w:type="default" r:id="rId9"/>
      <w:pgSz w:w="12240" w:h="15840" w:code="1"/>
      <w:pgMar w:top="1080" w:right="1440" w:bottom="1080" w:left="1440" w:header="720" w:footer="288"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BABC1" w14:textId="77777777" w:rsidR="00256926" w:rsidRDefault="00256926">
      <w:r>
        <w:separator/>
      </w:r>
    </w:p>
  </w:endnote>
  <w:endnote w:type="continuationSeparator" w:id="0">
    <w:p w14:paraId="0ACCA62B" w14:textId="77777777" w:rsidR="00256926" w:rsidRDefault="00256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Times LT Std">
    <w:panose1 w:val="00000500000000020000"/>
    <w:charset w:val="00"/>
    <w:family w:val="auto"/>
    <w:pitch w:val="variable"/>
    <w:sig w:usb0="E00002FF" w:usb1="5000205A" w:usb2="00000000" w:usb3="00000000" w:csb0="0000019F" w:csb1="00000000"/>
  </w:font>
  <w:font w:name="Times New (W1)">
    <w:altName w:val="Times New Roman"/>
    <w:panose1 w:val="00000500000000020000"/>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tblInd w:w="-455" w:type="dxa"/>
      <w:tblCellMar>
        <w:left w:w="70" w:type="dxa"/>
        <w:right w:w="70" w:type="dxa"/>
      </w:tblCellMar>
      <w:tblLook w:val="0000" w:firstRow="0" w:lastRow="0" w:firstColumn="0" w:lastColumn="0" w:noHBand="0" w:noVBand="0"/>
    </w:tblPr>
    <w:tblGrid>
      <w:gridCol w:w="532"/>
      <w:gridCol w:w="1039"/>
      <w:gridCol w:w="8509"/>
    </w:tblGrid>
    <w:tr w:rsidR="00B86D69" w:rsidRPr="007607D2" w14:paraId="32E1ECA4" w14:textId="77777777" w:rsidTr="005A31A5">
      <w:trPr>
        <w:cantSplit/>
        <w:trHeight w:val="533"/>
      </w:trPr>
      <w:tc>
        <w:tcPr>
          <w:tcW w:w="532" w:type="dxa"/>
          <w:tcBorders>
            <w:top w:val="single" w:sz="4" w:space="0" w:color="auto"/>
            <w:left w:val="single" w:sz="4" w:space="0" w:color="auto"/>
            <w:bottom w:val="single" w:sz="12" w:space="0" w:color="auto"/>
            <w:right w:val="single" w:sz="12" w:space="0" w:color="auto"/>
          </w:tcBorders>
          <w:vAlign w:val="center"/>
        </w:tcPr>
        <w:p w14:paraId="009E6118" w14:textId="77777777" w:rsidR="00B86D69" w:rsidRPr="00D9660F" w:rsidRDefault="00B86D69">
          <w:pPr>
            <w:pStyle w:val="Pieddepage"/>
            <w:spacing w:before="40" w:after="40" w:line="100" w:lineRule="exact"/>
            <w:jc w:val="center"/>
            <w:rPr>
              <w:rFonts w:ascii="Times New Roman" w:hAnsi="Times New Roman"/>
              <w:b/>
              <w:bCs/>
              <w:i/>
              <w:iCs/>
              <w:sz w:val="8"/>
            </w:rPr>
          </w:pPr>
          <w:r>
            <w:rPr>
              <w:rFonts w:ascii="Times New Roman" w:hAnsi="Times New Roman"/>
              <w:b/>
              <w:bCs/>
              <w:i/>
              <w:iCs/>
              <w:sz w:val="8"/>
            </w:rPr>
            <w:t>Attendre les instructions</w:t>
          </w:r>
        </w:p>
      </w:tc>
      <w:tc>
        <w:tcPr>
          <w:tcW w:w="1039" w:type="dxa"/>
          <w:tcBorders>
            <w:top w:val="single" w:sz="4" w:space="0" w:color="auto"/>
            <w:left w:val="single" w:sz="12" w:space="0" w:color="auto"/>
          </w:tcBorders>
          <w:tcMar>
            <w:left w:w="216" w:type="dxa"/>
          </w:tcMar>
        </w:tcPr>
        <w:p w14:paraId="56FF866C" w14:textId="77777777" w:rsidR="00B86D69" w:rsidRPr="00D9660F" w:rsidRDefault="00B86D69" w:rsidP="009602ED">
          <w:pPr>
            <w:spacing w:before="120"/>
            <w:jc w:val="left"/>
            <w:rPr>
              <w:rFonts w:ascii="Times New Roman" w:hAnsi="Times New Roman"/>
              <w:b/>
              <w:bCs/>
            </w:rPr>
          </w:pPr>
          <w:r>
            <w:rPr>
              <w:rFonts w:ascii="Times New Roman" w:hAnsi="Times New Roman"/>
              <w:b/>
              <w:bCs/>
            </w:rPr>
            <w:t>25</w:t>
          </w:r>
          <w:r w:rsidRPr="000D42F0">
            <w:rPr>
              <w:rFonts w:ascii="Times New Roman" w:hAnsi="Times New Roman"/>
              <w:b/>
              <w:bCs/>
            </w:rPr>
            <w:t>:</w:t>
          </w:r>
          <w:r w:rsidRPr="000D42F0">
            <w:rPr>
              <w:rStyle w:val="Numrodepage"/>
              <w:rFonts w:ascii="Times New Roman" w:hAnsi="Times New Roman"/>
              <w:b/>
              <w:bCs/>
            </w:rPr>
            <w:fldChar w:fldCharType="begin"/>
          </w:r>
          <w:r w:rsidRPr="000D42F0">
            <w:rPr>
              <w:rStyle w:val="Numrodepage"/>
              <w:rFonts w:ascii="Times New Roman" w:hAnsi="Times New Roman"/>
              <w:b/>
              <w:bCs/>
            </w:rPr>
            <w:instrText xml:space="preserve"> PAGE </w:instrText>
          </w:r>
          <w:r w:rsidRPr="000D42F0">
            <w:rPr>
              <w:rStyle w:val="Numrodepage"/>
              <w:rFonts w:ascii="Times New Roman" w:hAnsi="Times New Roman"/>
              <w:b/>
              <w:bCs/>
            </w:rPr>
            <w:fldChar w:fldCharType="separate"/>
          </w:r>
          <w:r w:rsidR="00673BE0">
            <w:rPr>
              <w:rStyle w:val="Numrodepage"/>
              <w:rFonts w:ascii="Times New Roman" w:hAnsi="Times New Roman"/>
              <w:b/>
              <w:bCs/>
              <w:noProof/>
            </w:rPr>
            <w:t>12</w:t>
          </w:r>
          <w:r w:rsidRPr="000D42F0">
            <w:rPr>
              <w:rStyle w:val="Numrodepage"/>
              <w:rFonts w:ascii="Times New Roman" w:hAnsi="Times New Roman"/>
              <w:b/>
              <w:bCs/>
            </w:rPr>
            <w:fldChar w:fldCharType="end"/>
          </w:r>
        </w:p>
      </w:tc>
      <w:tc>
        <w:tcPr>
          <w:tcW w:w="8509" w:type="dxa"/>
          <w:tcBorders>
            <w:top w:val="single" w:sz="4" w:space="0" w:color="auto"/>
          </w:tcBorders>
        </w:tcPr>
        <w:p w14:paraId="23D4B9A0" w14:textId="77777777" w:rsidR="00B86D69" w:rsidRPr="000D42F0" w:rsidRDefault="00B86D69" w:rsidP="00CA112A">
          <w:pPr>
            <w:spacing w:before="120"/>
            <w:jc w:val="right"/>
            <w:rPr>
              <w:rFonts w:ascii="Times New Roman" w:hAnsi="Times New Roman"/>
              <w:b/>
              <w:bCs/>
              <w:sz w:val="20"/>
            </w:rPr>
          </w:pPr>
          <w:r>
            <w:rPr>
              <w:rFonts w:ascii="Times New Roman" w:hAnsi="Times New Roman"/>
              <w:b/>
              <w:bCs/>
              <w:sz w:val="20"/>
            </w:rPr>
            <w:t>2022-2023</w:t>
          </w:r>
        </w:p>
      </w:tc>
    </w:tr>
  </w:tbl>
  <w:p w14:paraId="20402E4A" w14:textId="77777777" w:rsidR="00B86D69" w:rsidRPr="000D42F0" w:rsidRDefault="00B86D69">
    <w:pPr>
      <w:pStyle w:val="Pieddepage"/>
      <w:rPr>
        <w:rFonts w:ascii="Times New Roman" w:hAnsi="Times New Roman"/>
        <w:sz w:val="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tblInd w:w="-45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8475"/>
      <w:gridCol w:w="1073"/>
      <w:gridCol w:w="532"/>
    </w:tblGrid>
    <w:tr w:rsidR="00B86D69" w:rsidRPr="007607D2" w14:paraId="0ADDDDFC" w14:textId="77777777" w:rsidTr="005A31A5">
      <w:trPr>
        <w:trHeight w:val="526"/>
      </w:trPr>
      <w:tc>
        <w:tcPr>
          <w:tcW w:w="8475" w:type="dxa"/>
          <w:tcMar>
            <w:left w:w="29" w:type="dxa"/>
          </w:tcMar>
        </w:tcPr>
        <w:p w14:paraId="047EF3C8" w14:textId="77777777" w:rsidR="00B86D69" w:rsidRPr="00D9660F" w:rsidRDefault="00B86D69" w:rsidP="00CA112A">
          <w:pPr>
            <w:pStyle w:val="Pieddepage"/>
            <w:spacing w:before="120"/>
            <w:rPr>
              <w:rFonts w:ascii="Times New Roman" w:hAnsi="Times New Roman"/>
              <w:b/>
              <w:bCs/>
              <w:sz w:val="20"/>
            </w:rPr>
          </w:pPr>
          <w:r>
            <w:rPr>
              <w:rFonts w:ascii="Times New Roman" w:hAnsi="Times New Roman"/>
              <w:b/>
              <w:bCs/>
              <w:sz w:val="20"/>
            </w:rPr>
            <w:t>2022-2023</w:t>
          </w:r>
        </w:p>
      </w:tc>
      <w:tc>
        <w:tcPr>
          <w:tcW w:w="1073" w:type="dxa"/>
          <w:tcBorders>
            <w:right w:val="single" w:sz="4" w:space="0" w:color="auto"/>
          </w:tcBorders>
          <w:tcMar>
            <w:right w:w="216" w:type="dxa"/>
          </w:tcMar>
        </w:tcPr>
        <w:p w14:paraId="155AFFDF" w14:textId="77777777" w:rsidR="00B86D69" w:rsidRPr="00D9660F" w:rsidRDefault="00B86D69" w:rsidP="009602ED">
          <w:pPr>
            <w:pStyle w:val="Pieddepage"/>
            <w:spacing w:before="120"/>
            <w:jc w:val="right"/>
            <w:rPr>
              <w:rFonts w:ascii="Times New Roman" w:hAnsi="Times New Roman"/>
              <w:b/>
              <w:bCs/>
            </w:rPr>
          </w:pPr>
          <w:r>
            <w:rPr>
              <w:rFonts w:ascii="Times New Roman" w:hAnsi="Times New Roman"/>
              <w:b/>
              <w:bCs/>
            </w:rPr>
            <w:t>25</w:t>
          </w:r>
          <w:r w:rsidRPr="000D42F0">
            <w:rPr>
              <w:rFonts w:ascii="Times New Roman" w:hAnsi="Times New Roman"/>
              <w:b/>
              <w:bCs/>
            </w:rPr>
            <w:t>:</w:t>
          </w:r>
          <w:r w:rsidRPr="000D42F0">
            <w:rPr>
              <w:rStyle w:val="Numrodepage"/>
              <w:rFonts w:ascii="Times New Roman" w:hAnsi="Times New Roman"/>
              <w:b/>
              <w:bCs/>
            </w:rPr>
            <w:fldChar w:fldCharType="begin"/>
          </w:r>
          <w:r w:rsidRPr="000D42F0">
            <w:rPr>
              <w:rStyle w:val="Numrodepage"/>
              <w:rFonts w:ascii="Times New Roman" w:hAnsi="Times New Roman"/>
              <w:b/>
              <w:bCs/>
            </w:rPr>
            <w:instrText xml:space="preserve"> PAGE </w:instrText>
          </w:r>
          <w:r w:rsidRPr="000D42F0">
            <w:rPr>
              <w:rStyle w:val="Numrodepage"/>
              <w:rFonts w:ascii="Times New Roman" w:hAnsi="Times New Roman"/>
              <w:b/>
              <w:bCs/>
            </w:rPr>
            <w:fldChar w:fldCharType="separate"/>
          </w:r>
          <w:r w:rsidR="00673BE0">
            <w:rPr>
              <w:rStyle w:val="Numrodepage"/>
              <w:rFonts w:ascii="Times New Roman" w:hAnsi="Times New Roman"/>
              <w:b/>
              <w:bCs/>
              <w:noProof/>
            </w:rPr>
            <w:t>11</w:t>
          </w:r>
          <w:r w:rsidRPr="000D42F0">
            <w:rPr>
              <w:rStyle w:val="Numrodepage"/>
              <w:rFonts w:ascii="Times New Roman" w:hAnsi="Times New Roman"/>
              <w:b/>
              <w:bCs/>
            </w:rPr>
            <w:fldChar w:fldCharType="end"/>
          </w:r>
        </w:p>
      </w:tc>
      <w:tc>
        <w:tcPr>
          <w:tcW w:w="532" w:type="dxa"/>
          <w:tcBorders>
            <w:top w:val="single" w:sz="4" w:space="0" w:color="auto"/>
            <w:left w:val="single" w:sz="4" w:space="0" w:color="auto"/>
            <w:bottom w:val="single" w:sz="12" w:space="0" w:color="auto"/>
            <w:right w:val="single" w:sz="12" w:space="0" w:color="auto"/>
          </w:tcBorders>
          <w:vAlign w:val="center"/>
        </w:tcPr>
        <w:p w14:paraId="5F16DB09" w14:textId="77777777" w:rsidR="00B86D69" w:rsidRPr="000D42F0" w:rsidRDefault="00B86D69">
          <w:pPr>
            <w:pStyle w:val="Pieddepage"/>
            <w:spacing w:before="40" w:after="40" w:line="100" w:lineRule="exact"/>
            <w:jc w:val="center"/>
            <w:rPr>
              <w:rFonts w:ascii="Times New Roman" w:hAnsi="Times New Roman"/>
              <w:b/>
              <w:bCs/>
              <w:i/>
              <w:iCs/>
              <w:sz w:val="8"/>
            </w:rPr>
          </w:pPr>
          <w:r>
            <w:rPr>
              <w:rFonts w:ascii="Times New Roman" w:hAnsi="Times New Roman"/>
              <w:b/>
              <w:bCs/>
              <w:i/>
              <w:iCs/>
              <w:sz w:val="8"/>
            </w:rPr>
            <w:t>Attendre les instructions</w:t>
          </w:r>
        </w:p>
      </w:tc>
    </w:tr>
  </w:tbl>
  <w:p w14:paraId="7C99CDBB" w14:textId="77777777" w:rsidR="00B86D69" w:rsidRPr="000D42F0" w:rsidRDefault="00B86D69">
    <w:pPr>
      <w:pStyle w:val="Pieddepage"/>
      <w:rPr>
        <w:rFonts w:ascii="Times New Roman" w:hAnsi="Times New Roman"/>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60930" w14:textId="77777777" w:rsidR="00256926" w:rsidRPr="009D3098" w:rsidRDefault="00256926">
      <w:pPr>
        <w:rPr>
          <w:rFonts w:cs="Times"/>
        </w:rPr>
      </w:pPr>
      <w:r w:rsidRPr="009D3098">
        <w:rPr>
          <w:rFonts w:cs="Times"/>
        </w:rPr>
        <w:separator/>
      </w:r>
    </w:p>
  </w:footnote>
  <w:footnote w:type="continuationSeparator" w:id="0">
    <w:p w14:paraId="1E4FA896" w14:textId="77777777" w:rsidR="00256926" w:rsidRDefault="002569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17DB"/>
    <w:multiLevelType w:val="hybridMultilevel"/>
    <w:tmpl w:val="5E7AEDE8"/>
    <w:lvl w:ilvl="0" w:tplc="86561510">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4CC28B8"/>
    <w:multiLevelType w:val="hybridMultilevel"/>
    <w:tmpl w:val="A4BC28B6"/>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1B9546CD"/>
    <w:multiLevelType w:val="hybridMultilevel"/>
    <w:tmpl w:val="E85CCC36"/>
    <w:lvl w:ilvl="0" w:tplc="5FE8D14E">
      <w:start w:val="1"/>
      <w:numFmt w:val="decimal"/>
      <w:lvlText w:val="%1."/>
      <w:lvlJc w:val="left"/>
      <w:pPr>
        <w:tabs>
          <w:tab w:val="num" w:pos="1080"/>
        </w:tabs>
        <w:ind w:left="1080" w:hanging="360"/>
      </w:pPr>
      <w:rPr>
        <w:rFonts w:hint="default"/>
      </w:rPr>
    </w:lvl>
    <w:lvl w:ilvl="1" w:tplc="0409000F">
      <w:start w:val="1"/>
      <w:numFmt w:val="decimal"/>
      <w:lvlText w:val="%2."/>
      <w:lvlJc w:val="left"/>
      <w:pPr>
        <w:tabs>
          <w:tab w:val="num" w:pos="1386"/>
        </w:tabs>
        <w:ind w:left="1386" w:hanging="360"/>
      </w:pPr>
      <w:rPr>
        <w:rFonts w:hint="default"/>
      </w:rPr>
    </w:lvl>
    <w:lvl w:ilvl="2" w:tplc="0409001B" w:tentative="1">
      <w:start w:val="1"/>
      <w:numFmt w:val="lowerRoman"/>
      <w:lvlText w:val="%3."/>
      <w:lvlJc w:val="right"/>
      <w:pPr>
        <w:tabs>
          <w:tab w:val="num" w:pos="2106"/>
        </w:tabs>
        <w:ind w:left="2106" w:hanging="180"/>
      </w:pPr>
    </w:lvl>
    <w:lvl w:ilvl="3" w:tplc="0409000F" w:tentative="1">
      <w:start w:val="1"/>
      <w:numFmt w:val="decimal"/>
      <w:lvlText w:val="%4."/>
      <w:lvlJc w:val="left"/>
      <w:pPr>
        <w:tabs>
          <w:tab w:val="num" w:pos="2826"/>
        </w:tabs>
        <w:ind w:left="2826" w:hanging="360"/>
      </w:pPr>
    </w:lvl>
    <w:lvl w:ilvl="4" w:tplc="04090019" w:tentative="1">
      <w:start w:val="1"/>
      <w:numFmt w:val="lowerLetter"/>
      <w:lvlText w:val="%5."/>
      <w:lvlJc w:val="left"/>
      <w:pPr>
        <w:tabs>
          <w:tab w:val="num" w:pos="3546"/>
        </w:tabs>
        <w:ind w:left="3546" w:hanging="360"/>
      </w:pPr>
    </w:lvl>
    <w:lvl w:ilvl="5" w:tplc="0409001B" w:tentative="1">
      <w:start w:val="1"/>
      <w:numFmt w:val="lowerRoman"/>
      <w:lvlText w:val="%6."/>
      <w:lvlJc w:val="right"/>
      <w:pPr>
        <w:tabs>
          <w:tab w:val="num" w:pos="4266"/>
        </w:tabs>
        <w:ind w:left="4266" w:hanging="180"/>
      </w:pPr>
    </w:lvl>
    <w:lvl w:ilvl="6" w:tplc="0409000F" w:tentative="1">
      <w:start w:val="1"/>
      <w:numFmt w:val="decimal"/>
      <w:lvlText w:val="%7."/>
      <w:lvlJc w:val="left"/>
      <w:pPr>
        <w:tabs>
          <w:tab w:val="num" w:pos="4986"/>
        </w:tabs>
        <w:ind w:left="4986" w:hanging="360"/>
      </w:pPr>
    </w:lvl>
    <w:lvl w:ilvl="7" w:tplc="04090019" w:tentative="1">
      <w:start w:val="1"/>
      <w:numFmt w:val="lowerLetter"/>
      <w:lvlText w:val="%8."/>
      <w:lvlJc w:val="left"/>
      <w:pPr>
        <w:tabs>
          <w:tab w:val="num" w:pos="5706"/>
        </w:tabs>
        <w:ind w:left="5706" w:hanging="360"/>
      </w:pPr>
    </w:lvl>
    <w:lvl w:ilvl="8" w:tplc="0409001B" w:tentative="1">
      <w:start w:val="1"/>
      <w:numFmt w:val="lowerRoman"/>
      <w:lvlText w:val="%9."/>
      <w:lvlJc w:val="right"/>
      <w:pPr>
        <w:tabs>
          <w:tab w:val="num" w:pos="6426"/>
        </w:tabs>
        <w:ind w:left="6426" w:hanging="180"/>
      </w:pPr>
    </w:lvl>
  </w:abstractNum>
  <w:abstractNum w:abstractNumId="3" w15:restartNumberingAfterBreak="0">
    <w:nsid w:val="76B67644"/>
    <w:multiLevelType w:val="hybridMultilevel"/>
    <w:tmpl w:val="C4C08A22"/>
    <w:lvl w:ilvl="0" w:tplc="34F60A8A">
      <w:start w:val="534"/>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121758436">
    <w:abstractNumId w:val="2"/>
  </w:num>
  <w:num w:numId="2" w16cid:durableId="780220811">
    <w:abstractNumId w:val="1"/>
  </w:num>
  <w:num w:numId="3" w16cid:durableId="996806456">
    <w:abstractNumId w:val="0"/>
  </w:num>
  <w:num w:numId="4" w16cid:durableId="17639139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mirrorMargins/>
  <w:proofState w:spelling="clean" w:grammar="clean"/>
  <w:defaultTabStop w:val="706"/>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450"/>
    <w:rsid w:val="0001306D"/>
    <w:rsid w:val="00015987"/>
    <w:rsid w:val="000166CC"/>
    <w:rsid w:val="000203DD"/>
    <w:rsid w:val="000300D0"/>
    <w:rsid w:val="00030EDB"/>
    <w:rsid w:val="000321C2"/>
    <w:rsid w:val="00035B21"/>
    <w:rsid w:val="00040763"/>
    <w:rsid w:val="00043B82"/>
    <w:rsid w:val="00044DA9"/>
    <w:rsid w:val="000535EC"/>
    <w:rsid w:val="00056841"/>
    <w:rsid w:val="00062990"/>
    <w:rsid w:val="00075B9E"/>
    <w:rsid w:val="00075F27"/>
    <w:rsid w:val="0007723C"/>
    <w:rsid w:val="00080A29"/>
    <w:rsid w:val="000810EC"/>
    <w:rsid w:val="00083BF8"/>
    <w:rsid w:val="00084BB8"/>
    <w:rsid w:val="000903B5"/>
    <w:rsid w:val="00091A89"/>
    <w:rsid w:val="00094544"/>
    <w:rsid w:val="000A15CB"/>
    <w:rsid w:val="000A2BC3"/>
    <w:rsid w:val="000A6F80"/>
    <w:rsid w:val="000A7221"/>
    <w:rsid w:val="000B0AD2"/>
    <w:rsid w:val="000C16AA"/>
    <w:rsid w:val="000C1BE8"/>
    <w:rsid w:val="000C1CEE"/>
    <w:rsid w:val="000C2AEC"/>
    <w:rsid w:val="000C5240"/>
    <w:rsid w:val="000C567D"/>
    <w:rsid w:val="000D2148"/>
    <w:rsid w:val="000D3496"/>
    <w:rsid w:val="000D42F0"/>
    <w:rsid w:val="000D45C4"/>
    <w:rsid w:val="000E06C4"/>
    <w:rsid w:val="00101F7D"/>
    <w:rsid w:val="00103AB2"/>
    <w:rsid w:val="00107D64"/>
    <w:rsid w:val="00111209"/>
    <w:rsid w:val="0011410A"/>
    <w:rsid w:val="001170D7"/>
    <w:rsid w:val="00121A95"/>
    <w:rsid w:val="0013090E"/>
    <w:rsid w:val="00131B24"/>
    <w:rsid w:val="001321A7"/>
    <w:rsid w:val="001323A4"/>
    <w:rsid w:val="00142CBE"/>
    <w:rsid w:val="00151942"/>
    <w:rsid w:val="00152686"/>
    <w:rsid w:val="00152F92"/>
    <w:rsid w:val="001541B4"/>
    <w:rsid w:val="001569F1"/>
    <w:rsid w:val="00156A9F"/>
    <w:rsid w:val="00156FE1"/>
    <w:rsid w:val="00160ED8"/>
    <w:rsid w:val="00163748"/>
    <w:rsid w:val="001637F5"/>
    <w:rsid w:val="00165362"/>
    <w:rsid w:val="0017227C"/>
    <w:rsid w:val="00172C6A"/>
    <w:rsid w:val="00175EE4"/>
    <w:rsid w:val="001770BD"/>
    <w:rsid w:val="00184133"/>
    <w:rsid w:val="00186025"/>
    <w:rsid w:val="001965B4"/>
    <w:rsid w:val="001967F8"/>
    <w:rsid w:val="001968C4"/>
    <w:rsid w:val="00196D1A"/>
    <w:rsid w:val="001B4C29"/>
    <w:rsid w:val="001B569B"/>
    <w:rsid w:val="001B5F3F"/>
    <w:rsid w:val="001B6D8D"/>
    <w:rsid w:val="001C0F6E"/>
    <w:rsid w:val="001C1AF3"/>
    <w:rsid w:val="001C50CE"/>
    <w:rsid w:val="001C6CF8"/>
    <w:rsid w:val="001D04BA"/>
    <w:rsid w:val="001D512A"/>
    <w:rsid w:val="001E20DF"/>
    <w:rsid w:val="001E2F4B"/>
    <w:rsid w:val="001F0424"/>
    <w:rsid w:val="001F563E"/>
    <w:rsid w:val="001F5ADF"/>
    <w:rsid w:val="001F61B6"/>
    <w:rsid w:val="001F691D"/>
    <w:rsid w:val="002204C6"/>
    <w:rsid w:val="00222D79"/>
    <w:rsid w:val="00234C93"/>
    <w:rsid w:val="00256926"/>
    <w:rsid w:val="002805BC"/>
    <w:rsid w:val="00281B21"/>
    <w:rsid w:val="002913AD"/>
    <w:rsid w:val="00293D12"/>
    <w:rsid w:val="00293FAA"/>
    <w:rsid w:val="00295224"/>
    <w:rsid w:val="002A3BF0"/>
    <w:rsid w:val="002A6F37"/>
    <w:rsid w:val="002A799D"/>
    <w:rsid w:val="002B5621"/>
    <w:rsid w:val="002B6935"/>
    <w:rsid w:val="002B6C56"/>
    <w:rsid w:val="002C18FF"/>
    <w:rsid w:val="002C201B"/>
    <w:rsid w:val="002D2073"/>
    <w:rsid w:val="002D289F"/>
    <w:rsid w:val="002D4972"/>
    <w:rsid w:val="002D4DB8"/>
    <w:rsid w:val="002D4E30"/>
    <w:rsid w:val="002D7934"/>
    <w:rsid w:val="002E1656"/>
    <w:rsid w:val="002E22A2"/>
    <w:rsid w:val="002F5137"/>
    <w:rsid w:val="002F68D2"/>
    <w:rsid w:val="00301633"/>
    <w:rsid w:val="00301749"/>
    <w:rsid w:val="003022A5"/>
    <w:rsid w:val="0030349E"/>
    <w:rsid w:val="00304C87"/>
    <w:rsid w:val="00304EFB"/>
    <w:rsid w:val="003063B7"/>
    <w:rsid w:val="003103DD"/>
    <w:rsid w:val="003113C3"/>
    <w:rsid w:val="00316995"/>
    <w:rsid w:val="00317E5B"/>
    <w:rsid w:val="00322222"/>
    <w:rsid w:val="00333ECD"/>
    <w:rsid w:val="003372DD"/>
    <w:rsid w:val="00337B11"/>
    <w:rsid w:val="00340A85"/>
    <w:rsid w:val="00340D6D"/>
    <w:rsid w:val="00342B82"/>
    <w:rsid w:val="00345F75"/>
    <w:rsid w:val="00346095"/>
    <w:rsid w:val="003463FB"/>
    <w:rsid w:val="00353F1E"/>
    <w:rsid w:val="00355661"/>
    <w:rsid w:val="00363A27"/>
    <w:rsid w:val="003666A2"/>
    <w:rsid w:val="00366D37"/>
    <w:rsid w:val="0037601D"/>
    <w:rsid w:val="00380CD2"/>
    <w:rsid w:val="00385C67"/>
    <w:rsid w:val="003B0285"/>
    <w:rsid w:val="003B3B9D"/>
    <w:rsid w:val="003B6E89"/>
    <w:rsid w:val="003C1582"/>
    <w:rsid w:val="003C415F"/>
    <w:rsid w:val="003C59CA"/>
    <w:rsid w:val="003C6263"/>
    <w:rsid w:val="003D2656"/>
    <w:rsid w:val="003D421A"/>
    <w:rsid w:val="003D7531"/>
    <w:rsid w:val="003E2EB8"/>
    <w:rsid w:val="003E3479"/>
    <w:rsid w:val="003E630A"/>
    <w:rsid w:val="003F002F"/>
    <w:rsid w:val="003F0CD7"/>
    <w:rsid w:val="003F4509"/>
    <w:rsid w:val="003F64A2"/>
    <w:rsid w:val="00401DBB"/>
    <w:rsid w:val="004021A6"/>
    <w:rsid w:val="00402402"/>
    <w:rsid w:val="00402E74"/>
    <w:rsid w:val="00403B8A"/>
    <w:rsid w:val="00405BC5"/>
    <w:rsid w:val="00410859"/>
    <w:rsid w:val="004141FF"/>
    <w:rsid w:val="00420294"/>
    <w:rsid w:val="004235CC"/>
    <w:rsid w:val="00431992"/>
    <w:rsid w:val="004406ED"/>
    <w:rsid w:val="00443DDB"/>
    <w:rsid w:val="004446D7"/>
    <w:rsid w:val="00446824"/>
    <w:rsid w:val="00450454"/>
    <w:rsid w:val="00456551"/>
    <w:rsid w:val="004573DB"/>
    <w:rsid w:val="00461C71"/>
    <w:rsid w:val="00462D70"/>
    <w:rsid w:val="004641DB"/>
    <w:rsid w:val="004723E5"/>
    <w:rsid w:val="004734BC"/>
    <w:rsid w:val="0047592B"/>
    <w:rsid w:val="004850B1"/>
    <w:rsid w:val="00487B15"/>
    <w:rsid w:val="0049044C"/>
    <w:rsid w:val="00492C1F"/>
    <w:rsid w:val="0049388A"/>
    <w:rsid w:val="0049396A"/>
    <w:rsid w:val="00494215"/>
    <w:rsid w:val="00496BE6"/>
    <w:rsid w:val="004B39C9"/>
    <w:rsid w:val="004B6001"/>
    <w:rsid w:val="004C0957"/>
    <w:rsid w:val="004C2DEA"/>
    <w:rsid w:val="004D0F45"/>
    <w:rsid w:val="004D22C1"/>
    <w:rsid w:val="004E010A"/>
    <w:rsid w:val="004E1966"/>
    <w:rsid w:val="004F0EAF"/>
    <w:rsid w:val="004F440D"/>
    <w:rsid w:val="004F6BBC"/>
    <w:rsid w:val="004F6ECD"/>
    <w:rsid w:val="00503669"/>
    <w:rsid w:val="005046F7"/>
    <w:rsid w:val="00504793"/>
    <w:rsid w:val="0050616F"/>
    <w:rsid w:val="00510571"/>
    <w:rsid w:val="00511FE7"/>
    <w:rsid w:val="0053247B"/>
    <w:rsid w:val="00532FD5"/>
    <w:rsid w:val="005527DD"/>
    <w:rsid w:val="00553E7C"/>
    <w:rsid w:val="00573CE4"/>
    <w:rsid w:val="00575AF9"/>
    <w:rsid w:val="00575BA9"/>
    <w:rsid w:val="00577057"/>
    <w:rsid w:val="005833F2"/>
    <w:rsid w:val="0059060B"/>
    <w:rsid w:val="00590A87"/>
    <w:rsid w:val="0059561B"/>
    <w:rsid w:val="00596E77"/>
    <w:rsid w:val="00597014"/>
    <w:rsid w:val="005A31A5"/>
    <w:rsid w:val="005A6F07"/>
    <w:rsid w:val="005B0A03"/>
    <w:rsid w:val="005B3BE3"/>
    <w:rsid w:val="005B68A8"/>
    <w:rsid w:val="005B782A"/>
    <w:rsid w:val="005C2D72"/>
    <w:rsid w:val="005C389F"/>
    <w:rsid w:val="005C4E9E"/>
    <w:rsid w:val="005D2A41"/>
    <w:rsid w:val="005D3E0A"/>
    <w:rsid w:val="005D50E2"/>
    <w:rsid w:val="005E7643"/>
    <w:rsid w:val="005F0AA3"/>
    <w:rsid w:val="005F18CF"/>
    <w:rsid w:val="005F6803"/>
    <w:rsid w:val="00605DAE"/>
    <w:rsid w:val="00610209"/>
    <w:rsid w:val="0061361C"/>
    <w:rsid w:val="00615E4B"/>
    <w:rsid w:val="00622526"/>
    <w:rsid w:val="00622A1E"/>
    <w:rsid w:val="00627C40"/>
    <w:rsid w:val="006342CD"/>
    <w:rsid w:val="006346B5"/>
    <w:rsid w:val="00634E78"/>
    <w:rsid w:val="00635043"/>
    <w:rsid w:val="006373B8"/>
    <w:rsid w:val="00643946"/>
    <w:rsid w:val="00656275"/>
    <w:rsid w:val="006609BF"/>
    <w:rsid w:val="0066676A"/>
    <w:rsid w:val="00673BE0"/>
    <w:rsid w:val="00673F1C"/>
    <w:rsid w:val="006827BD"/>
    <w:rsid w:val="00683886"/>
    <w:rsid w:val="00687EB6"/>
    <w:rsid w:val="00691687"/>
    <w:rsid w:val="0069463B"/>
    <w:rsid w:val="0069499E"/>
    <w:rsid w:val="006973B8"/>
    <w:rsid w:val="00697798"/>
    <w:rsid w:val="006A3CF6"/>
    <w:rsid w:val="006B3071"/>
    <w:rsid w:val="006B65C0"/>
    <w:rsid w:val="006C4F30"/>
    <w:rsid w:val="006C7D0B"/>
    <w:rsid w:val="006D5D1E"/>
    <w:rsid w:val="006E1467"/>
    <w:rsid w:val="006E5BA5"/>
    <w:rsid w:val="006E7F63"/>
    <w:rsid w:val="006F462C"/>
    <w:rsid w:val="00700610"/>
    <w:rsid w:val="00702EC8"/>
    <w:rsid w:val="007057D4"/>
    <w:rsid w:val="00707458"/>
    <w:rsid w:val="0071082D"/>
    <w:rsid w:val="00713157"/>
    <w:rsid w:val="0071458C"/>
    <w:rsid w:val="007212D2"/>
    <w:rsid w:val="007221F0"/>
    <w:rsid w:val="007249A3"/>
    <w:rsid w:val="00724F90"/>
    <w:rsid w:val="0072584A"/>
    <w:rsid w:val="007300EB"/>
    <w:rsid w:val="00733518"/>
    <w:rsid w:val="00735C09"/>
    <w:rsid w:val="0073646D"/>
    <w:rsid w:val="00737614"/>
    <w:rsid w:val="00740CD2"/>
    <w:rsid w:val="00742499"/>
    <w:rsid w:val="0074417C"/>
    <w:rsid w:val="0074533F"/>
    <w:rsid w:val="00746645"/>
    <w:rsid w:val="00754199"/>
    <w:rsid w:val="0075484B"/>
    <w:rsid w:val="007607D2"/>
    <w:rsid w:val="00770649"/>
    <w:rsid w:val="00770FD4"/>
    <w:rsid w:val="00775F23"/>
    <w:rsid w:val="00786CD6"/>
    <w:rsid w:val="00792D45"/>
    <w:rsid w:val="00793E87"/>
    <w:rsid w:val="0079508D"/>
    <w:rsid w:val="007A08E7"/>
    <w:rsid w:val="007A24CC"/>
    <w:rsid w:val="007A3CAE"/>
    <w:rsid w:val="007A6D35"/>
    <w:rsid w:val="007B6413"/>
    <w:rsid w:val="007C1767"/>
    <w:rsid w:val="007C22E2"/>
    <w:rsid w:val="007D0CD2"/>
    <w:rsid w:val="007D1572"/>
    <w:rsid w:val="007D170F"/>
    <w:rsid w:val="007D4035"/>
    <w:rsid w:val="007D5766"/>
    <w:rsid w:val="007E2A18"/>
    <w:rsid w:val="007E3A80"/>
    <w:rsid w:val="007E5D49"/>
    <w:rsid w:val="007F59AF"/>
    <w:rsid w:val="007F659E"/>
    <w:rsid w:val="00803407"/>
    <w:rsid w:val="008049C1"/>
    <w:rsid w:val="00812509"/>
    <w:rsid w:val="0081505F"/>
    <w:rsid w:val="0081736B"/>
    <w:rsid w:val="0082041D"/>
    <w:rsid w:val="00821E49"/>
    <w:rsid w:val="0082387D"/>
    <w:rsid w:val="008242AE"/>
    <w:rsid w:val="00824745"/>
    <w:rsid w:val="00825B31"/>
    <w:rsid w:val="00832BC6"/>
    <w:rsid w:val="00842DE0"/>
    <w:rsid w:val="00846E64"/>
    <w:rsid w:val="008521CB"/>
    <w:rsid w:val="00854D41"/>
    <w:rsid w:val="00856D2F"/>
    <w:rsid w:val="00860C82"/>
    <w:rsid w:val="00862829"/>
    <w:rsid w:val="00864729"/>
    <w:rsid w:val="00872D2E"/>
    <w:rsid w:val="00880790"/>
    <w:rsid w:val="0088364A"/>
    <w:rsid w:val="0088621F"/>
    <w:rsid w:val="008B0F89"/>
    <w:rsid w:val="008B3C4E"/>
    <w:rsid w:val="008B6719"/>
    <w:rsid w:val="008C1D27"/>
    <w:rsid w:val="008C295B"/>
    <w:rsid w:val="008C32C2"/>
    <w:rsid w:val="008D12B9"/>
    <w:rsid w:val="008D46F5"/>
    <w:rsid w:val="008F3863"/>
    <w:rsid w:val="00901D8F"/>
    <w:rsid w:val="00904F8B"/>
    <w:rsid w:val="009122BF"/>
    <w:rsid w:val="00913282"/>
    <w:rsid w:val="00913628"/>
    <w:rsid w:val="00941698"/>
    <w:rsid w:val="0094208B"/>
    <w:rsid w:val="0094654F"/>
    <w:rsid w:val="00947278"/>
    <w:rsid w:val="009509C9"/>
    <w:rsid w:val="00953A94"/>
    <w:rsid w:val="00956CCE"/>
    <w:rsid w:val="00957546"/>
    <w:rsid w:val="009602ED"/>
    <w:rsid w:val="00961B00"/>
    <w:rsid w:val="009721EA"/>
    <w:rsid w:val="009818A3"/>
    <w:rsid w:val="00982232"/>
    <w:rsid w:val="009826AE"/>
    <w:rsid w:val="009910C3"/>
    <w:rsid w:val="009936A8"/>
    <w:rsid w:val="0099623D"/>
    <w:rsid w:val="009B57AC"/>
    <w:rsid w:val="009B7B19"/>
    <w:rsid w:val="009C0908"/>
    <w:rsid w:val="009C1B9B"/>
    <w:rsid w:val="009C450A"/>
    <w:rsid w:val="009D04D9"/>
    <w:rsid w:val="009D3098"/>
    <w:rsid w:val="009D4004"/>
    <w:rsid w:val="009D46EA"/>
    <w:rsid w:val="00A022EC"/>
    <w:rsid w:val="00A11ABA"/>
    <w:rsid w:val="00A24BE7"/>
    <w:rsid w:val="00A26134"/>
    <w:rsid w:val="00A31521"/>
    <w:rsid w:val="00A31C8B"/>
    <w:rsid w:val="00A3446B"/>
    <w:rsid w:val="00A40172"/>
    <w:rsid w:val="00A47450"/>
    <w:rsid w:val="00A63602"/>
    <w:rsid w:val="00A74A91"/>
    <w:rsid w:val="00A74F1A"/>
    <w:rsid w:val="00A7689F"/>
    <w:rsid w:val="00A8233C"/>
    <w:rsid w:val="00A8408E"/>
    <w:rsid w:val="00A84A51"/>
    <w:rsid w:val="00A945C0"/>
    <w:rsid w:val="00A96660"/>
    <w:rsid w:val="00AA296C"/>
    <w:rsid w:val="00AA2FE8"/>
    <w:rsid w:val="00AA39D5"/>
    <w:rsid w:val="00AA3DAC"/>
    <w:rsid w:val="00AA5D24"/>
    <w:rsid w:val="00AB00D0"/>
    <w:rsid w:val="00AB21B4"/>
    <w:rsid w:val="00AB38D3"/>
    <w:rsid w:val="00AB3C74"/>
    <w:rsid w:val="00AB4722"/>
    <w:rsid w:val="00AC382F"/>
    <w:rsid w:val="00AC654C"/>
    <w:rsid w:val="00AD7782"/>
    <w:rsid w:val="00AE12A8"/>
    <w:rsid w:val="00AE21D0"/>
    <w:rsid w:val="00AF29DA"/>
    <w:rsid w:val="00AF2A32"/>
    <w:rsid w:val="00AF668F"/>
    <w:rsid w:val="00B008C9"/>
    <w:rsid w:val="00B10BB2"/>
    <w:rsid w:val="00B120F5"/>
    <w:rsid w:val="00B13954"/>
    <w:rsid w:val="00B15A21"/>
    <w:rsid w:val="00B260E8"/>
    <w:rsid w:val="00B31D7E"/>
    <w:rsid w:val="00B37C3B"/>
    <w:rsid w:val="00B40248"/>
    <w:rsid w:val="00B40E41"/>
    <w:rsid w:val="00B40FAC"/>
    <w:rsid w:val="00B411EC"/>
    <w:rsid w:val="00B45F19"/>
    <w:rsid w:val="00B46E7A"/>
    <w:rsid w:val="00B50DF9"/>
    <w:rsid w:val="00B5350C"/>
    <w:rsid w:val="00B547C4"/>
    <w:rsid w:val="00B5666A"/>
    <w:rsid w:val="00B61C25"/>
    <w:rsid w:val="00B64B29"/>
    <w:rsid w:val="00B6520F"/>
    <w:rsid w:val="00B766B1"/>
    <w:rsid w:val="00B84812"/>
    <w:rsid w:val="00B854AF"/>
    <w:rsid w:val="00B8574A"/>
    <w:rsid w:val="00B86D69"/>
    <w:rsid w:val="00B92574"/>
    <w:rsid w:val="00B9567F"/>
    <w:rsid w:val="00BA3CA0"/>
    <w:rsid w:val="00BA7D41"/>
    <w:rsid w:val="00BA7D79"/>
    <w:rsid w:val="00BB624D"/>
    <w:rsid w:val="00BC292F"/>
    <w:rsid w:val="00BD125B"/>
    <w:rsid w:val="00BD2022"/>
    <w:rsid w:val="00BD2154"/>
    <w:rsid w:val="00BD6874"/>
    <w:rsid w:val="00BE4188"/>
    <w:rsid w:val="00BE6326"/>
    <w:rsid w:val="00BF1E0E"/>
    <w:rsid w:val="00C0114D"/>
    <w:rsid w:val="00C02E5B"/>
    <w:rsid w:val="00C02F5E"/>
    <w:rsid w:val="00C075B9"/>
    <w:rsid w:val="00C11EAD"/>
    <w:rsid w:val="00C11EF5"/>
    <w:rsid w:val="00C14F6F"/>
    <w:rsid w:val="00C15FA8"/>
    <w:rsid w:val="00C17788"/>
    <w:rsid w:val="00C20781"/>
    <w:rsid w:val="00C2190A"/>
    <w:rsid w:val="00C35684"/>
    <w:rsid w:val="00C4539E"/>
    <w:rsid w:val="00C50E1C"/>
    <w:rsid w:val="00C6399B"/>
    <w:rsid w:val="00C6672D"/>
    <w:rsid w:val="00C74086"/>
    <w:rsid w:val="00C76A31"/>
    <w:rsid w:val="00C77441"/>
    <w:rsid w:val="00C80ADA"/>
    <w:rsid w:val="00C8495E"/>
    <w:rsid w:val="00C851F0"/>
    <w:rsid w:val="00C9372C"/>
    <w:rsid w:val="00C952EA"/>
    <w:rsid w:val="00C975B6"/>
    <w:rsid w:val="00CA055D"/>
    <w:rsid w:val="00CA112A"/>
    <w:rsid w:val="00CB10E0"/>
    <w:rsid w:val="00CB3B5C"/>
    <w:rsid w:val="00CB5DB4"/>
    <w:rsid w:val="00CB6376"/>
    <w:rsid w:val="00CC468E"/>
    <w:rsid w:val="00CC6258"/>
    <w:rsid w:val="00CC7A03"/>
    <w:rsid w:val="00CE04ED"/>
    <w:rsid w:val="00CE1F9D"/>
    <w:rsid w:val="00CE7679"/>
    <w:rsid w:val="00CF037A"/>
    <w:rsid w:val="00CF0919"/>
    <w:rsid w:val="00CF1083"/>
    <w:rsid w:val="00CF6564"/>
    <w:rsid w:val="00D0430D"/>
    <w:rsid w:val="00D10608"/>
    <w:rsid w:val="00D12543"/>
    <w:rsid w:val="00D26CA1"/>
    <w:rsid w:val="00D304A6"/>
    <w:rsid w:val="00D317FF"/>
    <w:rsid w:val="00D327E0"/>
    <w:rsid w:val="00D360B8"/>
    <w:rsid w:val="00D42A8C"/>
    <w:rsid w:val="00D43E8A"/>
    <w:rsid w:val="00D45639"/>
    <w:rsid w:val="00D52031"/>
    <w:rsid w:val="00D60D9D"/>
    <w:rsid w:val="00D6186B"/>
    <w:rsid w:val="00D70507"/>
    <w:rsid w:val="00D7694D"/>
    <w:rsid w:val="00D83994"/>
    <w:rsid w:val="00D849FF"/>
    <w:rsid w:val="00D8555B"/>
    <w:rsid w:val="00D9129E"/>
    <w:rsid w:val="00D9346F"/>
    <w:rsid w:val="00D9660F"/>
    <w:rsid w:val="00D9730C"/>
    <w:rsid w:val="00DA6DE0"/>
    <w:rsid w:val="00DB09C8"/>
    <w:rsid w:val="00DB18A8"/>
    <w:rsid w:val="00DB2407"/>
    <w:rsid w:val="00DB2472"/>
    <w:rsid w:val="00DB6D45"/>
    <w:rsid w:val="00DB783C"/>
    <w:rsid w:val="00DC1AA5"/>
    <w:rsid w:val="00DC2B9A"/>
    <w:rsid w:val="00DD76F7"/>
    <w:rsid w:val="00DD7D7C"/>
    <w:rsid w:val="00DE1B98"/>
    <w:rsid w:val="00DE71B1"/>
    <w:rsid w:val="00DE7567"/>
    <w:rsid w:val="00DF733F"/>
    <w:rsid w:val="00E11D68"/>
    <w:rsid w:val="00E14BA9"/>
    <w:rsid w:val="00E208AC"/>
    <w:rsid w:val="00E21EB7"/>
    <w:rsid w:val="00E22974"/>
    <w:rsid w:val="00E31378"/>
    <w:rsid w:val="00E36151"/>
    <w:rsid w:val="00E36BD1"/>
    <w:rsid w:val="00E3725E"/>
    <w:rsid w:val="00E43387"/>
    <w:rsid w:val="00E43F78"/>
    <w:rsid w:val="00E46399"/>
    <w:rsid w:val="00E47AD2"/>
    <w:rsid w:val="00E55671"/>
    <w:rsid w:val="00E6122B"/>
    <w:rsid w:val="00E61B28"/>
    <w:rsid w:val="00E66302"/>
    <w:rsid w:val="00E72FC0"/>
    <w:rsid w:val="00E768E5"/>
    <w:rsid w:val="00E775B3"/>
    <w:rsid w:val="00E810DB"/>
    <w:rsid w:val="00E864C7"/>
    <w:rsid w:val="00E876F3"/>
    <w:rsid w:val="00E9398C"/>
    <w:rsid w:val="00E952A0"/>
    <w:rsid w:val="00E96E5D"/>
    <w:rsid w:val="00EA0BF8"/>
    <w:rsid w:val="00EA4CD9"/>
    <w:rsid w:val="00EA7F2C"/>
    <w:rsid w:val="00EB42A2"/>
    <w:rsid w:val="00EB5E84"/>
    <w:rsid w:val="00EB6B72"/>
    <w:rsid w:val="00EC32C2"/>
    <w:rsid w:val="00EC42EA"/>
    <w:rsid w:val="00EC5705"/>
    <w:rsid w:val="00EC7B3A"/>
    <w:rsid w:val="00EE6F1D"/>
    <w:rsid w:val="00EF4316"/>
    <w:rsid w:val="00EF6D37"/>
    <w:rsid w:val="00F22181"/>
    <w:rsid w:val="00F241CE"/>
    <w:rsid w:val="00F26040"/>
    <w:rsid w:val="00F26667"/>
    <w:rsid w:val="00F357DF"/>
    <w:rsid w:val="00F406E5"/>
    <w:rsid w:val="00F420C3"/>
    <w:rsid w:val="00F52333"/>
    <w:rsid w:val="00F53224"/>
    <w:rsid w:val="00F53654"/>
    <w:rsid w:val="00F56C32"/>
    <w:rsid w:val="00F62DB7"/>
    <w:rsid w:val="00F630D7"/>
    <w:rsid w:val="00F648E5"/>
    <w:rsid w:val="00F652E6"/>
    <w:rsid w:val="00F66EAA"/>
    <w:rsid w:val="00F67273"/>
    <w:rsid w:val="00F70D39"/>
    <w:rsid w:val="00F70DB2"/>
    <w:rsid w:val="00F7193F"/>
    <w:rsid w:val="00F7378A"/>
    <w:rsid w:val="00F76415"/>
    <w:rsid w:val="00F82075"/>
    <w:rsid w:val="00F82BD4"/>
    <w:rsid w:val="00F84119"/>
    <w:rsid w:val="00F859D4"/>
    <w:rsid w:val="00F90626"/>
    <w:rsid w:val="00F96728"/>
    <w:rsid w:val="00F97681"/>
    <w:rsid w:val="00F978A8"/>
    <w:rsid w:val="00FA0279"/>
    <w:rsid w:val="00FA5351"/>
    <w:rsid w:val="00FA6CE9"/>
    <w:rsid w:val="00FB31EF"/>
    <w:rsid w:val="00FB66E2"/>
    <w:rsid w:val="00FC285C"/>
    <w:rsid w:val="00FC4046"/>
    <w:rsid w:val="00FC6816"/>
    <w:rsid w:val="00FC7098"/>
    <w:rsid w:val="00FD2DB5"/>
    <w:rsid w:val="00FE7B2F"/>
    <w:rsid w:val="00FF0E9C"/>
    <w:rsid w:val="00FF39F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1CDC03"/>
  <w15:docId w15:val="{3BBDF946-22C0-467C-84A1-D99A93BB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60F"/>
    <w:pPr>
      <w:jc w:val="both"/>
    </w:pPr>
    <w:rPr>
      <w:rFonts w:ascii="Times LT Std" w:hAnsi="Times LT Std"/>
      <w:sz w:val="24"/>
      <w:szCs w:val="24"/>
      <w:lang w:eastAsia="fr-FR"/>
    </w:rPr>
  </w:style>
  <w:style w:type="paragraph" w:styleId="Titre1">
    <w:name w:val="heading 1"/>
    <w:basedOn w:val="Normal"/>
    <w:next w:val="Normal"/>
    <w:qFormat/>
    <w:pPr>
      <w:keepNext/>
      <w:tabs>
        <w:tab w:val="left" w:pos="2520"/>
      </w:tabs>
      <w:spacing w:after="120"/>
      <w:ind w:right="475"/>
      <w:jc w:val="center"/>
      <w:outlineLvl w:val="0"/>
    </w:pPr>
    <w:rPr>
      <w:b/>
      <w:bCs/>
      <w:sz w:val="32"/>
    </w:rPr>
  </w:style>
  <w:style w:type="paragraph" w:styleId="Titre2">
    <w:name w:val="heading 2"/>
    <w:basedOn w:val="Normal"/>
    <w:next w:val="Normal"/>
    <w:qFormat/>
    <w:pPr>
      <w:keepNext/>
      <w:jc w:val="center"/>
      <w:outlineLvl w:val="1"/>
    </w:pPr>
    <w:rPr>
      <w:b/>
      <w:bCs/>
      <w:sz w:val="36"/>
    </w:rPr>
  </w:style>
  <w:style w:type="paragraph" w:styleId="Titre3">
    <w:name w:val="heading 3"/>
    <w:basedOn w:val="Normal"/>
    <w:next w:val="Normal"/>
    <w:qFormat/>
    <w:pPr>
      <w:keepNext/>
      <w:jc w:val="center"/>
      <w:outlineLvl w:val="2"/>
    </w:pPr>
    <w:rPr>
      <w:b/>
      <w:bCs/>
      <w:sz w:val="22"/>
    </w:rPr>
  </w:style>
  <w:style w:type="paragraph" w:styleId="Titre4">
    <w:name w:val="heading 4"/>
    <w:basedOn w:val="Normal"/>
    <w:next w:val="Normal"/>
    <w:qFormat/>
    <w:pPr>
      <w:keepNext/>
      <w:outlineLvl w:val="3"/>
    </w:pPr>
    <w:rPr>
      <w:vanish/>
      <w:sz w:val="20"/>
    </w:rPr>
  </w:style>
  <w:style w:type="paragraph" w:styleId="Titre5">
    <w:name w:val="heading 5"/>
    <w:basedOn w:val="Normal"/>
    <w:next w:val="Normal"/>
    <w:qFormat/>
    <w:pPr>
      <w:keepNext/>
      <w:spacing w:line="320" w:lineRule="exact"/>
      <w:jc w:val="center"/>
      <w:outlineLvl w:val="4"/>
    </w:pPr>
    <w:rPr>
      <w:b/>
      <w:bCs/>
      <w:sz w:val="32"/>
    </w:rPr>
  </w:style>
  <w:style w:type="paragraph" w:styleId="Titre6">
    <w:name w:val="heading 6"/>
    <w:basedOn w:val="Normal"/>
    <w:next w:val="Normal"/>
    <w:qFormat/>
    <w:pPr>
      <w:keepNext/>
      <w:tabs>
        <w:tab w:val="left" w:pos="1800"/>
      </w:tabs>
      <w:jc w:val="left"/>
      <w:outlineLvl w:val="5"/>
    </w:pPr>
    <w:rPr>
      <w:sz w:val="28"/>
    </w:rPr>
  </w:style>
  <w:style w:type="paragraph" w:styleId="Titre7">
    <w:name w:val="heading 7"/>
    <w:basedOn w:val="Normal"/>
    <w:next w:val="Normal"/>
    <w:qFormat/>
    <w:pPr>
      <w:keepNext/>
      <w:outlineLvl w:val="6"/>
    </w:pPr>
    <w:rPr>
      <w:rFonts w:ascii="Times New (W1)" w:hAnsi="Times New (W1)"/>
      <w:vanish/>
      <w:sz w:val="22"/>
    </w:rPr>
  </w:style>
  <w:style w:type="paragraph" w:styleId="Titre8">
    <w:name w:val="heading 8"/>
    <w:basedOn w:val="Normal"/>
    <w:next w:val="Normal"/>
    <w:link w:val="Titre8Car"/>
    <w:qFormat/>
    <w:pPr>
      <w:keepNext/>
      <w:outlineLvl w:val="7"/>
    </w:pPr>
    <w:rPr>
      <w:b/>
      <w:bCs/>
      <w:vanish/>
      <w:sz w:val="20"/>
    </w:rPr>
  </w:style>
  <w:style w:type="paragraph" w:styleId="Titre9">
    <w:name w:val="heading 9"/>
    <w:basedOn w:val="Normal"/>
    <w:next w:val="Normal"/>
    <w:qFormat/>
    <w:pPr>
      <w:keepNext/>
      <w:jc w:val="center"/>
      <w:outlineLvl w:val="8"/>
    </w:pPr>
    <w:rPr>
      <w:b/>
      <w:bCs/>
      <w:sz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pPr>
      <w:tabs>
        <w:tab w:val="center" w:pos="4320"/>
        <w:tab w:val="right" w:pos="8640"/>
      </w:tabs>
    </w:pPr>
  </w:style>
  <w:style w:type="paragraph" w:styleId="Pieddepage">
    <w:name w:val="footer"/>
    <w:basedOn w:val="Normal"/>
    <w:semiHidden/>
    <w:pPr>
      <w:tabs>
        <w:tab w:val="center" w:pos="4320"/>
        <w:tab w:val="right" w:pos="8640"/>
      </w:tabs>
    </w:pPr>
  </w:style>
  <w:style w:type="character" w:styleId="Numrodepage">
    <w:name w:val="page number"/>
    <w:basedOn w:val="Policepardfaut"/>
    <w:semiHidden/>
  </w:style>
  <w:style w:type="paragraph" w:customStyle="1" w:styleId="A-NOTA">
    <w:name w:val="A-NOTA"/>
    <w:basedOn w:val="marge0"/>
    <w:next w:val="Normal"/>
    <w:pPr>
      <w:ind w:left="1080" w:hanging="1080"/>
    </w:pPr>
    <w:rPr>
      <w:b/>
    </w:rPr>
  </w:style>
  <w:style w:type="paragraph" w:customStyle="1" w:styleId="A-Question">
    <w:name w:val="A-Question"/>
    <w:basedOn w:val="marge0"/>
    <w:pPr>
      <w:ind w:left="360" w:hanging="360"/>
    </w:pPr>
    <w:rPr>
      <w:b/>
    </w:rPr>
  </w:style>
  <w:style w:type="paragraph" w:customStyle="1" w:styleId="A-Citation025">
    <w:name w:val="A-Citation 0.25"/>
    <w:basedOn w:val="marge0"/>
    <w:pPr>
      <w:ind w:left="360" w:right="360"/>
    </w:pPr>
  </w:style>
  <w:style w:type="character" w:customStyle="1" w:styleId="A-Century">
    <w:name w:val="A-Century"/>
    <w:rPr>
      <w:rFonts w:ascii="Century Gothic" w:hAnsi="Century Gothic"/>
      <w:b/>
      <w:sz w:val="24"/>
      <w:lang w:val="fr-CA"/>
    </w:rPr>
  </w:style>
  <w:style w:type="paragraph" w:customStyle="1" w:styleId="marge0">
    <w:name w:val="marge 0."/>
    <w:basedOn w:val="Normal"/>
    <w:rsid w:val="00D9660F"/>
    <w:pPr>
      <w:spacing w:line="288" w:lineRule="auto"/>
      <w:textAlignment w:val="baseline"/>
    </w:pPr>
    <w:rPr>
      <w:rFonts w:ascii="Times New Roman" w:hAnsi="Times New Roman"/>
    </w:rPr>
  </w:style>
  <w:style w:type="paragraph" w:customStyle="1" w:styleId="marge025">
    <w:name w:val="marge 0.25"/>
    <w:basedOn w:val="marge0"/>
    <w:pPr>
      <w:ind w:left="360"/>
    </w:pPr>
  </w:style>
  <w:style w:type="paragraph" w:customStyle="1" w:styleId="marge050">
    <w:name w:val="marge 0.50"/>
    <w:basedOn w:val="marge025"/>
    <w:pPr>
      <w:ind w:left="720"/>
    </w:pPr>
  </w:style>
  <w:style w:type="paragraph" w:customStyle="1" w:styleId="marge075">
    <w:name w:val="marge 0.75"/>
    <w:basedOn w:val="marge050"/>
    <w:pPr>
      <w:ind w:left="1080"/>
    </w:pPr>
  </w:style>
  <w:style w:type="paragraph" w:customStyle="1" w:styleId="marge1">
    <w:name w:val="marge 1."/>
    <w:basedOn w:val="marge075"/>
    <w:pPr>
      <w:ind w:left="1440"/>
    </w:pPr>
  </w:style>
  <w:style w:type="paragraph" w:customStyle="1" w:styleId="marge125">
    <w:name w:val="marge 1.25"/>
    <w:basedOn w:val="marge1"/>
    <w:pPr>
      <w:ind w:left="1800"/>
    </w:pPr>
  </w:style>
  <w:style w:type="paragraph" w:customStyle="1" w:styleId="marge150">
    <w:name w:val="marge 1.50"/>
    <w:basedOn w:val="marge125"/>
    <w:pPr>
      <w:ind w:left="2160"/>
    </w:pPr>
  </w:style>
  <w:style w:type="paragraph" w:customStyle="1" w:styleId="marge2">
    <w:name w:val="marge 2."/>
    <w:basedOn w:val="marge0"/>
    <w:pPr>
      <w:autoSpaceDE w:val="0"/>
      <w:autoSpaceDN w:val="0"/>
      <w:adjustRightInd w:val="0"/>
      <w:ind w:left="2880"/>
    </w:pPr>
    <w:rPr>
      <w:color w:val="000000"/>
    </w:rPr>
  </w:style>
  <w:style w:type="paragraph" w:customStyle="1" w:styleId="marge3">
    <w:name w:val="marge 3."/>
    <w:basedOn w:val="marge0"/>
    <w:pPr>
      <w:autoSpaceDE w:val="0"/>
      <w:autoSpaceDN w:val="0"/>
      <w:adjustRightInd w:val="0"/>
      <w:ind w:left="4320"/>
    </w:pPr>
    <w:rPr>
      <w:color w:val="000000"/>
    </w:rPr>
  </w:style>
  <w:style w:type="paragraph" w:customStyle="1" w:styleId="marge4">
    <w:name w:val="marge 4."/>
    <w:basedOn w:val="marge0"/>
    <w:pPr>
      <w:autoSpaceDE w:val="0"/>
      <w:autoSpaceDN w:val="0"/>
      <w:adjustRightInd w:val="0"/>
      <w:ind w:left="5760"/>
    </w:pPr>
    <w:rPr>
      <w:color w:val="000000"/>
    </w:rPr>
  </w:style>
  <w:style w:type="paragraph" w:customStyle="1" w:styleId="tabimp025">
    <w:name w:val="tab. imp. 0.25"/>
    <w:basedOn w:val="marge0"/>
    <w:pPr>
      <w:tabs>
        <w:tab w:val="left" w:pos="360"/>
      </w:tabs>
      <w:ind w:left="360" w:hanging="360"/>
    </w:pPr>
  </w:style>
  <w:style w:type="paragraph" w:customStyle="1" w:styleId="tabimp050">
    <w:name w:val="tab. imp. 0.50"/>
    <w:basedOn w:val="tabimp025"/>
    <w:pPr>
      <w:tabs>
        <w:tab w:val="clear" w:pos="360"/>
        <w:tab w:val="left" w:pos="720"/>
      </w:tabs>
      <w:ind w:left="720"/>
    </w:pPr>
  </w:style>
  <w:style w:type="paragraph" w:customStyle="1" w:styleId="tabimp075">
    <w:name w:val="tab. imp. 0.75"/>
    <w:basedOn w:val="tabimp050"/>
    <w:pPr>
      <w:tabs>
        <w:tab w:val="clear" w:pos="720"/>
        <w:tab w:val="left" w:pos="1080"/>
      </w:tabs>
      <w:ind w:left="1080"/>
    </w:pPr>
  </w:style>
  <w:style w:type="paragraph" w:customStyle="1" w:styleId="tabimp1">
    <w:name w:val="tab. imp. 1."/>
    <w:basedOn w:val="tabimp075"/>
    <w:pPr>
      <w:tabs>
        <w:tab w:val="clear" w:pos="1080"/>
        <w:tab w:val="left" w:pos="1440"/>
      </w:tabs>
      <w:ind w:left="1440"/>
    </w:pPr>
  </w:style>
  <w:style w:type="paragraph" w:customStyle="1" w:styleId="tabimp125">
    <w:name w:val="tab. imp. 1.25"/>
    <w:basedOn w:val="tabimp1"/>
    <w:pPr>
      <w:tabs>
        <w:tab w:val="clear" w:pos="1440"/>
        <w:tab w:val="left" w:pos="1800"/>
      </w:tabs>
      <w:ind w:left="1800"/>
    </w:pPr>
  </w:style>
  <w:style w:type="paragraph" w:customStyle="1" w:styleId="tabimp150">
    <w:name w:val="tab. imp. 1.50"/>
    <w:basedOn w:val="tabimp125"/>
    <w:pPr>
      <w:tabs>
        <w:tab w:val="clear" w:pos="1800"/>
        <w:tab w:val="left" w:pos="2160"/>
      </w:tabs>
      <w:ind w:left="2160"/>
    </w:pPr>
  </w:style>
  <w:style w:type="paragraph" w:customStyle="1" w:styleId="tabimp175">
    <w:name w:val="tab. imp. 1.75"/>
    <w:basedOn w:val="tabimp150"/>
    <w:pPr>
      <w:tabs>
        <w:tab w:val="clear" w:pos="2160"/>
        <w:tab w:val="left" w:pos="2520"/>
      </w:tabs>
      <w:ind w:left="2520"/>
    </w:pPr>
  </w:style>
  <w:style w:type="paragraph" w:customStyle="1" w:styleId="tabimp2">
    <w:name w:val="tab. imp. 2."/>
    <w:basedOn w:val="tabimp175"/>
    <w:pPr>
      <w:tabs>
        <w:tab w:val="clear" w:pos="2520"/>
        <w:tab w:val="left" w:pos="2880"/>
      </w:tabs>
      <w:ind w:left="2880"/>
    </w:pPr>
  </w:style>
  <w:style w:type="paragraph" w:customStyle="1" w:styleId="Droulement">
    <w:name w:val="Déroulement"/>
    <w:basedOn w:val="marge0"/>
    <w:pPr>
      <w:tabs>
        <w:tab w:val="left" w:pos="1080"/>
        <w:tab w:val="left" w:pos="1440"/>
      </w:tabs>
      <w:ind w:left="1440" w:hanging="1440"/>
    </w:pPr>
  </w:style>
  <w:style w:type="paragraph" w:customStyle="1" w:styleId="Noparagraphstyle">
    <w:name w:val="[No paragraph style]"/>
    <w:pPr>
      <w:autoSpaceDE w:val="0"/>
      <w:autoSpaceDN w:val="0"/>
      <w:adjustRightInd w:val="0"/>
      <w:spacing w:line="288" w:lineRule="auto"/>
      <w:textAlignment w:val="center"/>
    </w:pPr>
    <w:rPr>
      <w:color w:val="000000"/>
      <w:sz w:val="24"/>
      <w:szCs w:val="24"/>
      <w:lang w:val="fr-FR" w:eastAsia="fr-FR"/>
    </w:rPr>
  </w:style>
  <w:style w:type="paragraph" w:styleId="Corpsdetexte">
    <w:name w:val="Body Text"/>
    <w:basedOn w:val="Normal"/>
    <w:semiHidden/>
    <w:pPr>
      <w:jc w:val="center"/>
    </w:pPr>
  </w:style>
  <w:style w:type="paragraph" w:styleId="Textedebulles">
    <w:name w:val="Balloon Text"/>
    <w:basedOn w:val="Normal"/>
    <w:semiHidden/>
    <w:pPr>
      <w:jc w:val="left"/>
    </w:pPr>
    <w:rPr>
      <w:rFonts w:ascii="Tahoma" w:hAnsi="Tahoma" w:cs="Tahoma"/>
      <w:b/>
      <w:sz w:val="16"/>
      <w:szCs w:val="16"/>
      <w:lang w:eastAsia="en-US"/>
    </w:rPr>
  </w:style>
  <w:style w:type="character" w:customStyle="1" w:styleId="Titre8Car">
    <w:name w:val="Titre 8 Car"/>
    <w:link w:val="Titre8"/>
    <w:rsid w:val="000D45C4"/>
    <w:rPr>
      <w:b/>
      <w:bCs/>
      <w:vanish/>
      <w:szCs w:val="24"/>
      <w:lang w:eastAsia="fr-FR"/>
    </w:rPr>
  </w:style>
  <w:style w:type="paragraph" w:styleId="Paragraphedeliste">
    <w:name w:val="List Paragraph"/>
    <w:basedOn w:val="Normal"/>
    <w:uiPriority w:val="34"/>
    <w:qFormat/>
    <w:rsid w:val="001C6CF8"/>
    <w:pPr>
      <w:ind w:left="708"/>
      <w:jc w:val="left"/>
    </w:pPr>
    <w:rPr>
      <w:rFonts w:ascii="Arial" w:hAnsi="Arial" w:cs="Arial"/>
      <w:b/>
      <w:sz w:val="22"/>
      <w:szCs w:val="22"/>
      <w:lang w:eastAsia="en-US"/>
    </w:rPr>
  </w:style>
  <w:style w:type="character" w:styleId="Accentuation">
    <w:name w:val="Emphasis"/>
    <w:qFormat/>
    <w:rsid w:val="00F532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2E771-83B5-4DF5-8457-54A9DA8F5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Pages>
  <Words>1062</Words>
  <Characters>5841</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Barreau du Québec</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Jacinthe Caron</dc:creator>
  <cp:keywords/>
  <dc:description/>
  <cp:lastModifiedBy>Daphnée Chabot</cp:lastModifiedBy>
  <cp:revision>261</cp:revision>
  <cp:lastPrinted>2019-06-19T15:18:00Z</cp:lastPrinted>
  <dcterms:created xsi:type="dcterms:W3CDTF">2023-02-07T13:30:00Z</dcterms:created>
  <dcterms:modified xsi:type="dcterms:W3CDTF">2023-04-22T15:49:00Z</dcterms:modified>
</cp:coreProperties>
</file>