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407FF0" w:rsidRPr="00364B20" w14:paraId="50B15933" w14:textId="77777777" w:rsidTr="00B746A4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1376D40B" w14:textId="77777777" w:rsidR="00407FF0" w:rsidRPr="007A0552" w:rsidRDefault="00407FF0" w:rsidP="007C29B2">
            <w:pPr>
              <w:tabs>
                <w:tab w:val="left" w:pos="2520"/>
              </w:tabs>
              <w:suppressAutoHyphens/>
              <w:spacing w:after="120"/>
              <w:jc w:val="center"/>
              <w:rPr>
                <w:rFonts w:ascii="Times New Roman" w:hAnsi="Times New Roman"/>
                <w:sz w:val="32"/>
              </w:rPr>
            </w:pPr>
            <w:r w:rsidRPr="007A0552">
              <w:rPr>
                <w:rFonts w:ascii="Times New Roman" w:hAnsi="Times New Roman"/>
              </w:rPr>
              <w:br w:type="page"/>
            </w:r>
            <w:r w:rsidRPr="007A0552">
              <w:rPr>
                <w:rFonts w:ascii="Times New Roman" w:hAnsi="Times New Roman"/>
              </w:rPr>
              <w:br w:type="page"/>
            </w:r>
            <w:r w:rsidR="003744F0">
              <w:rPr>
                <w:rFonts w:ascii="Times New Roman" w:hAnsi="Times New Roman"/>
                <w:b/>
                <w:bCs/>
                <w:sz w:val="32"/>
              </w:rPr>
              <w:t>ANNEXE 3</w:t>
            </w:r>
          </w:p>
        </w:tc>
      </w:tr>
      <w:tr w:rsidR="00407FF0" w:rsidRPr="00364B20" w14:paraId="2FB2B21C" w14:textId="77777777" w:rsidTr="00B746A4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7E400" w14:textId="77777777" w:rsidR="00407FF0" w:rsidRPr="007A0552" w:rsidRDefault="00407FF0" w:rsidP="00323ED6">
            <w:pPr>
              <w:tabs>
                <w:tab w:val="left" w:pos="4997"/>
              </w:tabs>
              <w:suppressAutoHyphens/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7A0552">
              <w:rPr>
                <w:rFonts w:ascii="Times New Roman" w:hAnsi="Times New Roman"/>
                <w:b/>
                <w:bCs/>
                <w:sz w:val="28"/>
              </w:rPr>
              <w:t xml:space="preserve">DOSSIER </w:t>
            </w:r>
            <w:r w:rsidR="00ED2A5C">
              <w:rPr>
                <w:rFonts w:ascii="Times New Roman" w:hAnsi="Times New Roman"/>
                <w:b/>
                <w:bCs/>
                <w:sz w:val="28"/>
              </w:rPr>
              <w:t>MA</w:t>
            </w:r>
            <w:r w:rsidR="00323ED6">
              <w:rPr>
                <w:rFonts w:ascii="Times New Roman" w:hAnsi="Times New Roman"/>
                <w:b/>
                <w:bCs/>
                <w:sz w:val="28"/>
              </w:rPr>
              <w:t>SSÉ</w:t>
            </w:r>
            <w:r w:rsidRPr="007A0552">
              <w:rPr>
                <w:rFonts w:ascii="Times New Roman" w:hAnsi="Times New Roman"/>
                <w:b/>
                <w:bCs/>
                <w:sz w:val="28"/>
              </w:rPr>
              <w:t> :</w:t>
            </w:r>
            <w:r w:rsidRPr="007A0552">
              <w:rPr>
                <w:rFonts w:ascii="Times New Roman" w:hAnsi="Times New Roman"/>
                <w:sz w:val="28"/>
              </w:rPr>
              <w:t xml:space="preserve"> RÉSUMÉ</w:t>
            </w:r>
            <w:r w:rsidR="0045360C" w:rsidRPr="007A0552">
              <w:rPr>
                <w:rFonts w:ascii="Times New Roman" w:hAnsi="Times New Roman"/>
                <w:sz w:val="28"/>
              </w:rPr>
              <w:t>S</w:t>
            </w:r>
            <w:r w:rsidRPr="007A0552">
              <w:rPr>
                <w:rFonts w:ascii="Times New Roman" w:hAnsi="Times New Roman"/>
                <w:sz w:val="28"/>
              </w:rPr>
              <w:t xml:space="preserve"> DES FAITS</w:t>
            </w:r>
          </w:p>
        </w:tc>
      </w:tr>
      <w:tr w:rsidR="00407FF0" w:rsidRPr="00364B20" w14:paraId="278D5974" w14:textId="77777777" w:rsidTr="00B746A4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7567BB67" w14:textId="77777777" w:rsidR="00407FF0" w:rsidRPr="007A0552" w:rsidRDefault="00407FF0" w:rsidP="007F2BCB">
            <w:pPr>
              <w:suppressAutoHyphens/>
              <w:rPr>
                <w:rFonts w:ascii="Times New Roman" w:hAnsi="Times New Roman"/>
                <w:sz w:val="18"/>
              </w:rPr>
            </w:pPr>
          </w:p>
        </w:tc>
      </w:tr>
    </w:tbl>
    <w:p w14:paraId="74AD7481" w14:textId="77777777" w:rsidR="00407FF0" w:rsidRPr="007A0552" w:rsidRDefault="00407FF0" w:rsidP="00407FF0">
      <w:pPr>
        <w:suppressAutoHyphens/>
        <w:rPr>
          <w:rFonts w:ascii="Times New Roman" w:hAnsi="Times New Roman"/>
          <w:sz w:val="18"/>
        </w:rPr>
      </w:pPr>
    </w:p>
    <w:p w14:paraId="77E482A5" w14:textId="193047F6" w:rsidR="00323ED6" w:rsidRPr="008B0C38" w:rsidRDefault="00323ED6" w:rsidP="00323ED6">
      <w:pPr>
        <w:pStyle w:val="marge0"/>
        <w:suppressAutoHyphens/>
        <w:spacing w:line="276" w:lineRule="auto"/>
        <w:rPr>
          <w:spacing w:val="-2"/>
        </w:rPr>
      </w:pPr>
      <w:r>
        <w:rPr>
          <w:spacing w:val="-2"/>
        </w:rPr>
        <w:t>Carmel</w:t>
      </w:r>
      <w:r w:rsidRPr="008B0C38">
        <w:rPr>
          <w:spacing w:val="-2"/>
        </w:rPr>
        <w:t xml:space="preserve"> </w:t>
      </w:r>
      <w:r>
        <w:rPr>
          <w:spacing w:val="-2"/>
        </w:rPr>
        <w:t>Massé</w:t>
      </w:r>
      <w:r w:rsidRPr="008B0C38">
        <w:rPr>
          <w:spacing w:val="-2"/>
        </w:rPr>
        <w:t xml:space="preserve"> et </w:t>
      </w:r>
      <w:r>
        <w:rPr>
          <w:spacing w:val="-2"/>
        </w:rPr>
        <w:t>Gilles</w:t>
      </w:r>
      <w:r w:rsidRPr="008B0C38">
        <w:rPr>
          <w:spacing w:val="-2"/>
        </w:rPr>
        <w:t xml:space="preserve"> </w:t>
      </w:r>
      <w:r>
        <w:rPr>
          <w:spacing w:val="-2"/>
        </w:rPr>
        <w:t>Castilloux</w:t>
      </w:r>
      <w:r w:rsidRPr="008B0C38">
        <w:rPr>
          <w:spacing w:val="-2"/>
        </w:rPr>
        <w:t xml:space="preserve"> se marient en </w:t>
      </w:r>
      <w:r>
        <w:rPr>
          <w:rFonts w:ascii="Microsoft New Tai Lue" w:hAnsi="Microsoft New Tai Lue"/>
          <w:b/>
          <w:bCs/>
          <w:spacing w:val="-2"/>
        </w:rPr>
        <w:t>1989</w:t>
      </w:r>
      <w:r w:rsidRPr="008B0C38">
        <w:rPr>
          <w:spacing w:val="-2"/>
        </w:rPr>
        <w:t xml:space="preserve"> sous le régime de la </w:t>
      </w:r>
      <w:r w:rsidRPr="003C277E">
        <w:rPr>
          <w:spacing w:val="-2"/>
          <w:highlight w:val="cyan"/>
        </w:rPr>
        <w:t>société d’acquêts</w:t>
      </w:r>
      <w:r w:rsidRPr="008B0C38">
        <w:rPr>
          <w:spacing w:val="-2"/>
        </w:rPr>
        <w:t xml:space="preserve"> et </w:t>
      </w:r>
      <w:r w:rsidRPr="00A13FFD">
        <w:rPr>
          <w:spacing w:val="-2"/>
          <w:highlight w:val="cyan"/>
        </w:rPr>
        <w:t>signent en temps utile une convention d’exclusion relative aux dispositions du patrimoine</w:t>
      </w:r>
      <w:r w:rsidRPr="008B0C38">
        <w:rPr>
          <w:spacing w:val="-2"/>
        </w:rPr>
        <w:t xml:space="preserve"> familial.</w:t>
      </w:r>
      <w:r w:rsidR="00432AF2">
        <w:rPr>
          <w:spacing w:val="-2"/>
        </w:rPr>
        <w:t xml:space="preserve"> (Donc l’ensemble des biens seront régis par la société d’</w:t>
      </w:r>
      <w:r w:rsidR="007C58CD">
        <w:rPr>
          <w:spacing w:val="-2"/>
        </w:rPr>
        <w:t>a</w:t>
      </w:r>
      <w:r w:rsidR="00432AF2">
        <w:rPr>
          <w:spacing w:val="-2"/>
        </w:rPr>
        <w:t>cquêts)</w:t>
      </w:r>
      <w:r w:rsidR="00D511F5">
        <w:rPr>
          <w:spacing w:val="-2"/>
        </w:rPr>
        <w:t>.</w:t>
      </w:r>
    </w:p>
    <w:p w14:paraId="1474DB32" w14:textId="77777777" w:rsidR="00323ED6" w:rsidRPr="008B0C38" w:rsidRDefault="00323ED6" w:rsidP="00323ED6">
      <w:pPr>
        <w:pStyle w:val="marge0"/>
        <w:suppressAutoHyphens/>
        <w:spacing w:line="276" w:lineRule="auto"/>
      </w:pPr>
    </w:p>
    <w:p w14:paraId="6209CC54" w14:textId="77777777" w:rsidR="00323ED6" w:rsidRPr="008B0C38" w:rsidRDefault="00323ED6" w:rsidP="00323ED6">
      <w:pPr>
        <w:pStyle w:val="marge0"/>
        <w:suppressAutoHyphens/>
        <w:spacing w:line="276" w:lineRule="auto"/>
      </w:pPr>
      <w:r w:rsidRPr="008B0C38">
        <w:rPr>
          <w:spacing w:val="-2"/>
        </w:rPr>
        <w:t xml:space="preserve">En </w:t>
      </w:r>
      <w:r>
        <w:rPr>
          <w:rFonts w:ascii="Microsoft New Tai Lue" w:hAnsi="Microsoft New Tai Lue"/>
          <w:b/>
          <w:bCs/>
          <w:spacing w:val="-2"/>
        </w:rPr>
        <w:t>1997</w:t>
      </w:r>
      <w:r w:rsidRPr="008B0C38">
        <w:rPr>
          <w:spacing w:val="-2"/>
        </w:rPr>
        <w:t xml:space="preserve">, </w:t>
      </w:r>
      <w:r>
        <w:rPr>
          <w:spacing w:val="-2"/>
        </w:rPr>
        <w:t>Gilles</w:t>
      </w:r>
      <w:r w:rsidRPr="008B0C38">
        <w:rPr>
          <w:spacing w:val="-2"/>
        </w:rPr>
        <w:t xml:space="preserve"> ac</w:t>
      </w:r>
      <w:r>
        <w:rPr>
          <w:spacing w:val="-2"/>
        </w:rPr>
        <w:t xml:space="preserve">quiert un immeuble au prix de </w:t>
      </w:r>
      <w:r w:rsidRPr="00702E54">
        <w:rPr>
          <w:spacing w:val="-2"/>
          <w:highlight w:val="cyan"/>
        </w:rPr>
        <w:t>90 000,00 $,</w:t>
      </w:r>
      <w:r w:rsidRPr="008B0C38">
        <w:rPr>
          <w:spacing w:val="-2"/>
        </w:rPr>
        <w:t xml:space="preserve"> qu’il paye de la façon suivante : </w:t>
      </w:r>
      <w:r>
        <w:rPr>
          <w:spacing w:val="-2"/>
        </w:rPr>
        <w:t>65</w:t>
      </w:r>
      <w:r w:rsidRPr="008B0C38">
        <w:rPr>
          <w:spacing w:val="-2"/>
        </w:rPr>
        <w:t xml:space="preserve"> 000,00 $ à même ses économies accumulées durant le mariage et </w:t>
      </w:r>
      <w:r>
        <w:rPr>
          <w:spacing w:val="-2"/>
        </w:rPr>
        <w:t>25</w:t>
      </w:r>
      <w:r w:rsidRPr="008B0C38">
        <w:rPr>
          <w:spacing w:val="-2"/>
        </w:rPr>
        <w:t> 000,00 $ provenant d’un héritage</w:t>
      </w:r>
      <w:r w:rsidRPr="008B0C38">
        <w:t>.</w:t>
      </w:r>
    </w:p>
    <w:p w14:paraId="2CF09114" w14:textId="77777777" w:rsidR="00323ED6" w:rsidRPr="008B0C38" w:rsidRDefault="00323ED6" w:rsidP="00323ED6">
      <w:pPr>
        <w:pStyle w:val="marge0"/>
        <w:suppressAutoHyphens/>
        <w:spacing w:line="276" w:lineRule="auto"/>
      </w:pPr>
    </w:p>
    <w:p w14:paraId="23FA6896" w14:textId="77777777" w:rsidR="00323ED6" w:rsidRPr="008B0C38" w:rsidRDefault="00323ED6" w:rsidP="00323ED6">
      <w:pPr>
        <w:pStyle w:val="marge0"/>
        <w:suppressAutoHyphens/>
        <w:spacing w:line="276" w:lineRule="auto"/>
        <w:rPr>
          <w:spacing w:val="-2"/>
        </w:rPr>
      </w:pPr>
      <w:r w:rsidRPr="008B0C38">
        <w:rPr>
          <w:spacing w:val="-2"/>
        </w:rPr>
        <w:t xml:space="preserve">En </w:t>
      </w:r>
      <w:r>
        <w:rPr>
          <w:rFonts w:ascii="Microsoft New Tai Lue" w:hAnsi="Microsoft New Tai Lue"/>
          <w:b/>
          <w:bCs/>
          <w:spacing w:val="-2"/>
        </w:rPr>
        <w:t>2020</w:t>
      </w:r>
      <w:r w:rsidRPr="008B0C38">
        <w:rPr>
          <w:spacing w:val="-2"/>
        </w:rPr>
        <w:t xml:space="preserve">, </w:t>
      </w:r>
      <w:r>
        <w:rPr>
          <w:spacing w:val="-2"/>
        </w:rPr>
        <w:t>Gilles</w:t>
      </w:r>
      <w:r w:rsidRPr="008B0C38">
        <w:rPr>
          <w:spacing w:val="-2"/>
        </w:rPr>
        <w:t xml:space="preserve"> vend l’immeuble pour la somme de 2</w:t>
      </w:r>
      <w:r>
        <w:rPr>
          <w:spacing w:val="-2"/>
        </w:rPr>
        <w:t>9</w:t>
      </w:r>
      <w:r w:rsidRPr="008B0C38">
        <w:rPr>
          <w:spacing w:val="-2"/>
        </w:rPr>
        <w:t>0 000</w:t>
      </w:r>
      <w:r w:rsidRPr="008B0C38">
        <w:t>,00</w:t>
      </w:r>
      <w:r w:rsidRPr="008B0C38">
        <w:rPr>
          <w:spacing w:val="-2"/>
        </w:rPr>
        <w:t xml:space="preserve"> $. L’argent est déposé dans un compte de banque à taux d’intérêt progressif, au nom de </w:t>
      </w:r>
      <w:r>
        <w:rPr>
          <w:spacing w:val="-2"/>
        </w:rPr>
        <w:t>Gilles</w:t>
      </w:r>
      <w:r w:rsidRPr="008B0C38">
        <w:rPr>
          <w:spacing w:val="-2"/>
        </w:rPr>
        <w:t xml:space="preserve">. En </w:t>
      </w:r>
      <w:r>
        <w:rPr>
          <w:rFonts w:ascii="Microsoft New Tai Lue" w:hAnsi="Microsoft New Tai Lue"/>
          <w:b/>
          <w:bCs/>
          <w:spacing w:val="-2"/>
        </w:rPr>
        <w:t>mai 2022</w:t>
      </w:r>
      <w:r w:rsidRPr="008B0C38">
        <w:rPr>
          <w:spacing w:val="-2"/>
        </w:rPr>
        <w:t>, au moment où les époux se séparent et entreprennent une procédure de divorce, ce compte affiche un solde de 2</w:t>
      </w:r>
      <w:r>
        <w:rPr>
          <w:spacing w:val="-2"/>
        </w:rPr>
        <w:t>98</w:t>
      </w:r>
      <w:r w:rsidRPr="008B0C38">
        <w:rPr>
          <w:spacing w:val="-2"/>
        </w:rPr>
        <w:t> 000</w:t>
      </w:r>
      <w:r w:rsidRPr="008B0C38">
        <w:t>,00</w:t>
      </w:r>
      <w:r w:rsidR="006F28A6">
        <w:rPr>
          <w:spacing w:val="-2"/>
        </w:rPr>
        <w:t xml:space="preserve"> $, grâce aux intérêts de </w:t>
      </w:r>
      <w:r>
        <w:rPr>
          <w:spacing w:val="-2"/>
        </w:rPr>
        <w:t>8</w:t>
      </w:r>
      <w:r w:rsidRPr="008B0C38">
        <w:rPr>
          <w:spacing w:val="-2"/>
        </w:rPr>
        <w:t> 000</w:t>
      </w:r>
      <w:r w:rsidRPr="008B0C38">
        <w:t>,00</w:t>
      </w:r>
      <w:r w:rsidRPr="008B0C38">
        <w:rPr>
          <w:spacing w:val="-2"/>
        </w:rPr>
        <w:t> $ qui ont été payés par la banque.</w:t>
      </w:r>
    </w:p>
    <w:p w14:paraId="588AFE6F" w14:textId="77777777" w:rsidR="00323ED6" w:rsidRPr="008B0C38" w:rsidRDefault="00323ED6" w:rsidP="00323ED6">
      <w:pPr>
        <w:pStyle w:val="marge0"/>
        <w:suppressAutoHyphens/>
        <w:spacing w:line="276" w:lineRule="auto"/>
      </w:pPr>
    </w:p>
    <w:p w14:paraId="4BC6DC60" w14:textId="77777777" w:rsidR="00360EB8" w:rsidRPr="007A0552" w:rsidRDefault="00360EB8" w:rsidP="00360EB8">
      <w:pPr>
        <w:pStyle w:val="tabimp025"/>
        <w:suppressAutoHyphens/>
        <w:spacing w:line="276" w:lineRule="auto"/>
        <w:rPr>
          <w:b/>
          <w:bCs/>
        </w:rPr>
      </w:pPr>
      <w:r w:rsidRPr="007A0552">
        <w:rPr>
          <w:b/>
          <w:bCs/>
        </w:rPr>
        <w:t>1.</w:t>
      </w:r>
      <w:r w:rsidRPr="007A0552">
        <w:rPr>
          <w:b/>
          <w:bCs/>
        </w:rPr>
        <w:tab/>
        <w:t>Dans le cadre du partage de la société d’acquêts, y a-t-il lieu à récompense à l’égard de l’immeuble? Si oui, indiquez-en le montant, faites état de tous vos calculs et précisez en faveur de quelle masse elle aura lieu. Si non, dites pourquoi. Motivez votre réponse.</w:t>
      </w:r>
    </w:p>
    <w:p w14:paraId="5881F50D" w14:textId="77777777" w:rsidR="00EF6481" w:rsidRDefault="00EF6481" w:rsidP="00B902B8">
      <w:pPr>
        <w:pStyle w:val="tabimp025"/>
        <w:suppressAutoHyphens/>
        <w:spacing w:line="276" w:lineRule="auto"/>
        <w:ind w:left="0" w:firstLine="0"/>
      </w:pPr>
    </w:p>
    <w:p w14:paraId="17633118" w14:textId="219DBA3F" w:rsidR="00095F47" w:rsidRPr="00B03623" w:rsidRDefault="00485B2B" w:rsidP="00EF6481">
      <w:pPr>
        <w:pStyle w:val="tabimp025"/>
        <w:suppressAutoHyphens/>
        <w:spacing w:line="276" w:lineRule="auto"/>
        <w:rPr>
          <w:color w:val="FF0000"/>
        </w:rPr>
      </w:pPr>
      <w:r>
        <w:rPr>
          <w:color w:val="FF0000"/>
        </w:rPr>
        <w:t>I</w:t>
      </w:r>
      <w:r w:rsidR="006D7F7A" w:rsidRPr="00B03623">
        <w:rPr>
          <w:color w:val="FF0000"/>
        </w:rPr>
        <w:t>mmeuble</w:t>
      </w:r>
      <w:r w:rsidR="00856B7C" w:rsidRPr="00B03623">
        <w:rPr>
          <w:color w:val="FF0000"/>
        </w:rPr>
        <w:t> :</w:t>
      </w:r>
      <w:r w:rsidR="00CB4D96" w:rsidRPr="00B03623">
        <w:rPr>
          <w:color w:val="FF0000"/>
        </w:rPr>
        <w:t xml:space="preserve"> 90 000 $ --- </w:t>
      </w:r>
      <w:r w:rsidR="00CB4D96" w:rsidRPr="00B03623">
        <w:rPr>
          <w:color w:val="FF0000"/>
        </w:rPr>
        <w:t>290 000 $</w:t>
      </w:r>
    </w:p>
    <w:p w14:paraId="03C64BBB" w14:textId="09643F4B" w:rsidR="00856B7C" w:rsidRPr="00B03623" w:rsidRDefault="00E75B52" w:rsidP="00EF6481">
      <w:pPr>
        <w:pStyle w:val="tabimp025"/>
        <w:numPr>
          <w:ilvl w:val="0"/>
          <w:numId w:val="2"/>
        </w:numPr>
        <w:suppressAutoHyphens/>
        <w:spacing w:line="276" w:lineRule="auto"/>
        <w:rPr>
          <w:color w:val="FF0000"/>
        </w:rPr>
      </w:pPr>
      <w:r w:rsidRPr="00B03623">
        <w:rPr>
          <w:color w:val="FF0000"/>
        </w:rPr>
        <w:t>65 000 $</w:t>
      </w:r>
      <w:r w:rsidR="00987646" w:rsidRPr="00B03623">
        <w:rPr>
          <w:color w:val="FF0000"/>
        </w:rPr>
        <w:t xml:space="preserve"> (</w:t>
      </w:r>
      <w:r w:rsidR="00CD6246" w:rsidRPr="00B03623">
        <w:rPr>
          <w:color w:val="FF0000"/>
        </w:rPr>
        <w:t>449 (2) C.c.Q.)</w:t>
      </w:r>
      <w:r w:rsidR="00552A17" w:rsidRPr="00B03623">
        <w:rPr>
          <w:color w:val="FF0000"/>
        </w:rPr>
        <w:t> : acquêt</w:t>
      </w:r>
    </w:p>
    <w:p w14:paraId="44B62CB8" w14:textId="619F9BAC" w:rsidR="00CD6246" w:rsidRPr="00B03623" w:rsidRDefault="005F1DD0" w:rsidP="00EF6481">
      <w:pPr>
        <w:pStyle w:val="tabimp025"/>
        <w:numPr>
          <w:ilvl w:val="0"/>
          <w:numId w:val="2"/>
        </w:numPr>
        <w:suppressAutoHyphens/>
        <w:spacing w:line="276" w:lineRule="auto"/>
        <w:rPr>
          <w:color w:val="FF0000"/>
          <w:lang w:val="en-US"/>
        </w:rPr>
      </w:pPr>
      <w:r w:rsidRPr="00B03623">
        <w:rPr>
          <w:color w:val="FF0000"/>
          <w:lang w:val="en-US"/>
        </w:rPr>
        <w:t>25 000 $ (art. 450 (2)</w:t>
      </w:r>
      <w:r w:rsidR="005F158E" w:rsidRPr="00B03623">
        <w:rPr>
          <w:color w:val="FF0000"/>
          <w:lang w:val="en-US"/>
        </w:rPr>
        <w:t xml:space="preserve"> </w:t>
      </w:r>
      <w:r w:rsidR="00520ACB" w:rsidRPr="00B03623">
        <w:rPr>
          <w:color w:val="FF0000"/>
          <w:lang w:val="en-US"/>
        </w:rPr>
        <w:t>C.c.Q.)</w:t>
      </w:r>
      <w:r w:rsidR="00552A17" w:rsidRPr="00B03623">
        <w:rPr>
          <w:color w:val="FF0000"/>
          <w:lang w:val="en-US"/>
        </w:rPr>
        <w:t> : propre</w:t>
      </w:r>
    </w:p>
    <w:p w14:paraId="24531503" w14:textId="2259CCF6" w:rsidR="006E2107" w:rsidRPr="00B03623" w:rsidRDefault="006E2107" w:rsidP="006E2107">
      <w:pPr>
        <w:pStyle w:val="tabimp025"/>
        <w:suppressAutoHyphens/>
        <w:spacing w:line="276" w:lineRule="auto"/>
        <w:rPr>
          <w:color w:val="FF0000"/>
          <w:lang w:val="en-US"/>
        </w:rPr>
      </w:pPr>
    </w:p>
    <w:p w14:paraId="6B8B4041" w14:textId="0F753BFF" w:rsidR="00C33273" w:rsidRPr="00B03623" w:rsidRDefault="006E2107" w:rsidP="009A4E9C">
      <w:pPr>
        <w:pStyle w:val="tabimp025"/>
        <w:suppressAutoHyphens/>
        <w:spacing w:line="276" w:lineRule="auto"/>
        <w:ind w:left="0" w:firstLine="0"/>
        <w:rPr>
          <w:color w:val="FF0000"/>
        </w:rPr>
      </w:pPr>
      <w:r w:rsidRPr="00B03623">
        <w:rPr>
          <w:color w:val="FF0000"/>
        </w:rPr>
        <w:t>Art. 451 C.c.Q. :</w:t>
      </w:r>
      <w:r w:rsidR="00853198" w:rsidRPr="00B03623">
        <w:rPr>
          <w:color w:val="FF0000"/>
        </w:rPr>
        <w:t xml:space="preserve"> </w:t>
      </w:r>
      <w:r w:rsidR="007B0FC2" w:rsidRPr="00B03623">
        <w:rPr>
          <w:color w:val="FF0000"/>
        </w:rPr>
        <w:t xml:space="preserve">25 000 $ n’est pas supérieure ou égale à 90 000 $ /2 = 45 000 $ </w:t>
      </w:r>
      <w:r w:rsidR="002308F0" w:rsidRPr="00B03623">
        <w:rPr>
          <w:color w:val="FF0000"/>
        </w:rPr>
        <w:t xml:space="preserve">alors, le bien </w:t>
      </w:r>
      <w:r w:rsidR="0036185D" w:rsidRPr="00B03623">
        <w:rPr>
          <w:color w:val="FF0000"/>
        </w:rPr>
        <w:t xml:space="preserve">est un acquêt à charge </w:t>
      </w:r>
      <w:r w:rsidR="00346FCB" w:rsidRPr="00B03623">
        <w:rPr>
          <w:color w:val="FF0000"/>
        </w:rPr>
        <w:t xml:space="preserve">de récompense </w:t>
      </w:r>
      <w:r w:rsidR="00C33273" w:rsidRPr="00B03623">
        <w:rPr>
          <w:color w:val="FF0000"/>
        </w:rPr>
        <w:t>au</w:t>
      </w:r>
      <w:r w:rsidR="00675FC4" w:rsidRPr="00B03623">
        <w:rPr>
          <w:color w:val="FF0000"/>
        </w:rPr>
        <w:t>x</w:t>
      </w:r>
      <w:r w:rsidR="00C33273" w:rsidRPr="00B03623">
        <w:rPr>
          <w:color w:val="FF0000"/>
        </w:rPr>
        <w:t xml:space="preserve"> propre</w:t>
      </w:r>
      <w:r w:rsidR="00675FC4" w:rsidRPr="00B03623">
        <w:rPr>
          <w:color w:val="FF0000"/>
        </w:rPr>
        <w:t>s</w:t>
      </w:r>
      <w:r w:rsidR="00C33273" w:rsidRPr="00B03623">
        <w:rPr>
          <w:color w:val="FF0000"/>
        </w:rPr>
        <w:t>.</w:t>
      </w:r>
    </w:p>
    <w:p w14:paraId="70194EBF" w14:textId="15EEE02A" w:rsidR="00C33273" w:rsidRPr="00B03623" w:rsidRDefault="00C33273" w:rsidP="00346FCB">
      <w:pPr>
        <w:pStyle w:val="tabimp025"/>
        <w:suppressAutoHyphens/>
        <w:spacing w:line="276" w:lineRule="auto"/>
        <w:ind w:left="0" w:firstLine="0"/>
        <w:rPr>
          <w:color w:val="FF0000"/>
        </w:rPr>
      </w:pPr>
    </w:p>
    <w:p w14:paraId="081A5898" w14:textId="6321AEE9" w:rsidR="00C33273" w:rsidRPr="00B03623" w:rsidRDefault="00BC5433" w:rsidP="00346FCB">
      <w:pPr>
        <w:pStyle w:val="tabimp025"/>
        <w:suppressAutoHyphens/>
        <w:spacing w:line="276" w:lineRule="auto"/>
        <w:ind w:left="0" w:firstLine="0"/>
        <w:rPr>
          <w:color w:val="FF0000"/>
        </w:rPr>
      </w:pPr>
      <w:r w:rsidRPr="00B03623">
        <w:rPr>
          <w:color w:val="FF0000"/>
        </w:rPr>
        <w:t>2</w:t>
      </w:r>
      <w:r w:rsidR="0090103B" w:rsidRPr="00B03623">
        <w:rPr>
          <w:color w:val="FF0000"/>
        </w:rPr>
        <w:t xml:space="preserve">5 000 $ </w:t>
      </w:r>
      <w:r w:rsidR="00565986" w:rsidRPr="00B03623">
        <w:rPr>
          <w:color w:val="FF0000"/>
        </w:rPr>
        <w:t xml:space="preserve">/ </w:t>
      </w:r>
      <w:r w:rsidR="006F2AC3" w:rsidRPr="00B03623">
        <w:rPr>
          <w:color w:val="FF0000"/>
        </w:rPr>
        <w:t xml:space="preserve">90 000 $ X 290 000 $ = </w:t>
      </w:r>
      <w:r w:rsidR="004018E7" w:rsidRPr="00B03623">
        <w:rPr>
          <w:color w:val="FF0000"/>
        </w:rPr>
        <w:t>80</w:t>
      </w:r>
      <w:r w:rsidR="003F40BC" w:rsidRPr="00B03623">
        <w:rPr>
          <w:color w:val="FF0000"/>
        </w:rPr>
        <w:t> </w:t>
      </w:r>
      <w:r w:rsidR="004018E7" w:rsidRPr="00B03623">
        <w:rPr>
          <w:color w:val="FF0000"/>
        </w:rPr>
        <w:t>555</w:t>
      </w:r>
      <w:r w:rsidR="003F40BC" w:rsidRPr="00B03623">
        <w:rPr>
          <w:color w:val="FF0000"/>
        </w:rPr>
        <w:t>, 56</w:t>
      </w:r>
      <w:r w:rsidR="00FA1F84" w:rsidRPr="00B03623">
        <w:rPr>
          <w:color w:val="FF0000"/>
        </w:rPr>
        <w:t> </w:t>
      </w:r>
      <w:r w:rsidR="00182855" w:rsidRPr="00B03623">
        <w:rPr>
          <w:color w:val="FF0000"/>
        </w:rPr>
        <w:t xml:space="preserve">$ </w:t>
      </w:r>
      <w:r w:rsidR="00675FC4" w:rsidRPr="00B03623">
        <w:rPr>
          <w:color w:val="FF0000"/>
        </w:rPr>
        <w:t>récompense aux propres.</w:t>
      </w:r>
    </w:p>
    <w:p w14:paraId="548F4B10" w14:textId="183F79C6" w:rsidR="00000215" w:rsidRDefault="00000215" w:rsidP="00346FCB">
      <w:pPr>
        <w:pStyle w:val="tabimp025"/>
        <w:suppressAutoHyphens/>
        <w:spacing w:line="276" w:lineRule="auto"/>
        <w:ind w:left="0" w:firstLine="0"/>
      </w:pPr>
    </w:p>
    <w:p w14:paraId="562F6ABC" w14:textId="4E369FC7" w:rsidR="00000215" w:rsidRPr="00994593" w:rsidRDefault="00000215" w:rsidP="00016FE7">
      <w:pPr>
        <w:pStyle w:val="tabimp025"/>
        <w:numPr>
          <w:ilvl w:val="0"/>
          <w:numId w:val="2"/>
        </w:numPr>
        <w:suppressAutoHyphens/>
        <w:spacing w:line="276" w:lineRule="auto"/>
      </w:pPr>
      <w:r>
        <w:t>Les intérêts suivent le principal alors</w:t>
      </w:r>
      <w:r w:rsidR="00F90981">
        <w:t>,</w:t>
      </w:r>
      <w:r>
        <w:t xml:space="preserve"> ils sont des acquêts</w:t>
      </w:r>
      <w:r w:rsidR="00E625B3">
        <w:t xml:space="preserve"> (art. 449 (2) </w:t>
      </w:r>
      <w:r w:rsidR="001B7868">
        <w:t>C</w:t>
      </w:r>
      <w:r w:rsidR="00E625B3">
        <w:t>.c.Q.</w:t>
      </w:r>
      <w:r w:rsidR="001B7868">
        <w:t>)</w:t>
      </w:r>
    </w:p>
    <w:p w14:paraId="134D2B39" w14:textId="77777777" w:rsidR="005648CA" w:rsidRPr="00994593" w:rsidRDefault="005648CA" w:rsidP="00C66383">
      <w:pPr>
        <w:pStyle w:val="tabimp025"/>
        <w:suppressAutoHyphens/>
        <w:spacing w:line="276" w:lineRule="auto"/>
      </w:pPr>
    </w:p>
    <w:p w14:paraId="7125305B" w14:textId="77777777" w:rsidR="00407FF0" w:rsidRPr="007A0552" w:rsidRDefault="00407FF0" w:rsidP="00C66383">
      <w:pPr>
        <w:pStyle w:val="tabimp025"/>
        <w:tabs>
          <w:tab w:val="clear" w:pos="360"/>
        </w:tabs>
        <w:suppressAutoHyphens/>
        <w:spacing w:line="240" w:lineRule="auto"/>
        <w:ind w:left="0" w:firstLine="0"/>
        <w:jc w:val="center"/>
        <w:rPr>
          <w:b/>
          <w:bCs/>
        </w:rPr>
      </w:pPr>
      <w:r w:rsidRPr="007A0552">
        <w:rPr>
          <w:b/>
          <w:bCs/>
        </w:rPr>
        <w:t>*  *  *  *  *</w:t>
      </w:r>
    </w:p>
    <w:p w14:paraId="3ABCF6F0" w14:textId="77777777" w:rsidR="00407FF0" w:rsidRPr="007A0552" w:rsidRDefault="00407FF0" w:rsidP="00C66383">
      <w:pPr>
        <w:pStyle w:val="tabimp025"/>
        <w:tabs>
          <w:tab w:val="clear" w:pos="360"/>
        </w:tabs>
        <w:suppressAutoHyphens/>
        <w:spacing w:line="240" w:lineRule="auto"/>
        <w:ind w:left="0" w:firstLine="0"/>
        <w:rPr>
          <w:bCs/>
        </w:rPr>
      </w:pPr>
    </w:p>
    <w:p w14:paraId="7E5A33F8" w14:textId="77777777" w:rsidR="00323ED6" w:rsidRPr="008B0C38" w:rsidRDefault="00323ED6" w:rsidP="00323ED6">
      <w:pPr>
        <w:pStyle w:val="tabimp025"/>
        <w:tabs>
          <w:tab w:val="clear" w:pos="360"/>
        </w:tabs>
        <w:suppressAutoHyphens/>
        <w:spacing w:line="276" w:lineRule="auto"/>
        <w:ind w:left="0" w:firstLine="0"/>
        <w:rPr>
          <w:bCs/>
        </w:rPr>
      </w:pPr>
      <w:r w:rsidRPr="008B0C38">
        <w:rPr>
          <w:bCs/>
        </w:rPr>
        <w:t xml:space="preserve">Par ailleurs, deux ans après le mariage, </w:t>
      </w:r>
      <w:r>
        <w:rPr>
          <w:bCs/>
        </w:rPr>
        <w:t>Gilles</w:t>
      </w:r>
      <w:r w:rsidRPr="008B0C38">
        <w:rPr>
          <w:bCs/>
        </w:rPr>
        <w:t xml:space="preserve"> a hérité d’un camp de chasse et pêche situé à Saint</w:t>
      </w:r>
      <w:r w:rsidRPr="008B0C38">
        <w:rPr>
          <w:bCs/>
        </w:rPr>
        <w:noBreakHyphen/>
        <w:t xml:space="preserve">Zénon à la suite du décès de son père. Depuis ce temps, </w:t>
      </w:r>
      <w:r>
        <w:rPr>
          <w:bCs/>
        </w:rPr>
        <w:t>Gilles</w:t>
      </w:r>
      <w:r w:rsidRPr="008B0C38">
        <w:rPr>
          <w:bCs/>
        </w:rPr>
        <w:t xml:space="preserve"> et des amis se rendent au chalet environ quatre fois par année pour la chasse ou la pêche. </w:t>
      </w:r>
      <w:r>
        <w:rPr>
          <w:bCs/>
        </w:rPr>
        <w:t>Carmel</w:t>
      </w:r>
      <w:r w:rsidRPr="008B0C38">
        <w:rPr>
          <w:bCs/>
        </w:rPr>
        <w:t xml:space="preserve"> n’aime pas ces activités et elle ne s’y est rendue qu’une seule fois pour visiter le chalet.</w:t>
      </w:r>
    </w:p>
    <w:p w14:paraId="6588A8AD" w14:textId="77777777" w:rsidR="00323ED6" w:rsidRPr="008B0C38" w:rsidRDefault="00323ED6" w:rsidP="00323ED6">
      <w:pPr>
        <w:pStyle w:val="tabimp025"/>
        <w:tabs>
          <w:tab w:val="clear" w:pos="360"/>
        </w:tabs>
        <w:suppressAutoHyphens/>
        <w:spacing w:line="276" w:lineRule="auto"/>
        <w:ind w:left="0" w:firstLine="0"/>
        <w:rPr>
          <w:bCs/>
        </w:rPr>
      </w:pPr>
    </w:p>
    <w:p w14:paraId="46BBF127" w14:textId="77777777" w:rsidR="00323ED6" w:rsidRPr="008B0C38" w:rsidRDefault="00323ED6" w:rsidP="00323ED6">
      <w:pPr>
        <w:pStyle w:val="tabimp025"/>
        <w:tabs>
          <w:tab w:val="clear" w:pos="360"/>
        </w:tabs>
        <w:suppressAutoHyphens/>
        <w:spacing w:line="276" w:lineRule="auto"/>
        <w:ind w:left="0" w:firstLine="0"/>
        <w:rPr>
          <w:bCs/>
        </w:rPr>
      </w:pPr>
      <w:r w:rsidRPr="008B0C38">
        <w:rPr>
          <w:bCs/>
        </w:rPr>
        <w:t xml:space="preserve">Lorsque </w:t>
      </w:r>
      <w:r>
        <w:rPr>
          <w:bCs/>
        </w:rPr>
        <w:t>Gilles</w:t>
      </w:r>
      <w:r w:rsidRPr="008B0C38">
        <w:rPr>
          <w:bCs/>
        </w:rPr>
        <w:t xml:space="preserve"> a hérité du chalet, il valait </w:t>
      </w:r>
      <w:r>
        <w:rPr>
          <w:bCs/>
        </w:rPr>
        <w:t>34</w:t>
      </w:r>
      <w:r w:rsidRPr="008B0C38">
        <w:rPr>
          <w:bCs/>
        </w:rPr>
        <w:t xml:space="preserve"> 000,00 $. Cependant, il n’y avait aucune salle de bain fonctionnelle. Ainsi, </w:t>
      </w:r>
      <w:r>
        <w:rPr>
          <w:bCs/>
        </w:rPr>
        <w:t>Gilles</w:t>
      </w:r>
      <w:r w:rsidRPr="008B0C38">
        <w:rPr>
          <w:bCs/>
        </w:rPr>
        <w:t xml:space="preserve"> y a aussitôt investi une somme de 6 000,00 $ provenant de ses </w:t>
      </w:r>
      <w:r w:rsidRPr="008B0C38">
        <w:rPr>
          <w:bCs/>
        </w:rPr>
        <w:lastRenderedPageBreak/>
        <w:t xml:space="preserve">économies de la dernière année pour faire aménager une salle de bain complète. Actuellement, le chalet vaut </w:t>
      </w:r>
      <w:r>
        <w:rPr>
          <w:bCs/>
        </w:rPr>
        <w:t>52</w:t>
      </w:r>
      <w:r w:rsidRPr="008B0C38">
        <w:rPr>
          <w:bCs/>
        </w:rPr>
        <w:t> 000,00 $.</w:t>
      </w:r>
    </w:p>
    <w:p w14:paraId="68DA0C49" w14:textId="77777777" w:rsidR="00197A55" w:rsidRPr="007A0552" w:rsidRDefault="00197A55" w:rsidP="00197A55">
      <w:pPr>
        <w:pStyle w:val="tabimp025"/>
        <w:tabs>
          <w:tab w:val="clear" w:pos="360"/>
        </w:tabs>
        <w:suppressAutoHyphens/>
        <w:spacing w:line="240" w:lineRule="auto"/>
        <w:ind w:left="0" w:firstLine="0"/>
        <w:rPr>
          <w:bCs/>
        </w:rPr>
      </w:pPr>
    </w:p>
    <w:p w14:paraId="1016423C" w14:textId="77777777" w:rsidR="00197A55" w:rsidRPr="007A0552" w:rsidRDefault="00197A55" w:rsidP="00197A55">
      <w:pPr>
        <w:pStyle w:val="tabimp025"/>
        <w:tabs>
          <w:tab w:val="clear" w:pos="360"/>
        </w:tabs>
        <w:suppressAutoHyphens/>
        <w:spacing w:line="276" w:lineRule="auto"/>
        <w:rPr>
          <w:b/>
          <w:bCs/>
        </w:rPr>
      </w:pPr>
      <w:r w:rsidRPr="007A0552">
        <w:rPr>
          <w:b/>
          <w:bCs/>
        </w:rPr>
        <w:t>2.</w:t>
      </w:r>
      <w:r w:rsidRPr="007A0552">
        <w:rPr>
          <w:b/>
          <w:bCs/>
        </w:rPr>
        <w:tab/>
        <w:t>Dans le cadre du partage de la société d’acquêts, y a</w:t>
      </w:r>
      <w:r w:rsidRPr="007A0552">
        <w:rPr>
          <w:b/>
          <w:bCs/>
        </w:rPr>
        <w:noBreakHyphen/>
        <w:t>t</w:t>
      </w:r>
      <w:r w:rsidRPr="007A0552">
        <w:rPr>
          <w:b/>
          <w:bCs/>
        </w:rPr>
        <w:noBreakHyphen/>
        <w:t>il lieu à récompense à l’égard du chalet? Si oui, indiquez</w:t>
      </w:r>
      <w:r w:rsidRPr="007A0552">
        <w:rPr>
          <w:b/>
          <w:bCs/>
        </w:rPr>
        <w:noBreakHyphen/>
        <w:t>en le montant, faites état de tous vos calculs et précisez en faveur de quelle masse elle aura lieu. Si non, dites pourquoi. Motivez votre réponse.</w:t>
      </w:r>
    </w:p>
    <w:p w14:paraId="06D3DA21" w14:textId="26702E96" w:rsidR="00737CB9" w:rsidRDefault="00737CB9">
      <w:pPr>
        <w:jc w:val="left"/>
        <w:rPr>
          <w:rFonts w:ascii="Times New Roman" w:hAnsi="Times New Roman"/>
          <w:bCs/>
        </w:rPr>
      </w:pPr>
    </w:p>
    <w:p w14:paraId="38B7EA56" w14:textId="143F29EE" w:rsidR="002E60FD" w:rsidRPr="00F56F87" w:rsidRDefault="0060205F">
      <w:pPr>
        <w:jc w:val="left"/>
      </w:pPr>
      <w:r>
        <w:rPr>
          <w:rFonts w:ascii="Times New Roman" w:hAnsi="Times New Roman"/>
          <w:bCs/>
        </w:rPr>
        <w:t>Chalet </w:t>
      </w:r>
      <w:r w:rsidR="005C129C">
        <w:rPr>
          <w:rFonts w:ascii="Times New Roman" w:hAnsi="Times New Roman"/>
          <w:bCs/>
        </w:rPr>
        <w:t xml:space="preserve">donation </w:t>
      </w:r>
      <w:r w:rsidR="009A059A">
        <w:rPr>
          <w:rFonts w:ascii="Times New Roman" w:hAnsi="Times New Roman"/>
          <w:bCs/>
        </w:rPr>
        <w:t xml:space="preserve">(art. </w:t>
      </w:r>
      <w:r w:rsidR="008B6300">
        <w:rPr>
          <w:rFonts w:ascii="Times New Roman" w:hAnsi="Times New Roman"/>
          <w:bCs/>
        </w:rPr>
        <w:t>450</w:t>
      </w:r>
      <w:r w:rsidR="00D23AA9">
        <w:rPr>
          <w:rFonts w:ascii="Times New Roman" w:hAnsi="Times New Roman"/>
          <w:bCs/>
        </w:rPr>
        <w:t> </w:t>
      </w:r>
      <w:r w:rsidR="008B6300">
        <w:rPr>
          <w:rFonts w:ascii="Times New Roman" w:hAnsi="Times New Roman"/>
          <w:bCs/>
        </w:rPr>
        <w:t>(2) C.c.Q.)</w:t>
      </w:r>
      <w:r w:rsidR="009A059A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: </w:t>
      </w:r>
      <w:r w:rsidR="0016114A">
        <w:rPr>
          <w:rFonts w:ascii="Times New Roman" w:hAnsi="Times New Roman"/>
          <w:bCs/>
        </w:rPr>
        <w:t xml:space="preserve">34 000 $ --- </w:t>
      </w:r>
      <w:r w:rsidR="00EB6AD6">
        <w:rPr>
          <w:rFonts w:ascii="Times New Roman" w:hAnsi="Times New Roman"/>
          <w:bCs/>
        </w:rPr>
        <w:t>52 000 $</w:t>
      </w:r>
    </w:p>
    <w:p w14:paraId="1012839C" w14:textId="1C74CA81" w:rsidR="006740F3" w:rsidRPr="00C969D9" w:rsidRDefault="00CF2E15" w:rsidP="00B86786">
      <w:pPr>
        <w:pStyle w:val="Paragraphedeliste"/>
        <w:numPr>
          <w:ilvl w:val="0"/>
          <w:numId w:val="2"/>
        </w:numPr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Réparation </w:t>
      </w:r>
      <w:r w:rsidR="00E773FD" w:rsidRPr="00C969D9">
        <w:rPr>
          <w:rFonts w:ascii="Times New Roman" w:hAnsi="Times New Roman"/>
          <w:bCs/>
        </w:rPr>
        <w:t>6 000 $ (acquêts</w:t>
      </w:r>
      <w:r w:rsidR="00BE7871" w:rsidRPr="00C969D9">
        <w:rPr>
          <w:rFonts w:ascii="Times New Roman" w:hAnsi="Times New Roman"/>
          <w:bCs/>
        </w:rPr>
        <w:t>-</w:t>
      </w:r>
      <w:r w:rsidR="002357A8" w:rsidRPr="00C969D9">
        <w:rPr>
          <w:rFonts w:ascii="Times New Roman" w:hAnsi="Times New Roman"/>
          <w:bCs/>
        </w:rPr>
        <w:t xml:space="preserve"> </w:t>
      </w:r>
      <w:r w:rsidR="00BE7871" w:rsidRPr="00C969D9">
        <w:rPr>
          <w:rFonts w:ascii="Times New Roman" w:hAnsi="Times New Roman"/>
          <w:bCs/>
        </w:rPr>
        <w:t>Art. 449</w:t>
      </w:r>
      <w:r w:rsidR="009E1A2E" w:rsidRPr="00C969D9">
        <w:rPr>
          <w:rFonts w:ascii="Times New Roman" w:hAnsi="Times New Roman"/>
          <w:bCs/>
        </w:rPr>
        <w:t>, al.1</w:t>
      </w:r>
      <w:r w:rsidR="00BE7871" w:rsidRPr="00C969D9">
        <w:rPr>
          <w:rFonts w:ascii="Times New Roman" w:hAnsi="Times New Roman"/>
          <w:bCs/>
        </w:rPr>
        <w:t xml:space="preserve"> C.c.Q.</w:t>
      </w:r>
      <w:r w:rsidR="00E773FD" w:rsidRPr="00C969D9">
        <w:rPr>
          <w:rFonts w:ascii="Times New Roman" w:hAnsi="Times New Roman"/>
          <w:bCs/>
        </w:rPr>
        <w:t>)</w:t>
      </w:r>
    </w:p>
    <w:p w14:paraId="526C6985" w14:textId="23979231" w:rsidR="00E773FD" w:rsidRPr="00C969D9" w:rsidRDefault="00E773FD" w:rsidP="0099420D">
      <w:pPr>
        <w:jc w:val="left"/>
        <w:rPr>
          <w:rFonts w:ascii="Times New Roman" w:hAnsi="Times New Roman"/>
          <w:bCs/>
        </w:rPr>
      </w:pPr>
    </w:p>
    <w:p w14:paraId="08D0276A" w14:textId="75204F20" w:rsidR="009505A1" w:rsidRDefault="00E366B3" w:rsidP="004F6AE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Les réparations sur un bien propre</w:t>
      </w:r>
      <w:r w:rsidR="00EA530C">
        <w:rPr>
          <w:rFonts w:ascii="Times New Roman" w:hAnsi="Times New Roman"/>
          <w:bCs/>
        </w:rPr>
        <w:t xml:space="preserve"> sont des propres à charge de récompense aux acquêts</w:t>
      </w:r>
      <w:r w:rsidR="00C969D9">
        <w:rPr>
          <w:rFonts w:ascii="Times New Roman" w:hAnsi="Times New Roman"/>
          <w:bCs/>
        </w:rPr>
        <w:t xml:space="preserve"> </w:t>
      </w:r>
      <w:r w:rsidR="00C969D9">
        <w:rPr>
          <w:rFonts w:ascii="Times New Roman" w:hAnsi="Times New Roman"/>
          <w:bCs/>
        </w:rPr>
        <w:t>(</w:t>
      </w:r>
      <w:r w:rsidR="004F6AE7">
        <w:rPr>
          <w:rFonts w:ascii="Times New Roman" w:hAnsi="Times New Roman"/>
          <w:bCs/>
        </w:rPr>
        <w:t xml:space="preserve">art. </w:t>
      </w:r>
      <w:r w:rsidR="00C969D9">
        <w:rPr>
          <w:rFonts w:ascii="Times New Roman" w:hAnsi="Times New Roman"/>
          <w:bCs/>
        </w:rPr>
        <w:t>455,al.</w:t>
      </w:r>
      <w:r w:rsidR="0065135A">
        <w:rPr>
          <w:rFonts w:ascii="Times New Roman" w:hAnsi="Times New Roman"/>
          <w:bCs/>
        </w:rPr>
        <w:t>1</w:t>
      </w:r>
      <w:r w:rsidR="00C969D9">
        <w:rPr>
          <w:rFonts w:ascii="Times New Roman" w:hAnsi="Times New Roman"/>
          <w:bCs/>
        </w:rPr>
        <w:t xml:space="preserve"> C.c.Q.)</w:t>
      </w:r>
      <w:r w:rsidR="00C969D9">
        <w:rPr>
          <w:rFonts w:ascii="Times New Roman" w:hAnsi="Times New Roman"/>
          <w:bCs/>
        </w:rPr>
        <w:t>.</w:t>
      </w:r>
    </w:p>
    <w:p w14:paraId="1447F1A2" w14:textId="270D96C4" w:rsidR="00B10C68" w:rsidRDefault="00B10C68" w:rsidP="0099420D">
      <w:pPr>
        <w:jc w:val="left"/>
        <w:rPr>
          <w:rFonts w:ascii="Times New Roman" w:hAnsi="Times New Roman"/>
          <w:bCs/>
        </w:rPr>
      </w:pPr>
    </w:p>
    <w:p w14:paraId="5BB2B42F" w14:textId="1FA3089D" w:rsidR="00AB789B" w:rsidRDefault="00930F90" w:rsidP="00AB789B">
      <w:pPr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6 000 $ </w:t>
      </w:r>
      <w:r w:rsidR="00930110">
        <w:rPr>
          <w:rFonts w:ascii="Times New Roman" w:hAnsi="Times New Roman"/>
          <w:bCs/>
        </w:rPr>
        <w:t xml:space="preserve">/ </w:t>
      </w:r>
      <w:r w:rsidR="0086534C">
        <w:rPr>
          <w:rFonts w:ascii="Times New Roman" w:hAnsi="Times New Roman"/>
          <w:bCs/>
        </w:rPr>
        <w:t>40</w:t>
      </w:r>
      <w:r w:rsidR="00167DC9">
        <w:rPr>
          <w:rFonts w:ascii="Times New Roman" w:hAnsi="Times New Roman"/>
          <w:bCs/>
        </w:rPr>
        <w:t xml:space="preserve"> 000 $ X </w:t>
      </w:r>
      <w:r w:rsidR="00312516">
        <w:rPr>
          <w:rFonts w:ascii="Times New Roman" w:hAnsi="Times New Roman"/>
          <w:bCs/>
        </w:rPr>
        <w:t xml:space="preserve">52 000 = </w:t>
      </w:r>
      <w:r w:rsidR="0086534C">
        <w:rPr>
          <w:rFonts w:ascii="Times New Roman" w:hAnsi="Times New Roman"/>
          <w:bCs/>
        </w:rPr>
        <w:t>7 800 $</w:t>
      </w:r>
      <w:r w:rsidR="00AB789B">
        <w:rPr>
          <w:rFonts w:ascii="Times New Roman" w:hAnsi="Times New Roman"/>
          <w:bCs/>
        </w:rPr>
        <w:tab/>
      </w:r>
      <w:r w:rsidR="00AB789B">
        <w:rPr>
          <w:rFonts w:ascii="Times New Roman" w:hAnsi="Times New Roman"/>
          <w:bCs/>
        </w:rPr>
        <w:t>La récompense est de 7 800 $.</w:t>
      </w:r>
    </w:p>
    <w:p w14:paraId="270A92E9" w14:textId="77777777" w:rsidR="00AB789B" w:rsidRPr="0099420D" w:rsidRDefault="00AB789B" w:rsidP="0099420D">
      <w:pPr>
        <w:jc w:val="left"/>
        <w:rPr>
          <w:rFonts w:ascii="Times New Roman" w:hAnsi="Times New Roman"/>
          <w:bCs/>
        </w:rPr>
      </w:pPr>
    </w:p>
    <w:sectPr w:rsidR="00AB789B" w:rsidRPr="0099420D" w:rsidSect="0072325D">
      <w:footerReference w:type="even" r:id="rId7"/>
      <w:footerReference w:type="default" r:id="rId8"/>
      <w:pgSz w:w="12240" w:h="15840" w:code="1"/>
      <w:pgMar w:top="1080" w:right="1440" w:bottom="1080" w:left="1440" w:header="720" w:footer="288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C2C8" w14:textId="77777777" w:rsidR="00242ED2" w:rsidRDefault="00242ED2">
      <w:r>
        <w:separator/>
      </w:r>
    </w:p>
  </w:endnote>
  <w:endnote w:type="continuationSeparator" w:id="0">
    <w:p w14:paraId="0B8821EC" w14:textId="77777777" w:rsidR="00242ED2" w:rsidRDefault="0024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(W1)">
    <w:altName w:val="Times New Roman"/>
    <w:panose1 w:val="00000500000000020000"/>
    <w:charset w:val="00"/>
    <w:family w:val="roman"/>
    <w:pitch w:val="variable"/>
    <w:sig w:usb0="00000000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54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2"/>
      <w:gridCol w:w="1039"/>
      <w:gridCol w:w="8509"/>
    </w:tblGrid>
    <w:tr w:rsidR="00737CB9" w:rsidRPr="00364B20" w14:paraId="31310D79" w14:textId="77777777" w:rsidTr="00737CB9">
      <w:trPr>
        <w:cantSplit/>
        <w:trHeight w:val="533"/>
      </w:trPr>
      <w:tc>
        <w:tcPr>
          <w:tcW w:w="532" w:type="dxa"/>
          <w:tcBorders>
            <w:top w:val="single" w:sz="4" w:space="0" w:color="auto"/>
          </w:tcBorders>
          <w:vAlign w:val="center"/>
        </w:tcPr>
        <w:p w14:paraId="23324D05" w14:textId="77777777" w:rsidR="00737CB9" w:rsidRPr="000D29A8" w:rsidRDefault="00737CB9" w:rsidP="00737CB9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39" w:type="dxa"/>
          <w:tcBorders>
            <w:top w:val="single" w:sz="4" w:space="0" w:color="auto"/>
            <w:left w:val="nil"/>
          </w:tcBorders>
          <w:tcMar>
            <w:left w:w="216" w:type="dxa"/>
          </w:tcMar>
        </w:tcPr>
        <w:p w14:paraId="5BC17C40" w14:textId="77777777" w:rsidR="00737CB9" w:rsidRPr="000D29A8" w:rsidRDefault="00323ED6" w:rsidP="00737CB9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28</w:t>
          </w:r>
          <w:r w:rsidR="00737CB9" w:rsidRPr="00693EB4">
            <w:rPr>
              <w:rFonts w:ascii="Times New Roman" w:hAnsi="Times New Roman"/>
              <w:b/>
              <w:bCs/>
            </w:rPr>
            <w:t>:</w:t>
          </w:r>
          <w:r w:rsidR="00737CB9" w:rsidRPr="00693EB4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737CB9" w:rsidRPr="00693EB4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737CB9" w:rsidRPr="00693EB4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72325D">
            <w:rPr>
              <w:rStyle w:val="Numrodepage"/>
              <w:rFonts w:ascii="Times New Roman" w:hAnsi="Times New Roman"/>
              <w:b/>
              <w:bCs/>
              <w:noProof/>
            </w:rPr>
            <w:t>16</w:t>
          </w:r>
          <w:r w:rsidR="00737CB9" w:rsidRPr="00693EB4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09" w:type="dxa"/>
          <w:tcBorders>
            <w:top w:val="single" w:sz="4" w:space="0" w:color="auto"/>
          </w:tcBorders>
        </w:tcPr>
        <w:p w14:paraId="28C88F60" w14:textId="77777777" w:rsidR="00737CB9" w:rsidRPr="00693EB4" w:rsidRDefault="00737CB9" w:rsidP="00737CB9">
          <w:pPr>
            <w:tabs>
              <w:tab w:val="left" w:pos="3690"/>
              <w:tab w:val="right" w:pos="8369"/>
            </w:tabs>
            <w:spacing w:before="120"/>
            <w:jc w:val="left"/>
            <w:rPr>
              <w:rFonts w:ascii="Times New Roman" w:hAnsi="Times New Roman"/>
              <w:b/>
              <w:bCs/>
              <w:sz w:val="20"/>
            </w:rPr>
          </w:pPr>
          <w:r w:rsidRPr="00693EB4">
            <w:rPr>
              <w:rFonts w:ascii="Times New Roman" w:hAnsi="Times New Roman"/>
              <w:b/>
              <w:bCs/>
              <w:sz w:val="20"/>
            </w:rPr>
            <w:tab/>
          </w:r>
          <w:r w:rsidRPr="00693EB4">
            <w:rPr>
              <w:rFonts w:ascii="Times New Roman" w:hAnsi="Times New Roman"/>
              <w:b/>
              <w:bCs/>
              <w:sz w:val="20"/>
            </w:rPr>
            <w:tab/>
          </w:r>
          <w:r w:rsidR="00323ED6"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41DEAC41" w14:textId="77777777" w:rsidR="00737CB9" w:rsidRPr="007A0552" w:rsidRDefault="00737CB9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77"/>
      <w:gridCol w:w="1071"/>
      <w:gridCol w:w="532"/>
    </w:tblGrid>
    <w:tr w:rsidR="00737CB9" w:rsidRPr="00364B20" w14:paraId="566D5A87" w14:textId="77777777" w:rsidTr="00737CB9">
      <w:trPr>
        <w:trHeight w:val="526"/>
      </w:trPr>
      <w:tc>
        <w:tcPr>
          <w:tcW w:w="8477" w:type="dxa"/>
          <w:tcMar>
            <w:left w:w="29" w:type="dxa"/>
          </w:tcMar>
        </w:tcPr>
        <w:p w14:paraId="3E03F583" w14:textId="77777777" w:rsidR="00737CB9" w:rsidRPr="000D29A8" w:rsidRDefault="00323ED6" w:rsidP="00737CB9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1" w:type="dxa"/>
          <w:tcBorders>
            <w:right w:val="nil"/>
          </w:tcBorders>
          <w:tcMar>
            <w:right w:w="216" w:type="dxa"/>
          </w:tcMar>
        </w:tcPr>
        <w:p w14:paraId="38EE6C78" w14:textId="77777777" w:rsidR="00737CB9" w:rsidRPr="000D29A8" w:rsidRDefault="00323ED6" w:rsidP="00737CB9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28</w:t>
          </w:r>
          <w:r w:rsidR="00737CB9" w:rsidRPr="00693EB4">
            <w:rPr>
              <w:rFonts w:ascii="Times New Roman" w:hAnsi="Times New Roman"/>
              <w:b/>
              <w:bCs/>
            </w:rPr>
            <w:t>:</w:t>
          </w:r>
          <w:r w:rsidR="00737CB9" w:rsidRPr="00693EB4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737CB9" w:rsidRPr="00693EB4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737CB9" w:rsidRPr="00693EB4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72325D">
            <w:rPr>
              <w:rStyle w:val="Numrodepage"/>
              <w:rFonts w:ascii="Times New Roman" w:hAnsi="Times New Roman"/>
              <w:b/>
              <w:bCs/>
              <w:noProof/>
            </w:rPr>
            <w:t>15</w:t>
          </w:r>
          <w:r w:rsidR="00737CB9" w:rsidRPr="00693EB4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53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DC4152E" w14:textId="77777777" w:rsidR="00737CB9" w:rsidRPr="00693EB4" w:rsidRDefault="00737CB9" w:rsidP="00737CB9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3C36DE8F" w14:textId="77777777" w:rsidR="00737CB9" w:rsidRPr="007A0552" w:rsidRDefault="00737CB9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10790" w14:textId="77777777" w:rsidR="00242ED2" w:rsidRPr="003143A9" w:rsidRDefault="00242ED2">
      <w:pPr>
        <w:rPr>
          <w:rFonts w:cs="Times"/>
        </w:rPr>
      </w:pPr>
      <w:r w:rsidRPr="003143A9">
        <w:rPr>
          <w:rFonts w:cs="Times"/>
        </w:rPr>
        <w:separator/>
      </w:r>
    </w:p>
  </w:footnote>
  <w:footnote w:type="continuationSeparator" w:id="0">
    <w:p w14:paraId="6B463DEF" w14:textId="77777777" w:rsidR="00242ED2" w:rsidRDefault="00242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14B5"/>
    <w:multiLevelType w:val="hybridMultilevel"/>
    <w:tmpl w:val="07800054"/>
    <w:lvl w:ilvl="0" w:tplc="F702A846">
      <w:start w:val="2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511DE8"/>
    <w:multiLevelType w:val="hybridMultilevel"/>
    <w:tmpl w:val="CBDA090C"/>
    <w:lvl w:ilvl="0" w:tplc="88606596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023839">
    <w:abstractNumId w:val="1"/>
  </w:num>
  <w:num w:numId="2" w16cid:durableId="8093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6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A8B"/>
    <w:rsid w:val="00000215"/>
    <w:rsid w:val="00016FE7"/>
    <w:rsid w:val="00034F35"/>
    <w:rsid w:val="0004564C"/>
    <w:rsid w:val="000535BC"/>
    <w:rsid w:val="0005414B"/>
    <w:rsid w:val="00064DAB"/>
    <w:rsid w:val="00067F0C"/>
    <w:rsid w:val="0008636F"/>
    <w:rsid w:val="00087CC2"/>
    <w:rsid w:val="00090F2E"/>
    <w:rsid w:val="00095F47"/>
    <w:rsid w:val="000B6738"/>
    <w:rsid w:val="000C47CD"/>
    <w:rsid w:val="000C4A2E"/>
    <w:rsid w:val="000D29A8"/>
    <w:rsid w:val="000D2C13"/>
    <w:rsid w:val="00102B6B"/>
    <w:rsid w:val="0011783E"/>
    <w:rsid w:val="00145DC8"/>
    <w:rsid w:val="0016114A"/>
    <w:rsid w:val="00165270"/>
    <w:rsid w:val="00167DC9"/>
    <w:rsid w:val="00170EDC"/>
    <w:rsid w:val="00175201"/>
    <w:rsid w:val="00182855"/>
    <w:rsid w:val="001933B8"/>
    <w:rsid w:val="00197A55"/>
    <w:rsid w:val="001B7868"/>
    <w:rsid w:val="002308F0"/>
    <w:rsid w:val="00230C6B"/>
    <w:rsid w:val="00231C6A"/>
    <w:rsid w:val="002357A8"/>
    <w:rsid w:val="002407FE"/>
    <w:rsid w:val="00242ED2"/>
    <w:rsid w:val="00253FC0"/>
    <w:rsid w:val="0029374C"/>
    <w:rsid w:val="002A0680"/>
    <w:rsid w:val="002E0E05"/>
    <w:rsid w:val="002E60FD"/>
    <w:rsid w:val="00304654"/>
    <w:rsid w:val="00312516"/>
    <w:rsid w:val="003143A9"/>
    <w:rsid w:val="00323ED6"/>
    <w:rsid w:val="00346FCB"/>
    <w:rsid w:val="00353DDC"/>
    <w:rsid w:val="00360EB8"/>
    <w:rsid w:val="0036185D"/>
    <w:rsid w:val="00362267"/>
    <w:rsid w:val="00364B20"/>
    <w:rsid w:val="003744F0"/>
    <w:rsid w:val="00382258"/>
    <w:rsid w:val="00384695"/>
    <w:rsid w:val="00396FDE"/>
    <w:rsid w:val="003B1762"/>
    <w:rsid w:val="003B64AE"/>
    <w:rsid w:val="003C277E"/>
    <w:rsid w:val="003C68C7"/>
    <w:rsid w:val="003D41E2"/>
    <w:rsid w:val="003F40BC"/>
    <w:rsid w:val="004011F9"/>
    <w:rsid w:val="00401281"/>
    <w:rsid w:val="004018E7"/>
    <w:rsid w:val="00403F2C"/>
    <w:rsid w:val="00404466"/>
    <w:rsid w:val="00407FF0"/>
    <w:rsid w:val="00424C4C"/>
    <w:rsid w:val="00424F27"/>
    <w:rsid w:val="00432AF2"/>
    <w:rsid w:val="0045360C"/>
    <w:rsid w:val="00461693"/>
    <w:rsid w:val="00480695"/>
    <w:rsid w:val="00485B2B"/>
    <w:rsid w:val="00493B64"/>
    <w:rsid w:val="004F0A51"/>
    <w:rsid w:val="004F6AE7"/>
    <w:rsid w:val="00520ACB"/>
    <w:rsid w:val="005231DE"/>
    <w:rsid w:val="00525079"/>
    <w:rsid w:val="0053698E"/>
    <w:rsid w:val="00541952"/>
    <w:rsid w:val="00552A17"/>
    <w:rsid w:val="00562701"/>
    <w:rsid w:val="005648CA"/>
    <w:rsid w:val="00565986"/>
    <w:rsid w:val="0059064E"/>
    <w:rsid w:val="00596F58"/>
    <w:rsid w:val="005A00F8"/>
    <w:rsid w:val="005C129C"/>
    <w:rsid w:val="005F158E"/>
    <w:rsid w:val="005F1DD0"/>
    <w:rsid w:val="0060205F"/>
    <w:rsid w:val="00613D2B"/>
    <w:rsid w:val="00617119"/>
    <w:rsid w:val="00632F35"/>
    <w:rsid w:val="0065135A"/>
    <w:rsid w:val="006573BF"/>
    <w:rsid w:val="006740F3"/>
    <w:rsid w:val="00674471"/>
    <w:rsid w:val="00675FC4"/>
    <w:rsid w:val="00693EB4"/>
    <w:rsid w:val="006A2E12"/>
    <w:rsid w:val="006A6DDA"/>
    <w:rsid w:val="006A7378"/>
    <w:rsid w:val="006C3EA3"/>
    <w:rsid w:val="006C4285"/>
    <w:rsid w:val="006C5130"/>
    <w:rsid w:val="006D0813"/>
    <w:rsid w:val="006D7F7A"/>
    <w:rsid w:val="006E2107"/>
    <w:rsid w:val="006F28A6"/>
    <w:rsid w:val="006F2AC3"/>
    <w:rsid w:val="006F6B6F"/>
    <w:rsid w:val="00702E54"/>
    <w:rsid w:val="00707BDA"/>
    <w:rsid w:val="007213F2"/>
    <w:rsid w:val="0072325D"/>
    <w:rsid w:val="0073372A"/>
    <w:rsid w:val="007359CB"/>
    <w:rsid w:val="007365BF"/>
    <w:rsid w:val="00737CB9"/>
    <w:rsid w:val="00747A8B"/>
    <w:rsid w:val="00757C1B"/>
    <w:rsid w:val="00777684"/>
    <w:rsid w:val="00795CE4"/>
    <w:rsid w:val="007A0552"/>
    <w:rsid w:val="007B0FC2"/>
    <w:rsid w:val="007C29B2"/>
    <w:rsid w:val="007C58CD"/>
    <w:rsid w:val="007D4E4E"/>
    <w:rsid w:val="007D75BA"/>
    <w:rsid w:val="007E73D5"/>
    <w:rsid w:val="007F2BCB"/>
    <w:rsid w:val="00813753"/>
    <w:rsid w:val="0081510E"/>
    <w:rsid w:val="00852B7F"/>
    <w:rsid w:val="00853198"/>
    <w:rsid w:val="00856B7C"/>
    <w:rsid w:val="0086534C"/>
    <w:rsid w:val="00866152"/>
    <w:rsid w:val="00866E7B"/>
    <w:rsid w:val="008904C5"/>
    <w:rsid w:val="00892E23"/>
    <w:rsid w:val="008A6A48"/>
    <w:rsid w:val="008B6275"/>
    <w:rsid w:val="008B6300"/>
    <w:rsid w:val="008B6A55"/>
    <w:rsid w:val="008B6F6D"/>
    <w:rsid w:val="008D4469"/>
    <w:rsid w:val="008E1DD1"/>
    <w:rsid w:val="008F2593"/>
    <w:rsid w:val="008F4FAA"/>
    <w:rsid w:val="008F5BEA"/>
    <w:rsid w:val="0090103B"/>
    <w:rsid w:val="009129BD"/>
    <w:rsid w:val="009151A3"/>
    <w:rsid w:val="00930059"/>
    <w:rsid w:val="00930110"/>
    <w:rsid w:val="00930F90"/>
    <w:rsid w:val="00933D50"/>
    <w:rsid w:val="009432C4"/>
    <w:rsid w:val="0095039C"/>
    <w:rsid w:val="009505A1"/>
    <w:rsid w:val="00981A60"/>
    <w:rsid w:val="00987646"/>
    <w:rsid w:val="0099420D"/>
    <w:rsid w:val="00994593"/>
    <w:rsid w:val="009A03DE"/>
    <w:rsid w:val="009A059A"/>
    <w:rsid w:val="009A2CA4"/>
    <w:rsid w:val="009A4E9C"/>
    <w:rsid w:val="009A7F4F"/>
    <w:rsid w:val="009B15B7"/>
    <w:rsid w:val="009B6526"/>
    <w:rsid w:val="009D16F1"/>
    <w:rsid w:val="009E1A2E"/>
    <w:rsid w:val="009F0F76"/>
    <w:rsid w:val="009F2886"/>
    <w:rsid w:val="00A13FFD"/>
    <w:rsid w:val="00A27326"/>
    <w:rsid w:val="00A81C2D"/>
    <w:rsid w:val="00A91FD6"/>
    <w:rsid w:val="00A94DB3"/>
    <w:rsid w:val="00A96CB2"/>
    <w:rsid w:val="00A97C00"/>
    <w:rsid w:val="00AA4C8C"/>
    <w:rsid w:val="00AB2B99"/>
    <w:rsid w:val="00AB789B"/>
    <w:rsid w:val="00AC12FB"/>
    <w:rsid w:val="00AC14E0"/>
    <w:rsid w:val="00AD4EC1"/>
    <w:rsid w:val="00AF5749"/>
    <w:rsid w:val="00B03623"/>
    <w:rsid w:val="00B10C68"/>
    <w:rsid w:val="00B120ED"/>
    <w:rsid w:val="00B23A07"/>
    <w:rsid w:val="00B27539"/>
    <w:rsid w:val="00B308F4"/>
    <w:rsid w:val="00B360FB"/>
    <w:rsid w:val="00B50DDF"/>
    <w:rsid w:val="00B538C0"/>
    <w:rsid w:val="00B61EDB"/>
    <w:rsid w:val="00B746A4"/>
    <w:rsid w:val="00B774F9"/>
    <w:rsid w:val="00B86786"/>
    <w:rsid w:val="00B86A5A"/>
    <w:rsid w:val="00B902B8"/>
    <w:rsid w:val="00B952B3"/>
    <w:rsid w:val="00BC5433"/>
    <w:rsid w:val="00BC5CD5"/>
    <w:rsid w:val="00BD4B87"/>
    <w:rsid w:val="00BE07E1"/>
    <w:rsid w:val="00BE0FC6"/>
    <w:rsid w:val="00BE7871"/>
    <w:rsid w:val="00C12E5B"/>
    <w:rsid w:val="00C33273"/>
    <w:rsid w:val="00C46E5B"/>
    <w:rsid w:val="00C5528C"/>
    <w:rsid w:val="00C66383"/>
    <w:rsid w:val="00C803C7"/>
    <w:rsid w:val="00C969D9"/>
    <w:rsid w:val="00CA5B2B"/>
    <w:rsid w:val="00CB21E0"/>
    <w:rsid w:val="00CB4D96"/>
    <w:rsid w:val="00CD4335"/>
    <w:rsid w:val="00CD6246"/>
    <w:rsid w:val="00CD6456"/>
    <w:rsid w:val="00CE2678"/>
    <w:rsid w:val="00CF2E15"/>
    <w:rsid w:val="00CF45EE"/>
    <w:rsid w:val="00CF73D4"/>
    <w:rsid w:val="00D23AA9"/>
    <w:rsid w:val="00D322F0"/>
    <w:rsid w:val="00D36AAE"/>
    <w:rsid w:val="00D511F5"/>
    <w:rsid w:val="00D535F0"/>
    <w:rsid w:val="00D627F3"/>
    <w:rsid w:val="00D94971"/>
    <w:rsid w:val="00DE1CFC"/>
    <w:rsid w:val="00DF4FD2"/>
    <w:rsid w:val="00E06A05"/>
    <w:rsid w:val="00E16C9F"/>
    <w:rsid w:val="00E27668"/>
    <w:rsid w:val="00E366B3"/>
    <w:rsid w:val="00E577F9"/>
    <w:rsid w:val="00E625B3"/>
    <w:rsid w:val="00E72EBD"/>
    <w:rsid w:val="00E75B52"/>
    <w:rsid w:val="00E773FD"/>
    <w:rsid w:val="00EA0419"/>
    <w:rsid w:val="00EA530C"/>
    <w:rsid w:val="00EB2FC1"/>
    <w:rsid w:val="00EB6AD6"/>
    <w:rsid w:val="00EC1D59"/>
    <w:rsid w:val="00EC5150"/>
    <w:rsid w:val="00ED2A5C"/>
    <w:rsid w:val="00EF6481"/>
    <w:rsid w:val="00F1173E"/>
    <w:rsid w:val="00F12439"/>
    <w:rsid w:val="00F2005D"/>
    <w:rsid w:val="00F22641"/>
    <w:rsid w:val="00F379CB"/>
    <w:rsid w:val="00F56F87"/>
    <w:rsid w:val="00F5729F"/>
    <w:rsid w:val="00F65E88"/>
    <w:rsid w:val="00F71B96"/>
    <w:rsid w:val="00F846B6"/>
    <w:rsid w:val="00F90981"/>
    <w:rsid w:val="00F973FF"/>
    <w:rsid w:val="00FA1F84"/>
    <w:rsid w:val="00FA6BD0"/>
    <w:rsid w:val="00FD723B"/>
    <w:rsid w:val="00FD7C55"/>
    <w:rsid w:val="00FE6945"/>
    <w:rsid w:val="00FF5370"/>
    <w:rsid w:val="00FF570D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DB73CE"/>
  <w15:docId w15:val="{4C64AF6D-0D45-4119-968D-6537D101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19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Times New (W1)" w:hAnsi="Times New (W1)"/>
      <w:b/>
      <w:bCs/>
      <w:vanish/>
      <w:sz w:val="20"/>
    </w:rPr>
  </w:style>
  <w:style w:type="paragraph" w:styleId="Titre4">
    <w:name w:val="heading 4"/>
    <w:basedOn w:val="Normal"/>
    <w:next w:val="Normal"/>
    <w:link w:val="Titre4Car"/>
    <w:qFormat/>
    <w:pPr>
      <w:keepNext/>
      <w:jc w:val="center"/>
      <w:outlineLvl w:val="3"/>
    </w:pPr>
    <w:rPr>
      <w:rFonts w:ascii="Times New (W1)" w:hAnsi="Times New (W1)"/>
      <w:b/>
      <w:bCs/>
      <w:vanish/>
      <w:sz w:val="20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">
    <w:name w:val="marge 0."/>
    <w:basedOn w:val="Normal"/>
    <w:rsid w:val="00EA0419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Normalcentr">
    <w:name w:val="Block Text"/>
    <w:basedOn w:val="Normal"/>
    <w:semiHidden/>
    <w:pPr>
      <w:spacing w:before="6"/>
      <w:ind w:left="540" w:right="110" w:hanging="360"/>
      <w:jc w:val="left"/>
    </w:pPr>
    <w:rPr>
      <w:b/>
      <w:bCs/>
      <w:sz w:val="20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character" w:customStyle="1" w:styleId="Titre4Car">
    <w:name w:val="Titre 4 Car"/>
    <w:basedOn w:val="Policepardfaut"/>
    <w:link w:val="Titre4"/>
    <w:rsid w:val="00B23A07"/>
    <w:rPr>
      <w:rFonts w:ascii="Times New (W1)" w:hAnsi="Times New (W1)"/>
      <w:b/>
      <w:bCs/>
      <w:vanish/>
      <w:szCs w:val="24"/>
      <w:lang w:eastAsia="fr-FR"/>
    </w:rPr>
  </w:style>
  <w:style w:type="character" w:customStyle="1" w:styleId="En-tteCar">
    <w:name w:val="En-tête Car"/>
    <w:basedOn w:val="Policepardfaut"/>
    <w:link w:val="En-tte"/>
    <w:semiHidden/>
    <w:rsid w:val="00175201"/>
    <w:rPr>
      <w:rFonts w:ascii="Times LT Std" w:hAnsi="Times LT Std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9151A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8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Daphnée Chabot</cp:lastModifiedBy>
  <cp:revision>145</cp:revision>
  <cp:lastPrinted>2019-10-15T19:17:00Z</cp:lastPrinted>
  <dcterms:created xsi:type="dcterms:W3CDTF">2023-02-09T15:21:00Z</dcterms:created>
  <dcterms:modified xsi:type="dcterms:W3CDTF">2023-02-10T15:41:00Z</dcterms:modified>
</cp:coreProperties>
</file>