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2FE3" w14:textId="06E4409B" w:rsidR="008337AC" w:rsidRDefault="00A835F2" w:rsidP="00A835F2">
      <w:pPr>
        <w:jc w:val="center"/>
      </w:pPr>
      <w:r>
        <w:t>LES OBLIGATIONS – LA VENTE</w:t>
      </w:r>
    </w:p>
    <w:p w14:paraId="7D8F3A4B" w14:textId="3D6D287F" w:rsidR="00A835F2" w:rsidRDefault="00A835F2" w:rsidP="00337479"/>
    <w:p w14:paraId="1FB75765" w14:textId="5D9F658D" w:rsidR="00930BF4" w:rsidRDefault="00930BF4" w:rsidP="00930BF4">
      <w:pPr>
        <w:pStyle w:val="Heading1"/>
      </w:pPr>
      <w:r>
        <w:t xml:space="preserve">Section 1 : </w:t>
      </w:r>
      <w:r w:rsidRPr="00930BF4">
        <w:t>La formation du contrat de vente</w:t>
      </w:r>
    </w:p>
    <w:p w14:paraId="4707B162" w14:textId="0D2CCA4E" w:rsidR="00930BF4" w:rsidRDefault="00930BF4" w:rsidP="00930BF4"/>
    <w:p w14:paraId="0A59D3AD" w14:textId="319EEA59" w:rsidR="00930BF4" w:rsidRDefault="00C578B8" w:rsidP="00930BF4">
      <w:r w:rsidRPr="00C578B8">
        <w:t>Comme tout contrat, la vente doit se conformer à certaines règles générales relatives à sa formation. Ces règles traitent notamment des conditions de validité, de l’échange de consentement, de la promesse de contracter ainsi que de l’objet et de la cause du contrat.</w:t>
      </w:r>
    </w:p>
    <w:p w14:paraId="3891200A" w14:textId="3286F2F4" w:rsidR="00C578B8" w:rsidRDefault="00C578B8" w:rsidP="00930BF4"/>
    <w:p w14:paraId="7E2353E0" w14:textId="1BBFB29C" w:rsidR="00C578B8" w:rsidRDefault="00E14E8F" w:rsidP="00E14E8F">
      <w:pPr>
        <w:pStyle w:val="Heading2"/>
      </w:pPr>
      <w:r>
        <w:t>Les règles générales de validité des contrats</w:t>
      </w:r>
      <w:r w:rsidR="00761F77">
        <w:t xml:space="preserve"> (</w:t>
      </w:r>
      <w:r w:rsidR="00761F77" w:rsidRPr="00BB7AC4">
        <w:rPr>
          <w:highlight w:val="yellow"/>
        </w:rPr>
        <w:t>arts.1409-1413 C.c.Q</w:t>
      </w:r>
      <w:r w:rsidR="00761F77" w:rsidRPr="00BB7AC4">
        <w:rPr>
          <w:color w:val="EC3F6F"/>
        </w:rPr>
        <w:t>.</w:t>
      </w:r>
      <w:r w:rsidR="00761F77">
        <w:t>)</w:t>
      </w:r>
    </w:p>
    <w:p w14:paraId="4C951256" w14:textId="0DED4B95" w:rsidR="00E14E8F" w:rsidRDefault="00E14E8F" w:rsidP="00E14E8F"/>
    <w:p w14:paraId="63793A8A" w14:textId="7F6237D9" w:rsidR="00E14E8F" w:rsidRDefault="00761F77" w:rsidP="00E14E8F">
      <w:r>
        <w:t xml:space="preserve">Le contrat de vente est avant tout un contrat. Il doit respecter les règles </w:t>
      </w:r>
      <w:r w:rsidR="00BB7AC4">
        <w:t>générales quant à la formation du contrat : la capacité, le consentement valide (</w:t>
      </w:r>
      <w:r w:rsidR="00BB7AC4" w:rsidRPr="00BB7AC4">
        <w:rPr>
          <w:highlight w:val="yellow"/>
        </w:rPr>
        <w:t>arts.1398 et ss C.c.Q</w:t>
      </w:r>
      <w:r w:rsidR="00BB7AC4">
        <w:t>.) , la cause et un objet licite</w:t>
      </w:r>
      <w:r w:rsidR="00E31254">
        <w:t>.</w:t>
      </w:r>
    </w:p>
    <w:p w14:paraId="760582CE" w14:textId="4C780628" w:rsidR="00E31254" w:rsidRDefault="00E31254" w:rsidP="00E14E8F"/>
    <w:p w14:paraId="339106F9" w14:textId="43B3ABD4" w:rsidR="00E31254" w:rsidRDefault="00E31254" w:rsidP="00E14E8F">
      <w:r>
        <w:t xml:space="preserve">Le contrat de vente comporte pour sa part plusieurs règles particulières. C’est le cas de </w:t>
      </w:r>
      <w:r w:rsidRPr="0001015D">
        <w:rPr>
          <w:highlight w:val="yellow"/>
        </w:rPr>
        <w:t>l’art. 1709 C.c.Q</w:t>
      </w:r>
      <w:r>
        <w:t xml:space="preserve">. qui vise à empêcher certaines personnes placées dans une situation de confiance à profiter indument de leur situation pour </w:t>
      </w:r>
      <w:r w:rsidR="00B5337F">
        <w:t xml:space="preserve">s’enrichir au dépend soit d’une des parties ou d’un tiers. </w:t>
      </w:r>
    </w:p>
    <w:p w14:paraId="5ED3C100" w14:textId="7CA006CC" w:rsidR="00B5337F" w:rsidRDefault="00B5337F" w:rsidP="00E14E8F"/>
    <w:p w14:paraId="2231AC3C" w14:textId="7DCC8AA7" w:rsidR="00B5337F" w:rsidRDefault="00B5337F" w:rsidP="00E14E8F">
      <w:r>
        <w:t xml:space="preserve">La forme n’est soumise à aucun formaliste. Cependant, </w:t>
      </w:r>
      <w:r w:rsidR="00D606DF">
        <w:t xml:space="preserve">des lois particulières ainsi que des articles du C.c.Q. </w:t>
      </w:r>
      <w:r w:rsidR="00E77954">
        <w:t xml:space="preserve">peuvent </w:t>
      </w:r>
      <w:r w:rsidR="00DF71A8">
        <w:t xml:space="preserve">encadrer la forme du contrat, de sorte que leur non-respect va avoir un effet sur l’opposabilité vis-à-vis des tiers </w:t>
      </w:r>
      <w:r w:rsidR="007832A0">
        <w:t xml:space="preserve">et leur validité. </w:t>
      </w:r>
    </w:p>
    <w:p w14:paraId="2AF01311" w14:textId="57184A51" w:rsidR="009727F8" w:rsidRDefault="009727F8" w:rsidP="00E14E8F"/>
    <w:p w14:paraId="59E7E8C8" w14:textId="06E2D533" w:rsidR="009727F8" w:rsidRDefault="009727F8" w:rsidP="009727F8">
      <w:pPr>
        <w:pStyle w:val="ListParagraph"/>
        <w:numPr>
          <w:ilvl w:val="0"/>
          <w:numId w:val="1"/>
        </w:numPr>
      </w:pPr>
      <w:r>
        <w:t xml:space="preserve">Exemples : </w:t>
      </w:r>
      <w:r w:rsidRPr="0052313B">
        <w:rPr>
          <w:highlight w:val="yellow"/>
        </w:rPr>
        <w:t>arts 123 et ss LPC</w:t>
      </w:r>
      <w:r>
        <w:t xml:space="preserve"> requiert qu’un contrat de vente soit écrit. Aussi, contrat préliminaire pour un contrat de vente à usage d’habitation aux </w:t>
      </w:r>
      <w:r w:rsidRPr="00F0087E">
        <w:rPr>
          <w:highlight w:val="yellow"/>
        </w:rPr>
        <w:t xml:space="preserve">arts </w:t>
      </w:r>
      <w:r w:rsidR="0052313B" w:rsidRPr="00F0087E">
        <w:rPr>
          <w:highlight w:val="yellow"/>
        </w:rPr>
        <w:t xml:space="preserve">1785 et 1793 </w:t>
      </w:r>
      <w:r w:rsidRPr="00F0087E">
        <w:rPr>
          <w:highlight w:val="yellow"/>
        </w:rPr>
        <w:t>C.c.Q</w:t>
      </w:r>
      <w:r>
        <w:t>.</w:t>
      </w:r>
      <w:r w:rsidR="0052313B">
        <w:t xml:space="preserve">, </w:t>
      </w:r>
      <w:r w:rsidR="00B86089">
        <w:t xml:space="preserve">à la publicité requise à </w:t>
      </w:r>
      <w:r w:rsidR="00B86089" w:rsidRPr="00F0087E">
        <w:rPr>
          <w:highlight w:val="yellow"/>
        </w:rPr>
        <w:t>l’art. 1745, al.2 C.c.Q.</w:t>
      </w:r>
      <w:r w:rsidR="00B86089">
        <w:t xml:space="preserve"> en matière de </w:t>
      </w:r>
      <w:r w:rsidR="001A5515">
        <w:t xml:space="preserve">contrat de vente à tempérament, </w:t>
      </w:r>
      <w:r w:rsidR="00603AC7">
        <w:t>vente immobilière (</w:t>
      </w:r>
      <w:r w:rsidR="00603AC7" w:rsidRPr="00FE2954">
        <w:rPr>
          <w:highlight w:val="yellow"/>
        </w:rPr>
        <w:t>arts. 1455 et 2938 C.c.Q</w:t>
      </w:r>
      <w:r w:rsidR="00603AC7">
        <w:t>.</w:t>
      </w:r>
    </w:p>
    <w:p w14:paraId="4719BEC6" w14:textId="7269B53C" w:rsidR="00F7663A" w:rsidRDefault="00F7663A" w:rsidP="00F7663A"/>
    <w:p w14:paraId="5C5AAC91" w14:textId="4E4F78DA" w:rsidR="00F7663A" w:rsidRDefault="001E4299" w:rsidP="001E4299">
      <w:pPr>
        <w:pStyle w:val="Heading2"/>
      </w:pPr>
      <w:r>
        <w:t>La promesse de vente et le pacte de préférence</w:t>
      </w:r>
    </w:p>
    <w:p w14:paraId="43F86917" w14:textId="2BE48248" w:rsidR="001E4299" w:rsidRDefault="001E4299" w:rsidP="001E4299"/>
    <w:p w14:paraId="7866BF59" w14:textId="3DA98476" w:rsidR="001E4299" w:rsidRDefault="001E12AD" w:rsidP="001E4299">
      <w:r>
        <w:t xml:space="preserve">Pour toute sorte de raison les parties peuvent vouloir retarder la conclusion de la vente et pour ces raisons </w:t>
      </w:r>
      <w:r w:rsidR="001801A6">
        <w:t>le C.c.Q. offre plusieurs mécanismes.</w:t>
      </w:r>
    </w:p>
    <w:p w14:paraId="2B4B7238" w14:textId="08698F89" w:rsidR="001801A6" w:rsidRDefault="001801A6" w:rsidP="001E4299"/>
    <w:p w14:paraId="54B42F4B" w14:textId="3ED19B58" w:rsidR="001801A6" w:rsidRDefault="001801A6" w:rsidP="001801A6">
      <w:pPr>
        <w:pStyle w:val="ListParagraph"/>
        <w:numPr>
          <w:ilvl w:val="0"/>
          <w:numId w:val="2"/>
        </w:numPr>
      </w:pPr>
      <w:r>
        <w:t>Promesse unilatérale (</w:t>
      </w:r>
      <w:r w:rsidR="00957E6B" w:rsidRPr="003E7D6C">
        <w:rPr>
          <w:highlight w:val="yellow"/>
        </w:rPr>
        <w:t>a</w:t>
      </w:r>
      <w:r w:rsidRPr="003E7D6C">
        <w:rPr>
          <w:highlight w:val="yellow"/>
        </w:rPr>
        <w:t xml:space="preserve">rt. </w:t>
      </w:r>
      <w:r w:rsidR="008A776B">
        <w:rPr>
          <w:highlight w:val="yellow"/>
        </w:rPr>
        <w:t xml:space="preserve">1396, al.1 </w:t>
      </w:r>
      <w:r w:rsidRPr="003E7D6C">
        <w:rPr>
          <w:highlight w:val="yellow"/>
        </w:rPr>
        <w:t>C.c.Q</w:t>
      </w:r>
      <w:r>
        <w:t>.)</w:t>
      </w:r>
    </w:p>
    <w:p w14:paraId="24568554" w14:textId="1975C2E0" w:rsidR="003E7D6C" w:rsidRDefault="003E7D6C" w:rsidP="003E7D6C"/>
    <w:p w14:paraId="2FB90209" w14:textId="3FEB0DB0" w:rsidR="003E7D6C" w:rsidRPr="007056DC" w:rsidRDefault="008A776B" w:rsidP="003E7D6C">
      <w:r w:rsidRPr="007056DC">
        <w:rPr>
          <w:highlight w:val="yellow"/>
        </w:rPr>
        <w:t>A</w:t>
      </w:r>
      <w:r w:rsidR="003E7D6C" w:rsidRPr="007056DC">
        <w:rPr>
          <w:highlight w:val="yellow"/>
        </w:rPr>
        <w:t xml:space="preserve">rt. </w:t>
      </w:r>
      <w:r w:rsidR="0070426E" w:rsidRPr="007056DC">
        <w:rPr>
          <w:highlight w:val="yellow"/>
        </w:rPr>
        <w:t xml:space="preserve">1396, al.1 </w:t>
      </w:r>
      <w:r w:rsidR="003E7D6C" w:rsidRPr="007056DC">
        <w:rPr>
          <w:highlight w:val="yellow"/>
        </w:rPr>
        <w:t>C.c.Q</w:t>
      </w:r>
      <w:r w:rsidR="003E7D6C" w:rsidRPr="007056DC">
        <w:t>.</w:t>
      </w:r>
      <w:r w:rsidRPr="007056DC">
        <w:t> :</w:t>
      </w:r>
    </w:p>
    <w:p w14:paraId="4E0A1B69" w14:textId="69909B12" w:rsidR="008A776B" w:rsidRPr="008A776B" w:rsidRDefault="008A776B" w:rsidP="003E7D6C">
      <w:r w:rsidRPr="008A776B">
        <w:t xml:space="preserve">L’offre de contracter, faite à une personne déterminée, constitue une promesse de conclure le contrat envisagé, </w:t>
      </w:r>
      <w:r w:rsidRPr="008A776B">
        <w:rPr>
          <w:u w:val="single"/>
        </w:rPr>
        <w:t>dès lors que le destinataire manifeste clairement à l’offrant son intention de prendre l’offre en considération et d’y répondre dans un délai raisonnable ou dans celui dont elle est assortie</w:t>
      </w:r>
      <w:r w:rsidRPr="008A776B">
        <w:t>.</w:t>
      </w:r>
    </w:p>
    <w:p w14:paraId="123DB87B" w14:textId="6B99E02C" w:rsidR="008A776B" w:rsidRPr="008A776B" w:rsidRDefault="008A776B" w:rsidP="003E7D6C"/>
    <w:p w14:paraId="0939E1A3" w14:textId="2D8E5594" w:rsidR="008A776B" w:rsidRDefault="00022E7D" w:rsidP="00022E7D">
      <w:pPr>
        <w:pStyle w:val="ListParagraph"/>
        <w:numPr>
          <w:ilvl w:val="0"/>
          <w:numId w:val="1"/>
        </w:numPr>
      </w:pPr>
      <w:r>
        <w:t>Cette disposition distincte la promesse de l’offre</w:t>
      </w:r>
    </w:p>
    <w:p w14:paraId="438D1C98" w14:textId="5248E0F7" w:rsidR="008A776B" w:rsidRDefault="00022E7D" w:rsidP="003E7D6C">
      <w:pPr>
        <w:pStyle w:val="ListParagraph"/>
        <w:numPr>
          <w:ilvl w:val="0"/>
          <w:numId w:val="1"/>
        </w:numPr>
      </w:pPr>
      <w:r>
        <w:t>Si le bénéficiaire décide de lever l’option qu’il s’est donné</w:t>
      </w:r>
      <w:r w:rsidR="0070426E">
        <w:t xml:space="preserve"> </w:t>
      </w:r>
      <w:r w:rsidR="0070426E" w:rsidRPr="0070426E">
        <w:t>(</w:t>
      </w:r>
      <w:r w:rsidR="0070426E" w:rsidRPr="0070426E">
        <w:rPr>
          <w:highlight w:val="yellow"/>
        </w:rPr>
        <w:t xml:space="preserve">art. </w:t>
      </w:r>
      <w:r w:rsidR="0070426E">
        <w:rPr>
          <w:highlight w:val="yellow"/>
        </w:rPr>
        <w:t xml:space="preserve">1396, al.2 </w:t>
      </w:r>
      <w:r w:rsidR="0070426E" w:rsidRPr="00931A00">
        <w:rPr>
          <w:highlight w:val="yellow"/>
        </w:rPr>
        <w:t>C.c.Q</w:t>
      </w:r>
      <w:r w:rsidR="0070426E" w:rsidRPr="00931A00">
        <w:t>.)</w:t>
      </w:r>
      <w:r w:rsidR="00931A00" w:rsidRPr="00931A00">
        <w:t xml:space="preserve"> alors, </w:t>
      </w:r>
      <w:r w:rsidR="00931A00">
        <w:t>les parties devront conclure le contrat de vente sous peine de sanctions</w:t>
      </w:r>
    </w:p>
    <w:p w14:paraId="50EB43CA" w14:textId="729C55E1" w:rsidR="00A871C2" w:rsidRDefault="00A871C2" w:rsidP="00A871C2"/>
    <w:p w14:paraId="729783BC" w14:textId="6E3ACAB5" w:rsidR="00C76D6C" w:rsidRDefault="00C76D6C" w:rsidP="00A871C2">
      <w:r>
        <w:t xml:space="preserve">Si la promesse unilatérale est accompagnée d’une délivrance = cette situation équivaut à une véritable vente </w:t>
      </w:r>
      <w:r w:rsidRPr="00C76D6C">
        <w:t>(</w:t>
      </w:r>
      <w:r w:rsidRPr="00C76D6C">
        <w:rPr>
          <w:highlight w:val="yellow"/>
        </w:rPr>
        <w:t xml:space="preserve">art. </w:t>
      </w:r>
      <w:r>
        <w:rPr>
          <w:highlight w:val="yellow"/>
        </w:rPr>
        <w:t xml:space="preserve">1710 </w:t>
      </w:r>
      <w:r w:rsidRPr="00CC4067">
        <w:rPr>
          <w:highlight w:val="yellow"/>
        </w:rPr>
        <w:t>C.c.Q</w:t>
      </w:r>
      <w:r w:rsidRPr="00CC4067">
        <w:t xml:space="preserve">.) </w:t>
      </w:r>
    </w:p>
    <w:p w14:paraId="23BD801E" w14:textId="2B0FCBDA" w:rsidR="00C76D6C" w:rsidRDefault="00C76D6C" w:rsidP="00A871C2"/>
    <w:p w14:paraId="180C2F35" w14:textId="77777777" w:rsidR="009D54B0" w:rsidRDefault="009D54B0" w:rsidP="00A871C2"/>
    <w:p w14:paraId="16515901" w14:textId="1EB101D0" w:rsidR="00A871C2" w:rsidRDefault="00A871C2" w:rsidP="00A871C2">
      <w:pPr>
        <w:pStyle w:val="ListParagraph"/>
        <w:numPr>
          <w:ilvl w:val="0"/>
          <w:numId w:val="2"/>
        </w:numPr>
      </w:pPr>
      <w:r>
        <w:lastRenderedPageBreak/>
        <w:t xml:space="preserve">Promesse bilatérale </w:t>
      </w:r>
      <w:r w:rsidRPr="00A871C2">
        <w:t>(</w:t>
      </w:r>
      <w:r w:rsidRPr="00A871C2">
        <w:rPr>
          <w:highlight w:val="yellow"/>
        </w:rPr>
        <w:t xml:space="preserve">art. </w:t>
      </w:r>
      <w:r w:rsidR="00246AD0">
        <w:rPr>
          <w:highlight w:val="yellow"/>
        </w:rPr>
        <w:t>1396, al.2</w:t>
      </w:r>
      <w:r w:rsidR="00C42798">
        <w:rPr>
          <w:highlight w:val="yellow"/>
        </w:rPr>
        <w:t xml:space="preserve"> </w:t>
      </w:r>
      <w:r w:rsidRPr="00A871C2">
        <w:rPr>
          <w:highlight w:val="yellow"/>
        </w:rPr>
        <w:t>C.c.Q</w:t>
      </w:r>
      <w:r w:rsidRPr="00A871C2">
        <w:t>.)</w:t>
      </w:r>
    </w:p>
    <w:p w14:paraId="74F09F55" w14:textId="77777777" w:rsidR="009D54B0" w:rsidRDefault="009D54B0" w:rsidP="00A871C2"/>
    <w:p w14:paraId="2478DDC0" w14:textId="267BC2E5" w:rsidR="00A871C2" w:rsidRDefault="00A871C2" w:rsidP="00A871C2">
      <w:r>
        <w:t>Dès le levé de l’option de la promesse unilatérale, la promesse devient bilatérale</w:t>
      </w:r>
      <w:r w:rsidR="00AD2D2C">
        <w:t xml:space="preserve">. </w:t>
      </w:r>
      <w:r w:rsidR="00C76D6C">
        <w:t xml:space="preserve">Elle n’équivaut pas à la vente, mais oblige les parties à conclure le contrat de vente. </w:t>
      </w:r>
    </w:p>
    <w:p w14:paraId="5A907318" w14:textId="77777777" w:rsidR="00C76D6C" w:rsidRDefault="00C76D6C" w:rsidP="00A871C2"/>
    <w:p w14:paraId="0976D79A" w14:textId="2DBE259C" w:rsidR="007C378E" w:rsidRDefault="007C378E" w:rsidP="007C378E">
      <w:r>
        <w:t xml:space="preserve">Si la promesse bilatérale est accompagnée d’une délivrance = cette situation équivaut à une véritable vente </w:t>
      </w:r>
      <w:r w:rsidRPr="00C76D6C">
        <w:t>(</w:t>
      </w:r>
      <w:r w:rsidRPr="00C76D6C">
        <w:rPr>
          <w:highlight w:val="yellow"/>
        </w:rPr>
        <w:t xml:space="preserve">art. </w:t>
      </w:r>
      <w:r>
        <w:rPr>
          <w:highlight w:val="yellow"/>
        </w:rPr>
        <w:t xml:space="preserve">1710 </w:t>
      </w:r>
      <w:r w:rsidRPr="00CC4067">
        <w:rPr>
          <w:highlight w:val="yellow"/>
        </w:rPr>
        <w:t>C.c.Q</w:t>
      </w:r>
      <w:r w:rsidRPr="00CC4067">
        <w:t xml:space="preserve">.) </w:t>
      </w:r>
    </w:p>
    <w:p w14:paraId="66A5E924" w14:textId="5DB23A58" w:rsidR="00A871C2" w:rsidRDefault="00A871C2" w:rsidP="00A871C2"/>
    <w:p w14:paraId="65720C4F" w14:textId="51D5C44F" w:rsidR="009B6AD7" w:rsidRDefault="009B6AD7" w:rsidP="009B6AD7">
      <w:pPr>
        <w:pStyle w:val="ListParagraph"/>
        <w:numPr>
          <w:ilvl w:val="0"/>
          <w:numId w:val="2"/>
        </w:numPr>
      </w:pPr>
      <w:r>
        <w:t xml:space="preserve">Le pacte de préférence </w:t>
      </w:r>
      <w:r w:rsidRPr="009B6AD7">
        <w:t>(</w:t>
      </w:r>
      <w:r w:rsidRPr="009B6AD7">
        <w:rPr>
          <w:highlight w:val="yellow"/>
        </w:rPr>
        <w:t xml:space="preserve">art. </w:t>
      </w:r>
      <w:r w:rsidR="00DE7448">
        <w:rPr>
          <w:highlight w:val="yellow"/>
        </w:rPr>
        <w:t xml:space="preserve">1397, al.2 </w:t>
      </w:r>
      <w:r w:rsidRPr="007D413C">
        <w:rPr>
          <w:highlight w:val="yellow"/>
        </w:rPr>
        <w:t>C.c.Q</w:t>
      </w:r>
      <w:r w:rsidRPr="007D413C">
        <w:t>.)</w:t>
      </w:r>
    </w:p>
    <w:p w14:paraId="6DED1F84" w14:textId="44069568" w:rsidR="009B6AD7" w:rsidRDefault="009B6AD7" w:rsidP="009B6AD7"/>
    <w:p w14:paraId="5916BB80" w14:textId="7EE4FD26" w:rsidR="009B6AD7" w:rsidRPr="007D413C" w:rsidRDefault="00D00618" w:rsidP="009B6AD7">
      <w:r w:rsidRPr="00DE7448">
        <w:t>Le défaut d’</w:t>
      </w:r>
      <w:r w:rsidR="007D413C">
        <w:t>h</w:t>
      </w:r>
      <w:r w:rsidRPr="00DE7448">
        <w:t xml:space="preserve">onorer le pacte de </w:t>
      </w:r>
      <w:r w:rsidR="007D413C" w:rsidRPr="00DE7448">
        <w:t>préférence</w:t>
      </w:r>
      <w:r w:rsidRPr="00DE7448">
        <w:t xml:space="preserve"> ne donne ouverture qu’à des dommages-intérêts. </w:t>
      </w:r>
    </w:p>
    <w:p w14:paraId="7A3B8F17" w14:textId="77777777" w:rsidR="009B6AD7" w:rsidRPr="007D413C" w:rsidRDefault="009B6AD7" w:rsidP="009B6AD7"/>
    <w:p w14:paraId="46C19988" w14:textId="226CE36A" w:rsidR="00A4226F" w:rsidRDefault="00183628" w:rsidP="00A871C2">
      <w:pPr>
        <w:pStyle w:val="NoSpacing"/>
        <w:numPr>
          <w:ilvl w:val="0"/>
          <w:numId w:val="2"/>
        </w:numPr>
      </w:pPr>
      <w:r w:rsidRPr="00183628">
        <w:t>I</w:t>
      </w:r>
      <w:r w:rsidR="005E7C1E" w:rsidRPr="00183628">
        <w:t>nexécution de l’autre partie</w:t>
      </w:r>
      <w:r w:rsidR="00E066AC">
        <w:t xml:space="preserve"> – Les sanctions</w:t>
      </w:r>
    </w:p>
    <w:p w14:paraId="0790562F" w14:textId="502E5D74" w:rsidR="00A4226F" w:rsidRDefault="005D0973" w:rsidP="00E066AC">
      <w:pPr>
        <w:pStyle w:val="ListParagraph"/>
        <w:numPr>
          <w:ilvl w:val="0"/>
          <w:numId w:val="1"/>
        </w:numPr>
      </w:pPr>
      <w:r w:rsidRPr="00E066AC">
        <w:rPr>
          <w:u w:val="single"/>
        </w:rPr>
        <w:t>L’action en passation de titre</w:t>
      </w:r>
    </w:p>
    <w:p w14:paraId="094DBF28" w14:textId="77777777" w:rsidR="00A4226F" w:rsidRDefault="00A4226F" w:rsidP="00A871C2"/>
    <w:p w14:paraId="38961E41" w14:textId="549A49EB" w:rsidR="004B2315" w:rsidRDefault="00183628" w:rsidP="00A871C2">
      <w:r>
        <w:t>Peut exiger l’exécution en nature</w:t>
      </w:r>
      <w:r w:rsidR="000D4208">
        <w:t>(</w:t>
      </w:r>
      <w:r w:rsidR="000D4208" w:rsidRPr="000D4208">
        <w:rPr>
          <w:highlight w:val="yellow"/>
        </w:rPr>
        <w:t>arts. 1590</w:t>
      </w:r>
      <w:r w:rsidR="00680F7D">
        <w:rPr>
          <w:highlight w:val="yellow"/>
        </w:rPr>
        <w:t xml:space="preserve"> </w:t>
      </w:r>
      <w:r w:rsidR="000D4208" w:rsidRPr="000D4208">
        <w:rPr>
          <w:highlight w:val="yellow"/>
        </w:rPr>
        <w:t>et 1601 C.c.Q</w:t>
      </w:r>
      <w:r w:rsidR="000D4208">
        <w:t xml:space="preserve">.) en matière de vente prend la forme particulière de l’action en passation de titre </w:t>
      </w:r>
      <w:r w:rsidR="000D4208" w:rsidRPr="00A871C2">
        <w:t>(</w:t>
      </w:r>
      <w:r w:rsidR="000D4208" w:rsidRPr="00A871C2">
        <w:rPr>
          <w:highlight w:val="yellow"/>
        </w:rPr>
        <w:t xml:space="preserve">art. </w:t>
      </w:r>
      <w:r w:rsidR="009521BA">
        <w:rPr>
          <w:highlight w:val="yellow"/>
        </w:rPr>
        <w:t xml:space="preserve">1712 </w:t>
      </w:r>
      <w:r w:rsidR="000D4208" w:rsidRPr="00A871C2">
        <w:rPr>
          <w:highlight w:val="yellow"/>
        </w:rPr>
        <w:t>C.c.Q</w:t>
      </w:r>
      <w:r w:rsidR="000D4208" w:rsidRPr="00A871C2">
        <w:t>.)</w:t>
      </w:r>
      <w:r w:rsidR="009521BA">
        <w:t xml:space="preserve">. </w:t>
      </w:r>
    </w:p>
    <w:p w14:paraId="2FE73C2B" w14:textId="54FBFD16" w:rsidR="00A4226F" w:rsidRDefault="00A4226F" w:rsidP="00A871C2"/>
    <w:p w14:paraId="6229090F" w14:textId="4A728006" w:rsidR="00A4226F" w:rsidRDefault="00E066AC" w:rsidP="00E066AC">
      <w:pPr>
        <w:pStyle w:val="ListParagraph"/>
        <w:numPr>
          <w:ilvl w:val="0"/>
          <w:numId w:val="1"/>
        </w:numPr>
      </w:pPr>
      <w:r w:rsidRPr="00E066AC">
        <w:rPr>
          <w:u w:val="single"/>
        </w:rPr>
        <w:t>La résolution de la promesse de vente</w:t>
      </w:r>
      <w:r>
        <w:t> </w:t>
      </w:r>
      <w:r w:rsidRPr="00A871C2">
        <w:t>(</w:t>
      </w:r>
      <w:r w:rsidRPr="00E066AC">
        <w:rPr>
          <w:highlight w:val="yellow"/>
        </w:rPr>
        <w:t>art. 1604 C.c.Q</w:t>
      </w:r>
      <w:r w:rsidRPr="00A871C2">
        <w:t>.)</w:t>
      </w:r>
    </w:p>
    <w:p w14:paraId="130857A4" w14:textId="77777777" w:rsidR="00A871C2" w:rsidRPr="008A776B" w:rsidRDefault="00A871C2" w:rsidP="00A871C2"/>
    <w:p w14:paraId="37DA146E" w14:textId="77777777" w:rsidR="003B0C91" w:rsidRPr="003B0C91" w:rsidRDefault="003B0C91" w:rsidP="003E7D6C">
      <w:pPr>
        <w:pStyle w:val="ListParagraph"/>
        <w:numPr>
          <w:ilvl w:val="0"/>
          <w:numId w:val="1"/>
        </w:numPr>
        <w:rPr>
          <w:u w:val="single"/>
        </w:rPr>
      </w:pPr>
      <w:r w:rsidRPr="003B0C91">
        <w:rPr>
          <w:u w:val="single"/>
        </w:rPr>
        <w:t xml:space="preserve">Les dommages-intérêts </w:t>
      </w:r>
      <w:r w:rsidR="003E7D6C" w:rsidRPr="003B0C91">
        <w:rPr>
          <w:u w:val="single"/>
        </w:rPr>
        <w:t>(</w:t>
      </w:r>
      <w:r w:rsidR="003E7D6C" w:rsidRPr="003B0C91">
        <w:rPr>
          <w:highlight w:val="yellow"/>
          <w:u w:val="single"/>
        </w:rPr>
        <w:t>art</w:t>
      </w:r>
      <w:r w:rsidRPr="003B0C91">
        <w:rPr>
          <w:highlight w:val="yellow"/>
          <w:u w:val="single"/>
        </w:rPr>
        <w:t xml:space="preserve">s 1458, 1590 et 1607 </w:t>
      </w:r>
      <w:r w:rsidR="003E7D6C" w:rsidRPr="003B0C91">
        <w:rPr>
          <w:highlight w:val="yellow"/>
          <w:u w:val="single"/>
        </w:rPr>
        <w:t>C.c.Q</w:t>
      </w:r>
      <w:r w:rsidR="003E7D6C" w:rsidRPr="003B0C91">
        <w:rPr>
          <w:u w:val="single"/>
        </w:rPr>
        <w:t>.)</w:t>
      </w:r>
    </w:p>
    <w:p w14:paraId="42AA5453" w14:textId="77777777" w:rsidR="003B0C91" w:rsidRPr="003B0C91" w:rsidRDefault="003B0C91" w:rsidP="003B0C91"/>
    <w:p w14:paraId="1B71DD47" w14:textId="3C848FA9" w:rsidR="003B0C91" w:rsidRDefault="003B0C91" w:rsidP="003B0C91">
      <w:r w:rsidRPr="003B0C91">
        <w:t xml:space="preserve">Peuvent toujours accompagnés les </w:t>
      </w:r>
      <w:r>
        <w:t>autres sanctions aussi.</w:t>
      </w:r>
    </w:p>
    <w:p w14:paraId="558B7A9F" w14:textId="77777777" w:rsidR="003B0C91" w:rsidRPr="003B0C91" w:rsidRDefault="003B0C91" w:rsidP="003B0C91"/>
    <w:p w14:paraId="5BC6008D" w14:textId="5671FB48" w:rsidR="003B0C91" w:rsidRPr="00AD5E07" w:rsidRDefault="00AD5E07" w:rsidP="00AD5E07">
      <w:r w:rsidRPr="00AD5E07">
        <w:t>L’</w:t>
      </w:r>
      <w:r w:rsidR="003E7D6C" w:rsidRPr="00AD5E07">
        <w:rPr>
          <w:highlight w:val="yellow"/>
        </w:rPr>
        <w:t xml:space="preserve">art. </w:t>
      </w:r>
      <w:r w:rsidRPr="00AD5E07">
        <w:rPr>
          <w:highlight w:val="yellow"/>
        </w:rPr>
        <w:t xml:space="preserve">1397 </w:t>
      </w:r>
      <w:r w:rsidR="003E7D6C" w:rsidRPr="00AD5E07">
        <w:rPr>
          <w:highlight w:val="yellow"/>
        </w:rPr>
        <w:t>C.c.Q</w:t>
      </w:r>
      <w:r w:rsidRPr="00AD5E07">
        <w:t xml:space="preserve">. </w:t>
      </w:r>
      <w:r>
        <w:t>pr</w:t>
      </w:r>
      <w:r w:rsidRPr="00AD5E07">
        <w:t>otège la vente d’un bien à un tier</w:t>
      </w:r>
      <w:r>
        <w:t>s en contravention à la promesse. La vente sera valable sous réserve de la possibilité de réclamer des dommages-intérêts contre le promettant et contre un tiers si ce dernier était de mauvaise foi</w:t>
      </w:r>
      <w:r w:rsidR="00BF0F9F">
        <w:t xml:space="preserve"> (au courant de la promesse)</w:t>
      </w:r>
    </w:p>
    <w:p w14:paraId="42704B77" w14:textId="4E71FB93" w:rsidR="003B0C91" w:rsidRDefault="003B0C91" w:rsidP="006441D7"/>
    <w:p w14:paraId="05CD1484" w14:textId="4E56BE68" w:rsidR="006441D7" w:rsidRDefault="00BF0F9F" w:rsidP="006441D7">
      <w:r>
        <w:t xml:space="preserve">La promesse accompagnée d’un somme d’argent, soit </w:t>
      </w:r>
      <w:r w:rsidR="00C61B5E">
        <w:t xml:space="preserve">une </w:t>
      </w:r>
      <w:r w:rsidR="00C61B5E" w:rsidRPr="00817A42">
        <w:rPr>
          <w:u w:val="single"/>
        </w:rPr>
        <w:t>promesse avec arr</w:t>
      </w:r>
      <w:r w:rsidR="005751CA" w:rsidRPr="00817A42">
        <w:rPr>
          <w:u w:val="single"/>
        </w:rPr>
        <w:t>he</w:t>
      </w:r>
      <w:r w:rsidR="005751CA">
        <w:t xml:space="preserve"> fait en sorte que le promettant peut se libérer de la promesse au moyen de cette somme ou en renonçant à cette somme. Il n’y a rien de prévu dans le C.c.Q. Par contre, si les parties désirent prévoir dans </w:t>
      </w:r>
      <w:r w:rsidR="00817A42">
        <w:t xml:space="preserve">le </w:t>
      </w:r>
      <w:r w:rsidR="005751CA">
        <w:t xml:space="preserve">contrat </w:t>
      </w:r>
      <w:r w:rsidR="00817A42">
        <w:t xml:space="preserve">de vente </w:t>
      </w:r>
      <w:r w:rsidR="005751CA">
        <w:t xml:space="preserve">cette éventualité, le liberté contractuelle leur permet. </w:t>
      </w:r>
    </w:p>
    <w:p w14:paraId="2AC3A753" w14:textId="359E43D5" w:rsidR="006441D7" w:rsidRDefault="006441D7" w:rsidP="006441D7"/>
    <w:p w14:paraId="1113434C" w14:textId="13891ED2" w:rsidR="003E7D6C" w:rsidRDefault="000D7AB5" w:rsidP="009B6AD7">
      <w:r>
        <w:t xml:space="preserve">Il faut </w:t>
      </w:r>
      <w:r w:rsidRPr="000D7AB5">
        <w:rPr>
          <w:u w:val="dash"/>
        </w:rPr>
        <w:t>distinguer la promesse avec arrhe avec l’acompte</w:t>
      </w:r>
      <w:r>
        <w:t> :</w:t>
      </w:r>
      <w:r w:rsidR="00170990">
        <w:t xml:space="preserve"> en l’absence de toute stipulation</w:t>
      </w:r>
      <w:r w:rsidR="0014694F">
        <w:t xml:space="preserve"> au contrat sur</w:t>
      </w:r>
      <w:r w:rsidR="00D30E3E">
        <w:t xml:space="preserve"> </w:t>
      </w:r>
      <w:r w:rsidR="00EF60A0">
        <w:t xml:space="preserve">un </w:t>
      </w:r>
      <w:r w:rsidR="00D30E3E">
        <w:t>arrhe</w:t>
      </w:r>
      <w:r w:rsidR="0014694F">
        <w:t xml:space="preserve">, </w:t>
      </w:r>
      <w:r w:rsidR="00C07DE5">
        <w:t>l’</w:t>
      </w:r>
      <w:r w:rsidR="0014694F" w:rsidRPr="0014694F">
        <w:rPr>
          <w:highlight w:val="yellow"/>
        </w:rPr>
        <w:t xml:space="preserve">art. </w:t>
      </w:r>
      <w:r w:rsidR="0014694F">
        <w:rPr>
          <w:highlight w:val="yellow"/>
        </w:rPr>
        <w:t xml:space="preserve">1711 </w:t>
      </w:r>
      <w:r w:rsidR="0014694F" w:rsidRPr="0014694F">
        <w:rPr>
          <w:highlight w:val="yellow"/>
        </w:rPr>
        <w:t>C.c.Q</w:t>
      </w:r>
      <w:r w:rsidR="0014694F" w:rsidRPr="0014694F">
        <w:t>.</w:t>
      </w:r>
      <w:r w:rsidR="00C07DE5">
        <w:t xml:space="preserve"> </w:t>
      </w:r>
      <w:r w:rsidR="0014694F" w:rsidRPr="0014694F">
        <w:t xml:space="preserve">fait </w:t>
      </w:r>
      <w:r w:rsidR="0014694F">
        <w:t xml:space="preserve">naitre une présomption à l’effet qu’il s’agira d’un acompte. </w:t>
      </w:r>
    </w:p>
    <w:p w14:paraId="0E7007F4" w14:textId="7AEDCED0" w:rsidR="00873E98" w:rsidRDefault="00873E98" w:rsidP="009B6AD7"/>
    <w:p w14:paraId="10240417" w14:textId="4614300A" w:rsidR="00873E98" w:rsidRDefault="00873E98" w:rsidP="00873E98">
      <w:pPr>
        <w:pStyle w:val="Heading2"/>
      </w:pPr>
      <w:r>
        <w:t xml:space="preserve">Les vices de consentement et les autres défauts de formation du contrat </w:t>
      </w:r>
    </w:p>
    <w:p w14:paraId="0F83D637" w14:textId="4FBDA2A5" w:rsidR="00873E98" w:rsidRDefault="00873E98" w:rsidP="00873E98"/>
    <w:p w14:paraId="4E52F6B5" w14:textId="77777777" w:rsidR="0063090C" w:rsidRDefault="000078DE" w:rsidP="00873E98">
      <w:r>
        <w:t>Le</w:t>
      </w:r>
      <w:r w:rsidR="00E77EF8">
        <w:t xml:space="preserve">s vices de consentement sont le dol, </w:t>
      </w:r>
      <w:r w:rsidR="004F6A9A">
        <w:t>l’erreur ou la lésion, égalem</w:t>
      </w:r>
      <w:r w:rsidR="00BE2E25">
        <w:t>e</w:t>
      </w:r>
      <w:r w:rsidR="004F6A9A">
        <w:t xml:space="preserve">nt un objet contraire à la loi ou un défaut de capacité. </w:t>
      </w:r>
    </w:p>
    <w:p w14:paraId="32CFF7D4" w14:textId="77777777" w:rsidR="0063090C" w:rsidRDefault="0063090C" w:rsidP="00873E98"/>
    <w:p w14:paraId="3915634B" w14:textId="6CAAA81A" w:rsidR="00873E98" w:rsidRDefault="00900D9C" w:rsidP="00873E98">
      <w:r>
        <w:t>Certaines loi</w:t>
      </w:r>
      <w:r w:rsidR="00FE79A9">
        <w:t>s</w:t>
      </w:r>
      <w:r>
        <w:t xml:space="preserve"> et dispositions du C.c.Q. peuvent </w:t>
      </w:r>
      <w:r w:rsidR="0030161B">
        <w:t xml:space="preserve">prévoir des moyens pour </w:t>
      </w:r>
      <w:r w:rsidR="009F4267">
        <w:t>un acheteur</w:t>
      </w:r>
      <w:r w:rsidR="0030161B">
        <w:t xml:space="preserve"> de se soustraire du contrat</w:t>
      </w:r>
      <w:r w:rsidR="00973AD0">
        <w:t xml:space="preserve">. </w:t>
      </w:r>
    </w:p>
    <w:p w14:paraId="69FFD06C" w14:textId="15EBBD7E" w:rsidR="00973AD0" w:rsidRDefault="00973AD0" w:rsidP="00873E98"/>
    <w:p w14:paraId="0FD140BA" w14:textId="6B9041DA" w:rsidR="00973AD0" w:rsidRDefault="00973AD0" w:rsidP="00973AD0">
      <w:pPr>
        <w:pStyle w:val="ListParagraph"/>
        <w:numPr>
          <w:ilvl w:val="0"/>
          <w:numId w:val="1"/>
        </w:numPr>
      </w:pPr>
      <w:r>
        <w:lastRenderedPageBreak/>
        <w:t xml:space="preserve">Exemple : promettant-acheteur au terme d’un </w:t>
      </w:r>
      <w:r w:rsidR="00082644">
        <w:t>contrat d</w:t>
      </w:r>
      <w:r w:rsidR="00061C68">
        <w:t>’achat d’un immeuble à usage d’habitation</w:t>
      </w:r>
      <w:r w:rsidR="008678A9">
        <w:t xml:space="preserve"> (</w:t>
      </w:r>
      <w:r w:rsidR="008678A9" w:rsidRPr="006E681C">
        <w:rPr>
          <w:highlight w:val="yellow"/>
        </w:rPr>
        <w:t>art. 1785 C.c.Q.</w:t>
      </w:r>
      <w:r w:rsidR="008678A9">
        <w:t xml:space="preserve">) peut se soustraire à ses obligations tout en étant soumis à l’indemnité totale de </w:t>
      </w:r>
      <w:r w:rsidR="008678A9" w:rsidRPr="0038029E">
        <w:rPr>
          <w:highlight w:val="yellow"/>
        </w:rPr>
        <w:t>l’art. 1786, al.2 C.c.Q</w:t>
      </w:r>
      <w:r w:rsidR="008678A9">
        <w:t>.</w:t>
      </w:r>
    </w:p>
    <w:p w14:paraId="55680D63" w14:textId="1202336D" w:rsidR="00F01F52" w:rsidRPr="00873E98" w:rsidRDefault="001A7165" w:rsidP="00F01F52">
      <w:pPr>
        <w:pStyle w:val="ListParagraph"/>
        <w:numPr>
          <w:ilvl w:val="0"/>
          <w:numId w:val="1"/>
        </w:numPr>
      </w:pPr>
      <w:r>
        <w:t xml:space="preserve">Exemple : </w:t>
      </w:r>
      <w:r w:rsidR="00FD4EF7">
        <w:t xml:space="preserve">l’acheteur consommateur peut obtenir la résolution du contrat lorsqu’il a conclu un contrat avec un commerçant itinérant </w:t>
      </w:r>
      <w:r w:rsidR="00FD4EF7" w:rsidRPr="00A871C2">
        <w:t>(</w:t>
      </w:r>
      <w:r w:rsidR="00FD4EF7" w:rsidRPr="00F01F52">
        <w:rPr>
          <w:highlight w:val="yellow"/>
        </w:rPr>
        <w:t xml:space="preserve">art. 59 </w:t>
      </w:r>
      <w:r w:rsidR="00A97318" w:rsidRPr="00252C08">
        <w:rPr>
          <w:highlight w:val="yellow"/>
        </w:rPr>
        <w:t>LPC</w:t>
      </w:r>
      <w:r w:rsidR="00FD4EF7" w:rsidRPr="00252C08">
        <w:rPr>
          <w:highlight w:val="yellow"/>
        </w:rPr>
        <w:t>.</w:t>
      </w:r>
      <w:r w:rsidR="00FD4EF7" w:rsidRPr="00A871C2">
        <w:t>)</w:t>
      </w:r>
      <w:r w:rsidR="00F01F52">
        <w:t xml:space="preserve"> ou encore un contrat de prêt ou de crédit </w:t>
      </w:r>
      <w:r w:rsidR="00F01F52" w:rsidRPr="00A871C2">
        <w:t>(</w:t>
      </w:r>
      <w:r w:rsidR="00F01F52" w:rsidRPr="00F01F52">
        <w:rPr>
          <w:highlight w:val="yellow"/>
        </w:rPr>
        <w:t xml:space="preserve">art. </w:t>
      </w:r>
      <w:r w:rsidR="00F01F52" w:rsidRPr="006D03E8">
        <w:rPr>
          <w:highlight w:val="yellow"/>
        </w:rPr>
        <w:t>73</w:t>
      </w:r>
      <w:r w:rsidR="006D03E8" w:rsidRPr="006D03E8">
        <w:rPr>
          <w:highlight w:val="yellow"/>
        </w:rPr>
        <w:t xml:space="preserve"> LPC</w:t>
      </w:r>
      <w:r w:rsidR="00F01F52" w:rsidRPr="006D03E8">
        <w:rPr>
          <w:highlight w:val="yellow"/>
        </w:rPr>
        <w:t>.</w:t>
      </w:r>
      <w:r w:rsidR="00F01F52" w:rsidRPr="00A871C2">
        <w:t>)</w:t>
      </w:r>
    </w:p>
    <w:p w14:paraId="4911ABBD" w14:textId="39398530" w:rsidR="001A7165" w:rsidRDefault="001A7165" w:rsidP="000016B1"/>
    <w:p w14:paraId="6EB74EF0" w14:textId="45A85501" w:rsidR="000016B1" w:rsidRDefault="000016B1" w:rsidP="000016B1">
      <w:pPr>
        <w:pStyle w:val="Heading2"/>
      </w:pPr>
      <w:r>
        <w:t>Le contenu du contrat</w:t>
      </w:r>
    </w:p>
    <w:p w14:paraId="48321CC2" w14:textId="77777777" w:rsidR="00D72730" w:rsidRDefault="00D72730" w:rsidP="006E681C"/>
    <w:p w14:paraId="014A589D" w14:textId="77777777" w:rsidR="001D78F0" w:rsidRDefault="00D72730" w:rsidP="006E681C">
      <w:r w:rsidRPr="00D72730">
        <w:t>Liberté contractuelle alors, les parties peuvent en établir les termes à leur guise</w:t>
      </w:r>
      <w:r>
        <w:t xml:space="preserve"> sauf </w:t>
      </w:r>
      <w:r w:rsidR="004506C7">
        <w:t xml:space="preserve">s’il existe des limites dans la loi. </w:t>
      </w:r>
    </w:p>
    <w:p w14:paraId="6878A386" w14:textId="77777777" w:rsidR="001D78F0" w:rsidRDefault="001D78F0" w:rsidP="006E681C"/>
    <w:p w14:paraId="0E751BEE" w14:textId="2F0E2043" w:rsidR="006E681C" w:rsidRPr="00015971" w:rsidRDefault="001D78F0" w:rsidP="006E681C">
      <w:r>
        <w:t>D</w:t>
      </w:r>
      <w:r w:rsidRPr="001D78F0">
        <w:t>ans un contrat de cons</w:t>
      </w:r>
      <w:r>
        <w:t>o</w:t>
      </w:r>
      <w:r w:rsidRPr="001D78F0">
        <w:t xml:space="preserve">mmation </w:t>
      </w:r>
      <w:r w:rsidR="006E681C" w:rsidRPr="001D78F0">
        <w:t>(</w:t>
      </w:r>
      <w:r w:rsidR="006E681C" w:rsidRPr="001D78F0">
        <w:rPr>
          <w:highlight w:val="yellow"/>
        </w:rPr>
        <w:t xml:space="preserve">art. </w:t>
      </w:r>
      <w:r>
        <w:rPr>
          <w:highlight w:val="yellow"/>
        </w:rPr>
        <w:t xml:space="preserve">1384 </w:t>
      </w:r>
      <w:r w:rsidR="006E681C" w:rsidRPr="001D78F0">
        <w:rPr>
          <w:highlight w:val="yellow"/>
        </w:rPr>
        <w:t>C.c.Q</w:t>
      </w:r>
      <w:r w:rsidR="006E681C" w:rsidRPr="001D78F0">
        <w:t>.)</w:t>
      </w:r>
      <w:r>
        <w:t xml:space="preserve"> </w:t>
      </w:r>
      <w:r w:rsidR="007B7547">
        <w:t xml:space="preserve">ou d’adhésion </w:t>
      </w:r>
      <w:r w:rsidR="007B7547" w:rsidRPr="00A871C2">
        <w:t>(</w:t>
      </w:r>
      <w:r w:rsidR="007B7547" w:rsidRPr="00E066AC">
        <w:rPr>
          <w:highlight w:val="yellow"/>
        </w:rPr>
        <w:t xml:space="preserve">art. </w:t>
      </w:r>
      <w:r w:rsidR="001D6B3B">
        <w:rPr>
          <w:highlight w:val="yellow"/>
        </w:rPr>
        <w:t xml:space="preserve">1379 </w:t>
      </w:r>
      <w:r w:rsidR="007B7547" w:rsidRPr="00E066AC">
        <w:rPr>
          <w:highlight w:val="yellow"/>
        </w:rPr>
        <w:t>C.c.Q</w:t>
      </w:r>
      <w:r w:rsidR="007B7547" w:rsidRPr="00A871C2">
        <w:t>.)</w:t>
      </w:r>
      <w:r w:rsidR="007B7547">
        <w:t xml:space="preserve">, </w:t>
      </w:r>
      <w:r w:rsidR="001D6B3B">
        <w:t xml:space="preserve">le C.c.Q. régit les clauses externes, soit celles où l’on renvoi à un autre règlement ou document dans un contrat en vertu de </w:t>
      </w:r>
      <w:r w:rsidR="001D6B3B" w:rsidRPr="00A871C2">
        <w:t>(</w:t>
      </w:r>
      <w:r w:rsidR="001D6B3B" w:rsidRPr="00E066AC">
        <w:rPr>
          <w:highlight w:val="yellow"/>
        </w:rPr>
        <w:t xml:space="preserve">art. </w:t>
      </w:r>
      <w:r w:rsidR="001D6B3B">
        <w:rPr>
          <w:highlight w:val="yellow"/>
        </w:rPr>
        <w:t>14</w:t>
      </w:r>
      <w:r w:rsidR="00881415">
        <w:rPr>
          <w:highlight w:val="yellow"/>
        </w:rPr>
        <w:t>3</w:t>
      </w:r>
      <w:r w:rsidR="001D6B3B">
        <w:rPr>
          <w:highlight w:val="yellow"/>
        </w:rPr>
        <w:t xml:space="preserve">5 </w:t>
      </w:r>
      <w:r w:rsidR="001D6B3B" w:rsidRPr="00E066AC">
        <w:rPr>
          <w:highlight w:val="yellow"/>
        </w:rPr>
        <w:t>C.c.Q</w:t>
      </w:r>
      <w:r w:rsidR="001D6B3B" w:rsidRPr="00A871C2">
        <w:t>.)</w:t>
      </w:r>
      <w:r w:rsidR="001D6B3B">
        <w:t>. C’est le cas aussi pour les clauses illisibles ou incompréhensible à l’</w:t>
      </w:r>
      <w:r w:rsidR="001D6B3B" w:rsidRPr="00E066AC">
        <w:rPr>
          <w:highlight w:val="yellow"/>
        </w:rPr>
        <w:t xml:space="preserve">art. </w:t>
      </w:r>
      <w:r w:rsidR="008523BE">
        <w:rPr>
          <w:highlight w:val="yellow"/>
        </w:rPr>
        <w:t xml:space="preserve">1436 </w:t>
      </w:r>
      <w:r w:rsidR="001D6B3B" w:rsidRPr="00E066AC">
        <w:rPr>
          <w:highlight w:val="yellow"/>
        </w:rPr>
        <w:t>C.c.Q</w:t>
      </w:r>
      <w:r w:rsidR="001D6B3B" w:rsidRPr="00A871C2">
        <w:t>.</w:t>
      </w:r>
      <w:r w:rsidR="008523BE">
        <w:t xml:space="preserve"> ainsi que les clauses abusives </w:t>
      </w:r>
      <w:r w:rsidR="006E681C" w:rsidRPr="001D6B3B">
        <w:t>(</w:t>
      </w:r>
      <w:r w:rsidR="006E681C" w:rsidRPr="001D6B3B">
        <w:rPr>
          <w:highlight w:val="yellow"/>
        </w:rPr>
        <w:t>art.</w:t>
      </w:r>
      <w:r w:rsidR="008523BE">
        <w:rPr>
          <w:highlight w:val="yellow"/>
        </w:rPr>
        <w:t xml:space="preserve"> 1437</w:t>
      </w:r>
      <w:r w:rsidR="006E681C" w:rsidRPr="001D6B3B">
        <w:rPr>
          <w:highlight w:val="yellow"/>
        </w:rPr>
        <w:t xml:space="preserve"> C.c.Q</w:t>
      </w:r>
      <w:r w:rsidR="006E681C" w:rsidRPr="001D6B3B">
        <w:t>.)</w:t>
      </w:r>
      <w:r w:rsidR="008523BE">
        <w:t xml:space="preserve">.Les clauses pénales abusives sont limitées et le tribunal peut </w:t>
      </w:r>
      <w:r w:rsidR="00113F3A">
        <w:t xml:space="preserve">atténuer les obligations d’une partie </w:t>
      </w:r>
      <w:r w:rsidR="00015971">
        <w:t>ou réduire la peine reliée à la clause pénale</w:t>
      </w:r>
      <w:r w:rsidR="00800DD2">
        <w:t xml:space="preserve"> en cas d’exécution partielle o</w:t>
      </w:r>
      <w:r w:rsidR="00A87B6B">
        <w:t>u</w:t>
      </w:r>
      <w:r w:rsidR="002E7790">
        <w:t xml:space="preserve"> le montant de la clau</w:t>
      </w:r>
      <w:r w:rsidR="003B1119">
        <w:t>s</w:t>
      </w:r>
      <w:r w:rsidR="002E7790">
        <w:t>e est abusif</w:t>
      </w:r>
      <w:r w:rsidR="00015971">
        <w:t xml:space="preserve"> </w:t>
      </w:r>
      <w:r w:rsidR="006E681C" w:rsidRPr="00015971">
        <w:t>(</w:t>
      </w:r>
      <w:r w:rsidR="006E681C" w:rsidRPr="00015971">
        <w:rPr>
          <w:highlight w:val="yellow"/>
        </w:rPr>
        <w:t xml:space="preserve">art. </w:t>
      </w:r>
      <w:r w:rsidR="002E7790">
        <w:rPr>
          <w:highlight w:val="yellow"/>
        </w:rPr>
        <w:t xml:space="preserve">1623, al.2 </w:t>
      </w:r>
      <w:r w:rsidR="006E681C" w:rsidRPr="003B1119">
        <w:rPr>
          <w:highlight w:val="yellow"/>
        </w:rPr>
        <w:t>C.c.Q</w:t>
      </w:r>
      <w:r w:rsidR="006E681C" w:rsidRPr="003B1119">
        <w:t>.)</w:t>
      </w:r>
    </w:p>
    <w:p w14:paraId="52A415CA" w14:textId="77777777" w:rsidR="00015971" w:rsidRPr="003B1119" w:rsidRDefault="00015971" w:rsidP="006E681C"/>
    <w:p w14:paraId="3DBD2F43" w14:textId="7C711813" w:rsidR="006E681C" w:rsidRDefault="00662D5B" w:rsidP="006E681C">
      <w:r>
        <w:t>Il y aussi une impossibilité d’exclure sa responsabilité dans certaines circonstances</w:t>
      </w:r>
      <w:r w:rsidR="00850F8F">
        <w:t xml:space="preserve">. </w:t>
      </w:r>
      <w:r w:rsidR="00971E85">
        <w:t>L’</w:t>
      </w:r>
      <w:r w:rsidR="006E681C" w:rsidRPr="00662D5B">
        <w:rPr>
          <w:highlight w:val="yellow"/>
        </w:rPr>
        <w:t xml:space="preserve">art. </w:t>
      </w:r>
      <w:r w:rsidR="00971E85">
        <w:rPr>
          <w:highlight w:val="yellow"/>
        </w:rPr>
        <w:t xml:space="preserve">1474 </w:t>
      </w:r>
      <w:r w:rsidR="006E681C" w:rsidRPr="00662D5B">
        <w:rPr>
          <w:highlight w:val="yellow"/>
        </w:rPr>
        <w:t>C.c.Q</w:t>
      </w:r>
      <w:r w:rsidR="006E681C" w:rsidRPr="00662D5B">
        <w:t>.</w:t>
      </w:r>
      <w:r w:rsidR="00672F17">
        <w:t xml:space="preserve"> empêche l’exclusion de sa responsabilité en cas de faute lourde ou intentionnelle et également en cas de préjudice corporel ou moral. </w:t>
      </w:r>
    </w:p>
    <w:p w14:paraId="19B59827" w14:textId="669ABE66" w:rsidR="000A785E" w:rsidRDefault="000A785E" w:rsidP="006E681C"/>
    <w:p w14:paraId="59872BAA" w14:textId="06B3E5AB" w:rsidR="000A785E" w:rsidRDefault="00683E96" w:rsidP="006E681C">
      <w:r>
        <w:t xml:space="preserve">Le Code indique aussi en cas d’exclusion de responsabilité en matière de vente, </w:t>
      </w:r>
      <w:r w:rsidR="00C53C17">
        <w:t xml:space="preserve">les </w:t>
      </w:r>
      <w:r w:rsidR="00C53C17" w:rsidRPr="00554CC0">
        <w:rPr>
          <w:highlight w:val="yellow"/>
        </w:rPr>
        <w:t>arts. 1732 et 1733 C.c.Q</w:t>
      </w:r>
      <w:r w:rsidR="00C53C17">
        <w:t>. permettent certaines exclusion de responsabilité</w:t>
      </w:r>
      <w:r w:rsidR="001B043F">
        <w:t xml:space="preserve">, mais </w:t>
      </w:r>
      <w:r w:rsidR="00346ECF">
        <w:t>encore là</w:t>
      </w:r>
      <w:r w:rsidR="006F0135">
        <w:t>,</w:t>
      </w:r>
      <w:r w:rsidR="00346ECF">
        <w:t xml:space="preserve"> il a des limites. </w:t>
      </w:r>
    </w:p>
    <w:p w14:paraId="011CECC2" w14:textId="4DB386F9" w:rsidR="00346ECF" w:rsidRDefault="00346ECF" w:rsidP="006E681C"/>
    <w:p w14:paraId="69CCF1E4" w14:textId="3D7AB7C3" w:rsidR="007747B5" w:rsidRDefault="00680F7D" w:rsidP="007747B5">
      <w:pPr>
        <w:pStyle w:val="ListParagraph"/>
        <w:numPr>
          <w:ilvl w:val="0"/>
          <w:numId w:val="1"/>
        </w:numPr>
      </w:pPr>
      <w:r>
        <w:t>Exemples ci-haut déjà mentionnées</w:t>
      </w:r>
      <w:r w:rsidR="00EE334D">
        <w:t xml:space="preserve"> comportant des excep</w:t>
      </w:r>
      <w:r w:rsidR="00D7786D">
        <w:t>ti</w:t>
      </w:r>
      <w:r w:rsidR="00EE334D">
        <w:t>ons</w:t>
      </w:r>
      <w:r w:rsidR="005A0779">
        <w:t xml:space="preserve"> auquel cas la liberté contractuelle est encore plus restreinte</w:t>
      </w:r>
      <w:r>
        <w:t xml:space="preserve"> : </w:t>
      </w:r>
      <w:r w:rsidRPr="0052313B">
        <w:rPr>
          <w:highlight w:val="yellow"/>
        </w:rPr>
        <w:t>arts 123 et ss LPC</w:t>
      </w:r>
      <w:r>
        <w:t xml:space="preserve"> requiert qu’un contrat de vente soit écrit. Aussi, contrat préliminaire pour un contrat de vente à usage d’habitation aux </w:t>
      </w:r>
      <w:r w:rsidRPr="00F0087E">
        <w:rPr>
          <w:highlight w:val="yellow"/>
        </w:rPr>
        <w:t>arts 1785 et 1793 C.c.Q</w:t>
      </w:r>
      <w:r>
        <w:t xml:space="preserve">., à la publicité requise à </w:t>
      </w:r>
      <w:r w:rsidRPr="00F0087E">
        <w:rPr>
          <w:highlight w:val="yellow"/>
        </w:rPr>
        <w:t>l’art. 1745, al.2 C.c.Q.</w:t>
      </w:r>
      <w:r>
        <w:t xml:space="preserve"> en matière de contrat de vente à tempérament, vente immobilière (</w:t>
      </w:r>
      <w:r w:rsidRPr="00FE2954">
        <w:rPr>
          <w:highlight w:val="yellow"/>
        </w:rPr>
        <w:t>arts. 1455 et 2938 C.c.Q</w:t>
      </w:r>
      <w:r>
        <w:t>.</w:t>
      </w:r>
    </w:p>
    <w:p w14:paraId="2591F452" w14:textId="72468CEE" w:rsidR="007747B5" w:rsidRDefault="007747B5" w:rsidP="006E681C"/>
    <w:p w14:paraId="26CC9D58" w14:textId="2A44C5D4" w:rsidR="002E661F" w:rsidRPr="002E661F" w:rsidRDefault="002E661F" w:rsidP="002E661F">
      <w:pPr>
        <w:rPr>
          <w:b/>
          <w:bCs/>
        </w:rPr>
      </w:pPr>
      <w:r w:rsidRPr="002E661F">
        <w:rPr>
          <w:b/>
          <w:bCs/>
        </w:rPr>
        <w:t>Vrai/Faux</w:t>
      </w:r>
    </w:p>
    <w:p w14:paraId="12BD0A92" w14:textId="77777777" w:rsidR="002E661F" w:rsidRDefault="002E661F" w:rsidP="002E661F"/>
    <w:p w14:paraId="1799865E" w14:textId="794B2F18" w:rsidR="002E661F" w:rsidRPr="00662D5B" w:rsidRDefault="002E661F" w:rsidP="002E661F">
      <w:r>
        <w:t>La totalité des règles concernant la formation du contrat de vente sont énoncées dans les règles générales du droit des obligations.</w:t>
      </w:r>
    </w:p>
    <w:p w14:paraId="0A3856E1" w14:textId="77777777" w:rsidR="002E661F" w:rsidRDefault="002E661F" w:rsidP="006E681C"/>
    <w:p w14:paraId="2992B1DE" w14:textId="4AAA9927" w:rsidR="002E661F" w:rsidRDefault="00966A7B" w:rsidP="006E681C">
      <w:r>
        <w:t xml:space="preserve">Faux, </w:t>
      </w:r>
      <w:r w:rsidRPr="00966A7B">
        <w:t>bien que les règles les plus évidentes en matière de vente soient énoncées dans le titre des contrats nommés du</w:t>
      </w:r>
      <w:r w:rsidR="00045AA1">
        <w:t xml:space="preserve"> </w:t>
      </w:r>
      <w:r>
        <w:t>C.c.Q.</w:t>
      </w:r>
      <w:r w:rsidRPr="00966A7B">
        <w:t xml:space="preserve">, il ne faut toutefois pas oublier que d’autres règles plus spécifiques peuvent les compléter ou y déroger, comme par exemple la </w:t>
      </w:r>
      <w:r w:rsidR="00045AA1">
        <w:t xml:space="preserve">LPC. </w:t>
      </w:r>
    </w:p>
    <w:p w14:paraId="4DF5C838" w14:textId="600DB906" w:rsidR="002E661F" w:rsidRDefault="002E661F" w:rsidP="006E681C"/>
    <w:p w14:paraId="098013AB" w14:textId="0DC504A9" w:rsidR="001A6841" w:rsidRDefault="001A6841" w:rsidP="001A6841">
      <w:pPr>
        <w:pStyle w:val="Heading2"/>
      </w:pPr>
      <w:r>
        <w:t>La vente du bien d’autrui</w:t>
      </w:r>
      <w:r w:rsidR="003A793C">
        <w:t xml:space="preserve"> (</w:t>
      </w:r>
      <w:r w:rsidR="003A793C" w:rsidRPr="006D5C38">
        <w:rPr>
          <w:highlight w:val="yellow"/>
        </w:rPr>
        <w:t>arts. 1713-1715 C.c.Q</w:t>
      </w:r>
      <w:r w:rsidR="003A793C">
        <w:t>.)</w:t>
      </w:r>
    </w:p>
    <w:p w14:paraId="596ACC14" w14:textId="0CB87102" w:rsidR="001A6841" w:rsidRDefault="001A6841" w:rsidP="006E681C"/>
    <w:p w14:paraId="1AD40291" w14:textId="30F76572" w:rsidR="006D5C38" w:rsidRDefault="006D5C38" w:rsidP="006E681C">
      <w:r>
        <w:t>Vent</w:t>
      </w:r>
      <w:r w:rsidR="00532D21">
        <w:t>e</w:t>
      </w:r>
      <w:r>
        <w:t xml:space="preserve"> </w:t>
      </w:r>
      <w:r w:rsidR="00930E03">
        <w:t>d’</w:t>
      </w:r>
      <w:r>
        <w:t xml:space="preserve">un bien alors qu’il n’est pas </w:t>
      </w:r>
      <w:r w:rsidR="00554607">
        <w:t xml:space="preserve">le </w:t>
      </w:r>
      <w:r>
        <w:t xml:space="preserve">propriétaire. </w:t>
      </w:r>
    </w:p>
    <w:p w14:paraId="44A82126" w14:textId="010C86B3" w:rsidR="00761994" w:rsidRDefault="00761994" w:rsidP="006E681C"/>
    <w:p w14:paraId="589836F9" w14:textId="1B3B8237" w:rsidR="00761994" w:rsidRDefault="00761994" w:rsidP="00761994">
      <w:pPr>
        <w:pStyle w:val="ListParagraph"/>
        <w:numPr>
          <w:ilvl w:val="0"/>
          <w:numId w:val="1"/>
        </w:numPr>
      </w:pPr>
      <w:r>
        <w:lastRenderedPageBreak/>
        <w:t>Exemples : vente d’un bien alors qu’il s’agit d’un recel, du vendeur qui a acquis un bien par le biais d’une vente à tempérament</w:t>
      </w:r>
      <w:r w:rsidR="00D5011A">
        <w:t xml:space="preserve"> et n’en </w:t>
      </w:r>
      <w:r w:rsidR="00A27759">
        <w:t>a pa</w:t>
      </w:r>
      <w:r w:rsidR="00D5011A">
        <w:t>s enc</w:t>
      </w:r>
      <w:r w:rsidR="007D377B">
        <w:t>o</w:t>
      </w:r>
      <w:r w:rsidR="00D5011A">
        <w:t xml:space="preserve">re payé l’entièreté du prix, </w:t>
      </w:r>
      <w:r w:rsidR="00F03778">
        <w:t xml:space="preserve">le vendeur qui croyait </w:t>
      </w:r>
      <w:r w:rsidR="00A065C7">
        <w:t>détenir et être véritablement le propriétaire d’un bien alors que ce n’était pas le cas.</w:t>
      </w:r>
    </w:p>
    <w:p w14:paraId="54FF32CC" w14:textId="7F5D6069" w:rsidR="00F32B69" w:rsidRDefault="00F32B69" w:rsidP="00F32B69"/>
    <w:p w14:paraId="15ACFD46" w14:textId="03CA5C51" w:rsidR="00CA57EA" w:rsidRDefault="00F03861" w:rsidP="00F03861">
      <w:r>
        <w:t xml:space="preserve">Trois </w:t>
      </w:r>
      <w:r w:rsidR="00CA57EA">
        <w:t>acteurs :</w:t>
      </w:r>
      <w:r>
        <w:t xml:space="preserve"> </w:t>
      </w:r>
      <w:r w:rsidR="00CA57EA">
        <w:t>Un vendeur, un ac</w:t>
      </w:r>
      <w:r w:rsidR="007648D5">
        <w:t>heteur</w:t>
      </w:r>
      <w:r w:rsidR="00CA57EA">
        <w:t xml:space="preserve"> et le véritable propriétaire du bien</w:t>
      </w:r>
    </w:p>
    <w:p w14:paraId="26CF923B" w14:textId="77777777" w:rsidR="006D5C38" w:rsidRDefault="006D5C38" w:rsidP="006E681C"/>
    <w:p w14:paraId="24E753B3" w14:textId="48C1F7B9" w:rsidR="006E681C" w:rsidRDefault="00AA3A4A" w:rsidP="00AA3A4A">
      <w:pPr>
        <w:pStyle w:val="ListParagraph"/>
        <w:numPr>
          <w:ilvl w:val="0"/>
          <w:numId w:val="4"/>
        </w:numPr>
      </w:pPr>
      <w:r>
        <w:t xml:space="preserve">Les rapports </w:t>
      </w:r>
      <w:r w:rsidR="00BB428A">
        <w:t xml:space="preserve">véritable </w:t>
      </w:r>
      <w:r>
        <w:t xml:space="preserve">propriétaire – acheteur </w:t>
      </w:r>
      <w:r w:rsidR="0001200C">
        <w:t>(</w:t>
      </w:r>
      <w:r w:rsidR="00262183" w:rsidRPr="00AA3A4A">
        <w:rPr>
          <w:highlight w:val="yellow"/>
        </w:rPr>
        <w:t xml:space="preserve">art. </w:t>
      </w:r>
      <w:r w:rsidR="00E51A0E">
        <w:rPr>
          <w:highlight w:val="yellow"/>
        </w:rPr>
        <w:t xml:space="preserve">1714 </w:t>
      </w:r>
      <w:r w:rsidR="00262183" w:rsidRPr="00AA3A4A">
        <w:rPr>
          <w:highlight w:val="yellow"/>
        </w:rPr>
        <w:t>C.c.Q</w:t>
      </w:r>
      <w:r w:rsidR="00262183" w:rsidRPr="001D6B3B">
        <w:t>.)</w:t>
      </w:r>
    </w:p>
    <w:p w14:paraId="0C1C6A85" w14:textId="2B98E59E" w:rsidR="00E51A0E" w:rsidRDefault="00E51A0E" w:rsidP="00E51A0E"/>
    <w:p w14:paraId="23ADB6BE" w14:textId="4477092E" w:rsidR="00E51A0E" w:rsidRDefault="00E51A0E" w:rsidP="00E51A0E">
      <w:r>
        <w:t xml:space="preserve">Il pourra revendiquer le bien et demander la nullité de la vente. </w:t>
      </w:r>
    </w:p>
    <w:p w14:paraId="2341F7F5" w14:textId="25A80DE4" w:rsidR="00E51A0E" w:rsidRDefault="00E51A0E" w:rsidP="00E51A0E"/>
    <w:p w14:paraId="3B29B80C" w14:textId="7745BF1C" w:rsidR="00E51A0E" w:rsidRDefault="00E51A0E" w:rsidP="00E51A0E">
      <w:r>
        <w:t>Par contre, si le bien est vendu dans le cours des activités du vendeur</w:t>
      </w:r>
      <w:r w:rsidR="007D4BFE">
        <w:t xml:space="preserve"> (entreprise)</w:t>
      </w:r>
      <w:r>
        <w:t xml:space="preserve"> et que l’acheteur était de bonne foi, </w:t>
      </w:r>
      <w:r w:rsidRPr="009B08B0">
        <w:rPr>
          <w:highlight w:val="yellow"/>
        </w:rPr>
        <w:t>l’art. 1714</w:t>
      </w:r>
      <w:r w:rsidR="002007DD">
        <w:rPr>
          <w:highlight w:val="yellow"/>
        </w:rPr>
        <w:t xml:space="preserve">, al.2 </w:t>
      </w:r>
      <w:r w:rsidRPr="009B08B0">
        <w:rPr>
          <w:highlight w:val="yellow"/>
        </w:rPr>
        <w:t>C.c.Q.</w:t>
      </w:r>
      <w:r>
        <w:t xml:space="preserve"> mentionne que le propriétaire </w:t>
      </w:r>
      <w:r w:rsidR="009B08B0">
        <w:t>devra rembourser l’acheteur</w:t>
      </w:r>
      <w:r w:rsidR="00926CD9">
        <w:t xml:space="preserve"> le prix qu’il a payé</w:t>
      </w:r>
      <w:r w:rsidR="009B08B0">
        <w:t xml:space="preserve">. </w:t>
      </w:r>
      <w:r w:rsidR="00C4102C">
        <w:t xml:space="preserve">Cependant, </w:t>
      </w:r>
      <w:r w:rsidR="00FE06EC">
        <w:t xml:space="preserve">cette </w:t>
      </w:r>
      <w:r w:rsidR="00C5238A">
        <w:t>revendi</w:t>
      </w:r>
      <w:r w:rsidR="00CD7359">
        <w:t>ca</w:t>
      </w:r>
      <w:r w:rsidR="00C5238A">
        <w:t xml:space="preserve">tion ne pourra s’effectuer </w:t>
      </w:r>
      <w:r w:rsidR="00CD7359">
        <w:t>si la vente s’est déroulé</w:t>
      </w:r>
      <w:r w:rsidR="00632281">
        <w:t>e</w:t>
      </w:r>
      <w:r w:rsidR="00CD7359">
        <w:t xml:space="preserve"> dans le cadre d’une vente sous contrôle de justice </w:t>
      </w:r>
      <w:r w:rsidR="00751757">
        <w:t>(</w:t>
      </w:r>
      <w:r w:rsidR="00751757" w:rsidRPr="00751757">
        <w:rPr>
          <w:highlight w:val="yellow"/>
        </w:rPr>
        <w:t>al.1</w:t>
      </w:r>
      <w:r w:rsidR="00751757">
        <w:t xml:space="preserve">) </w:t>
      </w:r>
      <w:r w:rsidR="009409A4">
        <w:t>ou si l’ach</w:t>
      </w:r>
      <w:r w:rsidR="00530786">
        <w:t>e</w:t>
      </w:r>
      <w:r w:rsidR="009409A4">
        <w:t xml:space="preserve">teur peut opposer la prescription acquisitive. </w:t>
      </w:r>
    </w:p>
    <w:p w14:paraId="303E1A57" w14:textId="77777777" w:rsidR="00E51A0E" w:rsidRDefault="00E51A0E" w:rsidP="00E51A0E"/>
    <w:p w14:paraId="2595B156" w14:textId="15035608" w:rsidR="00E51A0E" w:rsidRDefault="0072090A" w:rsidP="00E51A0E">
      <w:pPr>
        <w:pStyle w:val="ListParagraph"/>
        <w:numPr>
          <w:ilvl w:val="0"/>
          <w:numId w:val="4"/>
        </w:numPr>
      </w:pPr>
      <w:r>
        <w:t>Les rapports acheteur – vendeur (</w:t>
      </w:r>
      <w:r w:rsidRPr="00C13E16">
        <w:rPr>
          <w:highlight w:val="yellow"/>
        </w:rPr>
        <w:t xml:space="preserve">art. </w:t>
      </w:r>
      <w:r w:rsidR="000D24AC">
        <w:rPr>
          <w:highlight w:val="yellow"/>
        </w:rPr>
        <w:t xml:space="preserve">1713 et 1715 </w:t>
      </w:r>
      <w:r w:rsidRPr="00C13E16">
        <w:rPr>
          <w:highlight w:val="yellow"/>
        </w:rPr>
        <w:t>C.c.Q.</w:t>
      </w:r>
      <w:r>
        <w:t>)</w:t>
      </w:r>
    </w:p>
    <w:p w14:paraId="50740553" w14:textId="7A5C1D25" w:rsidR="0072090A" w:rsidRDefault="0072090A" w:rsidP="0072090A"/>
    <w:p w14:paraId="3AD7061C" w14:textId="4AC5CA7F" w:rsidR="0072090A" w:rsidRDefault="0072090A" w:rsidP="0072090A">
      <w:r>
        <w:t xml:space="preserve">L’acheteur pourra demander </w:t>
      </w:r>
      <w:r w:rsidR="000D24AC">
        <w:t xml:space="preserve">la nullité de la </w:t>
      </w:r>
      <w:r w:rsidR="00D878F6">
        <w:t>vente</w:t>
      </w:r>
      <w:r w:rsidR="00E16B89">
        <w:t>.</w:t>
      </w:r>
    </w:p>
    <w:p w14:paraId="1EE45B3A" w14:textId="398C70D9" w:rsidR="000D24AC" w:rsidRDefault="000D24AC" w:rsidP="0072090A"/>
    <w:p w14:paraId="5BD21830" w14:textId="11D3F660" w:rsidR="000D24AC" w:rsidRDefault="00E16B89" w:rsidP="000D24AC">
      <w:pPr>
        <w:pStyle w:val="ListParagraph"/>
        <w:numPr>
          <w:ilvl w:val="0"/>
          <w:numId w:val="4"/>
        </w:numPr>
      </w:pPr>
      <w:r>
        <w:t xml:space="preserve">Les rapports </w:t>
      </w:r>
      <w:r w:rsidR="00BB428A">
        <w:t xml:space="preserve">véritable </w:t>
      </w:r>
      <w:r w:rsidR="00DB5E9A">
        <w:t>propriétaire – vendeur</w:t>
      </w:r>
      <w:r w:rsidR="00106B77">
        <w:t xml:space="preserve"> </w:t>
      </w:r>
    </w:p>
    <w:p w14:paraId="0FB8839D" w14:textId="5639B0DA" w:rsidR="00E16B89" w:rsidRDefault="00E16B89" w:rsidP="00E16B89"/>
    <w:p w14:paraId="44F87978" w14:textId="77777777" w:rsidR="00F076A3" w:rsidRDefault="00DB5E9A" w:rsidP="00E16B89">
      <w:r>
        <w:t>Le v</w:t>
      </w:r>
      <w:r w:rsidR="00780C09">
        <w:t xml:space="preserve">endeur devra indemniser le propriétaire </w:t>
      </w:r>
      <w:r w:rsidR="00A773E6">
        <w:t>de tout préjudice qu’il aura subit.</w:t>
      </w:r>
      <w:r w:rsidR="00763145">
        <w:t xml:space="preserve"> </w:t>
      </w:r>
    </w:p>
    <w:p w14:paraId="665E0CE2" w14:textId="77777777" w:rsidR="00F076A3" w:rsidRDefault="00F076A3" w:rsidP="00E16B89"/>
    <w:p w14:paraId="7E428990" w14:textId="7B36080C" w:rsidR="00E16B89" w:rsidRDefault="00F076A3" w:rsidP="00F076A3">
      <w:pPr>
        <w:pStyle w:val="ListParagraph"/>
        <w:numPr>
          <w:ilvl w:val="0"/>
          <w:numId w:val="1"/>
        </w:numPr>
      </w:pPr>
      <w:r>
        <w:t>E</w:t>
      </w:r>
      <w:r w:rsidR="00A773E6">
        <w:t>x</w:t>
      </w:r>
      <w:r w:rsidR="00272B95">
        <w:t>em</w:t>
      </w:r>
      <w:r w:rsidR="00A773E6">
        <w:t>ple</w:t>
      </w:r>
      <w:r w:rsidR="00BD6430">
        <w:t xml:space="preserve"> : </w:t>
      </w:r>
      <w:r w:rsidR="00A773E6">
        <w:t xml:space="preserve">si le propriétaire ne peut pas revendiquer le bien ou </w:t>
      </w:r>
      <w:r w:rsidR="00272B95">
        <w:t>si ce même propriétaire</w:t>
      </w:r>
      <w:r w:rsidR="001E74E3">
        <w:t xml:space="preserve"> doit rembourser l’</w:t>
      </w:r>
      <w:r w:rsidR="00AE244F">
        <w:t>a</w:t>
      </w:r>
      <w:r w:rsidR="001E74E3">
        <w:t xml:space="preserve">cheteur au terme du recours de </w:t>
      </w:r>
      <w:r w:rsidR="001E74E3" w:rsidRPr="00F076A3">
        <w:rPr>
          <w:highlight w:val="yellow"/>
        </w:rPr>
        <w:t>l’art. 1714 C.c.Q</w:t>
      </w:r>
      <w:r w:rsidR="001E74E3">
        <w:t xml:space="preserve">. </w:t>
      </w:r>
    </w:p>
    <w:p w14:paraId="69981FEE" w14:textId="0C0DDC6F" w:rsidR="0098165D" w:rsidRDefault="0098165D" w:rsidP="00E16B89"/>
    <w:p w14:paraId="0ACE422E" w14:textId="371C436D" w:rsidR="0098165D" w:rsidRDefault="002D129B" w:rsidP="002D129B">
      <w:pPr>
        <w:pStyle w:val="Heading1"/>
      </w:pPr>
      <w:r>
        <w:t xml:space="preserve">Section 2 : </w:t>
      </w:r>
      <w:r w:rsidR="00C22B00" w:rsidRPr="00C22B00">
        <w:t>Le transfert de la propriété, des risques et des fruits</w:t>
      </w:r>
    </w:p>
    <w:p w14:paraId="5253823D" w14:textId="68B84F99" w:rsidR="00C22B00" w:rsidRDefault="00C22B00" w:rsidP="00C22B00"/>
    <w:p w14:paraId="01D2A0F0" w14:textId="25C48538" w:rsidR="00C22B00" w:rsidRDefault="00864411" w:rsidP="00C22B00">
      <w:r w:rsidRPr="00864411">
        <w:t xml:space="preserve">Les règles relatives au transfert de la propriété, des risques et des fruits </w:t>
      </w:r>
      <w:r w:rsidRPr="00864411">
        <w:rPr>
          <w:u w:val="thick"/>
        </w:rPr>
        <w:t>ne sont pas d’ordre public</w:t>
      </w:r>
      <w:r w:rsidRPr="00864411">
        <w:t xml:space="preserve">. C’est pourquoi nous retrouvons souvent dans les contrats de vente des clauses modifiant le régime juridique prévu par le </w:t>
      </w:r>
      <w:r>
        <w:t xml:space="preserve">C.c.Q. </w:t>
      </w:r>
    </w:p>
    <w:p w14:paraId="7F376B5D" w14:textId="0120B38E" w:rsidR="00864411" w:rsidRDefault="00864411" w:rsidP="00C22B00"/>
    <w:p w14:paraId="5E9509DA" w14:textId="1900F791" w:rsidR="00EF70CC" w:rsidRDefault="00EF70CC" w:rsidP="00EF70CC">
      <w:pPr>
        <w:pStyle w:val="Heading2"/>
      </w:pPr>
      <w:r>
        <w:t>Le transfert de la propriété et les distinctions entre les différents types de vente</w:t>
      </w:r>
    </w:p>
    <w:p w14:paraId="55263789" w14:textId="362D7603" w:rsidR="00EF70CC" w:rsidRDefault="00EF70CC" w:rsidP="00EF70CC"/>
    <w:p w14:paraId="5B101263" w14:textId="134FD268" w:rsidR="00A526FF" w:rsidRDefault="00265864" w:rsidP="00C22B00">
      <w:r>
        <w:t xml:space="preserve">Le transfert de la propriété d’un bien </w:t>
      </w:r>
      <w:r w:rsidR="00A97B80">
        <w:t xml:space="preserve">individualisé se fait au moment de la conclusion </w:t>
      </w:r>
      <w:r w:rsidR="00A526FF">
        <w:t xml:space="preserve">d’un contrat de vente </w:t>
      </w:r>
      <w:r w:rsidR="0077012F" w:rsidRPr="00A526FF">
        <w:t>(</w:t>
      </w:r>
      <w:r w:rsidR="0077012F" w:rsidRPr="00A526FF">
        <w:rPr>
          <w:highlight w:val="yellow"/>
        </w:rPr>
        <w:t xml:space="preserve">art. </w:t>
      </w:r>
      <w:r w:rsidR="00A526FF">
        <w:rPr>
          <w:highlight w:val="yellow"/>
        </w:rPr>
        <w:t xml:space="preserve">1453 </w:t>
      </w:r>
      <w:r w:rsidR="0077012F" w:rsidRPr="00A526FF">
        <w:rPr>
          <w:highlight w:val="yellow"/>
        </w:rPr>
        <w:t>C.c.Q.</w:t>
      </w:r>
      <w:r w:rsidR="0077012F" w:rsidRPr="00A526FF">
        <w:t>)</w:t>
      </w:r>
      <w:r w:rsidR="00A526FF">
        <w:t>. Ce tran</w:t>
      </w:r>
      <w:r w:rsidR="00885644">
        <w:t>s</w:t>
      </w:r>
      <w:r w:rsidR="00A526FF">
        <w:t xml:space="preserve">fert peut être retardé dans le temps. </w:t>
      </w:r>
    </w:p>
    <w:p w14:paraId="5BA65F4C" w14:textId="77777777" w:rsidR="00A526FF" w:rsidRDefault="00A526FF" w:rsidP="00C22B00"/>
    <w:p w14:paraId="20C55F2D" w14:textId="77777777" w:rsidR="001C4884" w:rsidRDefault="00443B5C" w:rsidP="00443B5C">
      <w:r>
        <w:t>Par exemple</w:t>
      </w:r>
      <w:r w:rsidR="005D33BC">
        <w:t>,</w:t>
      </w:r>
      <w:r>
        <w:t xml:space="preserve"> d</w:t>
      </w:r>
      <w:r w:rsidR="00A526FF" w:rsidRPr="00885644">
        <w:t>ans le cas d’une vente au comptant</w:t>
      </w:r>
      <w:r w:rsidR="0017070C">
        <w:t xml:space="preserve"> (ex : vente d’un vêtement) ou d’une vente à terme </w:t>
      </w:r>
      <w:r w:rsidR="008B0A18">
        <w:t>où seul le paiement est différé</w:t>
      </w:r>
      <w:r>
        <w:t xml:space="preserve">. </w:t>
      </w:r>
    </w:p>
    <w:p w14:paraId="2A504F78" w14:textId="77777777" w:rsidR="001C4884" w:rsidRDefault="001C4884" w:rsidP="00443B5C"/>
    <w:p w14:paraId="72898241" w14:textId="77777777" w:rsidR="0028625D" w:rsidRDefault="001C4884" w:rsidP="00443B5C">
      <w:r>
        <w:t xml:space="preserve">La vente à tempérament </w:t>
      </w:r>
      <w:r w:rsidR="0003102A">
        <w:t xml:space="preserve">non seulement il y a un terme pour le paiement du prix, mais aussi un terme pour devenir propriétaire du bien que lorsqu’il aura payé entièrement le prix du bien </w:t>
      </w:r>
      <w:r w:rsidR="002B3D8D" w:rsidRPr="00885644">
        <w:t>(</w:t>
      </w:r>
      <w:r w:rsidR="002B3D8D" w:rsidRPr="00443B5C">
        <w:rPr>
          <w:highlight w:val="yellow"/>
        </w:rPr>
        <w:t xml:space="preserve">art. </w:t>
      </w:r>
      <w:r w:rsidR="00E17A82">
        <w:rPr>
          <w:highlight w:val="yellow"/>
        </w:rPr>
        <w:t xml:space="preserve">1745 </w:t>
      </w:r>
      <w:r w:rsidR="002B3D8D" w:rsidRPr="00443B5C">
        <w:rPr>
          <w:highlight w:val="yellow"/>
        </w:rPr>
        <w:t>C.c.Q.</w:t>
      </w:r>
      <w:r w:rsidR="002B3D8D" w:rsidRPr="00443B5C">
        <w:t xml:space="preserve">) </w:t>
      </w:r>
      <w:r w:rsidR="00E17A82">
        <w:t>Si l’acheteur ven</w:t>
      </w:r>
      <w:r w:rsidR="00556320">
        <w:t>d</w:t>
      </w:r>
      <w:r w:rsidR="00E17A82">
        <w:t xml:space="preserve"> le bien avant le terme alors qu’il n’en était même pas encore propriétaire, </w:t>
      </w:r>
      <w:r w:rsidR="00556320">
        <w:t xml:space="preserve">c’est donc une vente du bien d’autrui et il perdra ainsi le bénéfice du </w:t>
      </w:r>
      <w:r w:rsidR="00561D6F">
        <w:t xml:space="preserve">terme </w:t>
      </w:r>
      <w:r w:rsidR="002B3D8D" w:rsidRPr="00E17A82">
        <w:t>(</w:t>
      </w:r>
      <w:r w:rsidR="002B3D8D" w:rsidRPr="00E17A82">
        <w:rPr>
          <w:highlight w:val="yellow"/>
        </w:rPr>
        <w:t>art.</w:t>
      </w:r>
      <w:r w:rsidR="00561D6F">
        <w:rPr>
          <w:highlight w:val="yellow"/>
        </w:rPr>
        <w:t xml:space="preserve"> 1747 C.c.Q. et 137 LPC</w:t>
      </w:r>
      <w:r w:rsidR="0028625D">
        <w:t>).</w:t>
      </w:r>
    </w:p>
    <w:p w14:paraId="3FE1878A" w14:textId="77777777" w:rsidR="0028625D" w:rsidRDefault="0028625D" w:rsidP="00443B5C"/>
    <w:p w14:paraId="54E1047C" w14:textId="308CCBDA" w:rsidR="008433E0" w:rsidRDefault="0028625D" w:rsidP="00443B5C">
      <w:r>
        <w:lastRenderedPageBreak/>
        <w:t xml:space="preserve">Quant à la vente à essai, </w:t>
      </w:r>
      <w:r w:rsidR="008433E0">
        <w:t xml:space="preserve">elle reporte aussi le transfert de propriété en raison de la condition suspensive </w:t>
      </w:r>
      <w:r w:rsidR="002B3D8D" w:rsidRPr="0028625D">
        <w:t>(</w:t>
      </w:r>
      <w:r w:rsidR="002B3D8D" w:rsidRPr="0028625D">
        <w:rPr>
          <w:highlight w:val="yellow"/>
        </w:rPr>
        <w:t xml:space="preserve">art. </w:t>
      </w:r>
      <w:r w:rsidR="008433E0">
        <w:rPr>
          <w:highlight w:val="yellow"/>
        </w:rPr>
        <w:t>17</w:t>
      </w:r>
      <w:r w:rsidR="007C5307">
        <w:rPr>
          <w:highlight w:val="yellow"/>
        </w:rPr>
        <w:t>4</w:t>
      </w:r>
      <w:r w:rsidR="008433E0">
        <w:rPr>
          <w:highlight w:val="yellow"/>
        </w:rPr>
        <w:t xml:space="preserve">4 </w:t>
      </w:r>
      <w:r w:rsidR="002B3D8D" w:rsidRPr="008433E0">
        <w:rPr>
          <w:highlight w:val="yellow"/>
        </w:rPr>
        <w:t>C.c.Q.</w:t>
      </w:r>
      <w:r w:rsidR="002B3D8D" w:rsidRPr="008433E0">
        <w:t>)</w:t>
      </w:r>
      <w:r w:rsidR="008433E0">
        <w:t>.</w:t>
      </w:r>
    </w:p>
    <w:p w14:paraId="62205E08" w14:textId="77777777" w:rsidR="008433E0" w:rsidRDefault="008433E0" w:rsidP="00443B5C"/>
    <w:p w14:paraId="3427F5A3" w14:textId="77777777" w:rsidR="00E845CD" w:rsidRDefault="008433E0" w:rsidP="00443B5C">
      <w:r>
        <w:t>La vente avec la faculté de rachat pour sa part</w:t>
      </w:r>
      <w:r w:rsidR="001B6D7B">
        <w:t xml:space="preserve"> transfert le droit de propriété immédiatement</w:t>
      </w:r>
      <w:r w:rsidR="004B5B7B">
        <w:t>. Le vendeur a la possibilité de racheter le bien gr</w:t>
      </w:r>
      <w:r w:rsidR="002571D6">
        <w:t>â</w:t>
      </w:r>
      <w:r w:rsidR="004B5B7B">
        <w:t xml:space="preserve">ce à la condition résolutoire </w:t>
      </w:r>
      <w:r w:rsidR="002B3D8D" w:rsidRPr="001B6D7B">
        <w:t>(</w:t>
      </w:r>
      <w:r w:rsidR="002B3D8D" w:rsidRPr="001B6D7B">
        <w:rPr>
          <w:highlight w:val="yellow"/>
        </w:rPr>
        <w:t xml:space="preserve">art. </w:t>
      </w:r>
      <w:r w:rsidR="00180E84">
        <w:rPr>
          <w:highlight w:val="yellow"/>
        </w:rPr>
        <w:t xml:space="preserve">1750 </w:t>
      </w:r>
      <w:r w:rsidR="002B3D8D" w:rsidRPr="00602756">
        <w:rPr>
          <w:highlight w:val="yellow"/>
        </w:rPr>
        <w:t>C.c.Q.</w:t>
      </w:r>
      <w:r w:rsidR="002B3D8D" w:rsidRPr="00602756">
        <w:t>)</w:t>
      </w:r>
      <w:r w:rsidR="00602756">
        <w:t xml:space="preserve">. Cette vente avec faculté de rachat est majoritairement utilisée comme mécanisme de financement en pratique. </w:t>
      </w:r>
    </w:p>
    <w:p w14:paraId="3DA93B2A" w14:textId="77777777" w:rsidR="00E845CD" w:rsidRDefault="00E845CD" w:rsidP="00443B5C"/>
    <w:p w14:paraId="61FF5E08" w14:textId="143F86A3" w:rsidR="00607B1F" w:rsidRDefault="00617BE8" w:rsidP="00443B5C">
      <w:r>
        <w:t xml:space="preserve">**Le </w:t>
      </w:r>
      <w:r w:rsidRPr="008D6DC8">
        <w:rPr>
          <w:u w:val="single"/>
        </w:rPr>
        <w:t>transfert de la propriété d’un bien déterminé seulement par son espèc</w:t>
      </w:r>
      <w:r w:rsidR="00607B1F" w:rsidRPr="008D6DC8">
        <w:rPr>
          <w:u w:val="single"/>
        </w:rPr>
        <w:t>e</w:t>
      </w:r>
      <w:r w:rsidR="00607B1F">
        <w:t>, le transfert a lieu lorsque le bien devient individualisé et qu’il a information</w:t>
      </w:r>
      <w:r>
        <w:t xml:space="preserve"> </w:t>
      </w:r>
      <w:r w:rsidR="002B3D8D" w:rsidRPr="00602756">
        <w:t>(</w:t>
      </w:r>
      <w:r w:rsidR="002B3D8D" w:rsidRPr="00602756">
        <w:rPr>
          <w:highlight w:val="yellow"/>
        </w:rPr>
        <w:t xml:space="preserve">art. </w:t>
      </w:r>
      <w:r w:rsidR="00607B1F">
        <w:rPr>
          <w:highlight w:val="yellow"/>
        </w:rPr>
        <w:t xml:space="preserve">1453 </w:t>
      </w:r>
      <w:r w:rsidR="002B3D8D" w:rsidRPr="00617BE8">
        <w:rPr>
          <w:highlight w:val="yellow"/>
        </w:rPr>
        <w:t>C.c.Q.</w:t>
      </w:r>
      <w:r w:rsidR="002B3D8D" w:rsidRPr="00617BE8">
        <w:t>)</w:t>
      </w:r>
      <w:r w:rsidR="00607B1F">
        <w:t>.</w:t>
      </w:r>
      <w:r w:rsidR="008D6DC8">
        <w:t>**</w:t>
      </w:r>
    </w:p>
    <w:p w14:paraId="22D2A577" w14:textId="77777777" w:rsidR="00607B1F" w:rsidRDefault="00607B1F" w:rsidP="00443B5C"/>
    <w:p w14:paraId="3DD4EA5C" w14:textId="17E13898" w:rsidR="00AE4240" w:rsidRDefault="00607B1F" w:rsidP="00443B5C">
      <w:r>
        <w:t>Le bien meuble vendu à deux personnes différentes. La première en prenant possession deviendra la p</w:t>
      </w:r>
      <w:r w:rsidR="0011450F">
        <w:t>r</w:t>
      </w:r>
      <w:r>
        <w:t>opriétaire du bien</w:t>
      </w:r>
      <w:r w:rsidR="008D6DC8">
        <w:t xml:space="preserve"> peu importe l’ordre des contrats en matière </w:t>
      </w:r>
      <w:r w:rsidR="008D6DC8" w:rsidRPr="008D6DC8">
        <w:rPr>
          <w:u w:val="single"/>
        </w:rPr>
        <w:t>mobilière</w:t>
      </w:r>
      <w:r w:rsidR="008D6DC8">
        <w:t xml:space="preserve"> </w:t>
      </w:r>
      <w:r w:rsidR="002B3D8D" w:rsidRPr="00607B1F">
        <w:t>(</w:t>
      </w:r>
      <w:r w:rsidR="002B3D8D" w:rsidRPr="00607B1F">
        <w:rPr>
          <w:highlight w:val="yellow"/>
        </w:rPr>
        <w:t xml:space="preserve">art. </w:t>
      </w:r>
      <w:r w:rsidR="008D6DC8">
        <w:rPr>
          <w:highlight w:val="yellow"/>
        </w:rPr>
        <w:t xml:space="preserve">1454 </w:t>
      </w:r>
      <w:r w:rsidR="002B3D8D" w:rsidRPr="008D6DC8">
        <w:rPr>
          <w:highlight w:val="yellow"/>
        </w:rPr>
        <w:t>C.c.Q.</w:t>
      </w:r>
      <w:r w:rsidR="002B3D8D" w:rsidRPr="008D6DC8">
        <w:t>)</w:t>
      </w:r>
      <w:r w:rsidR="008D6DC8">
        <w:t xml:space="preserve">. Toutefois, en matière </w:t>
      </w:r>
      <w:r w:rsidR="008D6DC8" w:rsidRPr="00AE4240">
        <w:rPr>
          <w:u w:val="single"/>
        </w:rPr>
        <w:t>immobilière</w:t>
      </w:r>
      <w:r w:rsidR="008D6DC8">
        <w:t>, ce sera en fonction de la première publication au registre foncier que nous serons à qui appartient le bien immeuble</w:t>
      </w:r>
      <w:r w:rsidR="00AE4240">
        <w:t xml:space="preserve"> </w:t>
      </w:r>
      <w:r w:rsidR="002B3D8D" w:rsidRPr="008D6DC8">
        <w:t>(</w:t>
      </w:r>
      <w:r w:rsidR="002B3D8D" w:rsidRPr="008D6DC8">
        <w:rPr>
          <w:highlight w:val="yellow"/>
        </w:rPr>
        <w:t xml:space="preserve">art. </w:t>
      </w:r>
      <w:r w:rsidR="006649A9">
        <w:rPr>
          <w:highlight w:val="yellow"/>
        </w:rPr>
        <w:t xml:space="preserve">1455 </w:t>
      </w:r>
      <w:r w:rsidR="002B3D8D" w:rsidRPr="008D6DC8">
        <w:rPr>
          <w:highlight w:val="yellow"/>
        </w:rPr>
        <w:t>C.c.Q.</w:t>
      </w:r>
      <w:r w:rsidR="002B3D8D" w:rsidRPr="008D6DC8">
        <w:t>)</w:t>
      </w:r>
      <w:r w:rsidR="00AE4240">
        <w:t>.</w:t>
      </w:r>
    </w:p>
    <w:p w14:paraId="1B35BCD4" w14:textId="1E18C028" w:rsidR="003D0CAA" w:rsidRDefault="003D0CAA" w:rsidP="003D0CAA">
      <w:pPr>
        <w:tabs>
          <w:tab w:val="left" w:pos="1108"/>
        </w:tabs>
      </w:pPr>
    </w:p>
    <w:p w14:paraId="36908A36" w14:textId="0301B1C2" w:rsidR="003D0CAA" w:rsidRDefault="003D0CAA" w:rsidP="003D0CAA">
      <w:pPr>
        <w:pStyle w:val="Heading2"/>
      </w:pPr>
      <w:r>
        <w:t>Le transfert des risques et des fruits</w:t>
      </w:r>
    </w:p>
    <w:p w14:paraId="0DBF2522" w14:textId="77777777" w:rsidR="003D0CAA" w:rsidRDefault="003D0CAA" w:rsidP="003D0CAA">
      <w:pPr>
        <w:tabs>
          <w:tab w:val="left" w:pos="1108"/>
        </w:tabs>
      </w:pPr>
    </w:p>
    <w:p w14:paraId="23387EB5" w14:textId="7A34C42B" w:rsidR="00482355" w:rsidRDefault="00482355" w:rsidP="00482355">
      <w:pPr>
        <w:pStyle w:val="ListParagraph"/>
        <w:numPr>
          <w:ilvl w:val="0"/>
          <w:numId w:val="5"/>
        </w:numPr>
      </w:pPr>
      <w:r>
        <w:t>Le</w:t>
      </w:r>
      <w:r w:rsidR="00503F24">
        <w:t xml:space="preserve"> transfert de</w:t>
      </w:r>
      <w:r>
        <w:t xml:space="preserve">s risques </w:t>
      </w:r>
    </w:p>
    <w:p w14:paraId="343E7D76" w14:textId="2F8C26A8" w:rsidR="0012789A" w:rsidRDefault="0012789A" w:rsidP="00C22B00">
      <w:pPr>
        <w:rPr>
          <w:lang w:val="en-US"/>
        </w:rPr>
      </w:pPr>
    </w:p>
    <w:p w14:paraId="6473F14D" w14:textId="77777777" w:rsidR="000F6AED" w:rsidRPr="00292F96" w:rsidRDefault="00482355" w:rsidP="000F6AED">
      <w:r w:rsidRPr="00482355">
        <w:t>C’</w:t>
      </w:r>
      <w:r>
        <w:t>e</w:t>
      </w:r>
      <w:r w:rsidRPr="00482355">
        <w:t>st le débiteur de l’ob</w:t>
      </w:r>
      <w:r w:rsidR="000F6AED">
        <w:t xml:space="preserve">ligation de délivrance, soit le vendeur qui va assumer la perte du bien </w:t>
      </w:r>
      <w:r w:rsidR="000F6AED" w:rsidRPr="003D0CAA">
        <w:t>(</w:t>
      </w:r>
      <w:r w:rsidR="000F6AED" w:rsidRPr="00482355">
        <w:rPr>
          <w:highlight w:val="yellow"/>
        </w:rPr>
        <w:t>art</w:t>
      </w:r>
      <w:r w:rsidR="000F6AED">
        <w:rPr>
          <w:highlight w:val="yellow"/>
        </w:rPr>
        <w:t>s. 1456, al.2, 1693 et 1694</w:t>
      </w:r>
      <w:r w:rsidR="000F6AED" w:rsidRPr="00482355">
        <w:rPr>
          <w:highlight w:val="yellow"/>
        </w:rPr>
        <w:t xml:space="preserve"> </w:t>
      </w:r>
      <w:r w:rsidR="000F6AED" w:rsidRPr="00292F96">
        <w:rPr>
          <w:highlight w:val="yellow"/>
        </w:rPr>
        <w:t>C.c.Q.</w:t>
      </w:r>
      <w:r w:rsidR="000F6AED" w:rsidRPr="00292F96">
        <w:t>).</w:t>
      </w:r>
    </w:p>
    <w:p w14:paraId="591C6852" w14:textId="77777777" w:rsidR="000F6AED" w:rsidRPr="00292F96" w:rsidRDefault="000F6AED" w:rsidP="000F6AED"/>
    <w:p w14:paraId="39FC9951" w14:textId="77777777" w:rsidR="00503F24" w:rsidRDefault="000F6AED" w:rsidP="000F6AED">
      <w:r w:rsidRPr="00292F96">
        <w:t>Dans le cadre de la vente à temp</w:t>
      </w:r>
      <w:r w:rsidR="00910168">
        <w:t>é</w:t>
      </w:r>
      <w:r w:rsidRPr="00292F96">
        <w:t xml:space="preserve">rament, la règle du transfert </w:t>
      </w:r>
      <w:r w:rsidR="00292F96">
        <w:t>de risques diffèrent</w:t>
      </w:r>
      <w:r w:rsidR="00910168">
        <w:t xml:space="preserve"> puisqu’il est soutenu par le droit commun à l’</w:t>
      </w:r>
      <w:r w:rsidRPr="00292F96">
        <w:rPr>
          <w:highlight w:val="yellow"/>
        </w:rPr>
        <w:t xml:space="preserve">art. </w:t>
      </w:r>
      <w:r w:rsidR="00910168">
        <w:rPr>
          <w:highlight w:val="yellow"/>
        </w:rPr>
        <w:t xml:space="preserve">1746 </w:t>
      </w:r>
      <w:r w:rsidRPr="00910168">
        <w:rPr>
          <w:highlight w:val="yellow"/>
        </w:rPr>
        <w:t>C.c.Q.</w:t>
      </w:r>
      <w:r w:rsidR="00910168">
        <w:t xml:space="preserve"> et c’est </w:t>
      </w:r>
      <w:r w:rsidR="009A353A">
        <w:t>l’acheteur qui assume la perte</w:t>
      </w:r>
      <w:r w:rsidR="00213B3A">
        <w:t xml:space="preserve"> alors que selon la LPC c’est le commerçant qui va assumer les risques de perte</w:t>
      </w:r>
      <w:r w:rsidRPr="00910168">
        <w:t xml:space="preserve"> (</w:t>
      </w:r>
      <w:r w:rsidRPr="00910168">
        <w:rPr>
          <w:highlight w:val="yellow"/>
        </w:rPr>
        <w:t>art</w:t>
      </w:r>
      <w:r w:rsidRPr="00503F24">
        <w:rPr>
          <w:highlight w:val="yellow"/>
        </w:rPr>
        <w:t xml:space="preserve">. </w:t>
      </w:r>
      <w:r w:rsidR="00503F24" w:rsidRPr="00503F24">
        <w:rPr>
          <w:highlight w:val="yellow"/>
        </w:rPr>
        <w:t>133 LPC</w:t>
      </w:r>
      <w:r w:rsidRPr="00213B3A">
        <w:t xml:space="preserve">) </w:t>
      </w:r>
    </w:p>
    <w:p w14:paraId="54248AD2" w14:textId="77777777" w:rsidR="00503F24" w:rsidRDefault="00503F24" w:rsidP="000F6AED"/>
    <w:p w14:paraId="505D80A5" w14:textId="24AE504A" w:rsidR="00503F24" w:rsidRDefault="00503F24" w:rsidP="00503F24">
      <w:pPr>
        <w:pStyle w:val="ListParagraph"/>
        <w:numPr>
          <w:ilvl w:val="0"/>
          <w:numId w:val="5"/>
        </w:numPr>
      </w:pPr>
      <w:r>
        <w:t>Le transfert des fruits</w:t>
      </w:r>
    </w:p>
    <w:p w14:paraId="59B65D34" w14:textId="77777777" w:rsidR="00503F24" w:rsidRDefault="00503F24" w:rsidP="00503F24"/>
    <w:p w14:paraId="2DDC9197" w14:textId="36B077AD" w:rsidR="000F6AED" w:rsidRPr="002A519C" w:rsidRDefault="007C18A5" w:rsidP="00503F24">
      <w:r>
        <w:t xml:space="preserve">Il suit en principe le droit de propriété du bien puisqu’il en est l’accessoire </w:t>
      </w:r>
      <w:r w:rsidR="000F6AED" w:rsidRPr="00503F24">
        <w:t>(</w:t>
      </w:r>
      <w:r w:rsidR="000F6AED" w:rsidRPr="00503F24">
        <w:rPr>
          <w:highlight w:val="yellow"/>
        </w:rPr>
        <w:t xml:space="preserve">art. </w:t>
      </w:r>
      <w:r>
        <w:rPr>
          <w:highlight w:val="yellow"/>
        </w:rPr>
        <w:t xml:space="preserve">949 et 1456, al.1 </w:t>
      </w:r>
      <w:r w:rsidR="000F6AED" w:rsidRPr="007C18A5">
        <w:rPr>
          <w:highlight w:val="yellow"/>
        </w:rPr>
        <w:t>C.c.Q.</w:t>
      </w:r>
      <w:r w:rsidR="000F6AED" w:rsidRPr="007C18A5">
        <w:t>)</w:t>
      </w:r>
      <w:r w:rsidR="00F14726">
        <w:t>.</w:t>
      </w:r>
    </w:p>
    <w:p w14:paraId="2EB3B69A" w14:textId="01CA08E7" w:rsidR="00482355" w:rsidRPr="007C18A5" w:rsidRDefault="00482355" w:rsidP="00C22B00"/>
    <w:p w14:paraId="54F4A0BA" w14:textId="4F6E2771" w:rsidR="00F765B8" w:rsidRPr="00F765B8" w:rsidRDefault="00F765B8" w:rsidP="00F765B8">
      <w:pPr>
        <w:rPr>
          <w:b/>
          <w:bCs/>
        </w:rPr>
      </w:pPr>
      <w:r w:rsidRPr="00F765B8">
        <w:rPr>
          <w:b/>
          <w:bCs/>
        </w:rPr>
        <w:t>Quiz - Laquelle (ou lesquelles) de ces affirmations est (ou sont) vraie(s)?</w:t>
      </w:r>
    </w:p>
    <w:p w14:paraId="4FEC032D" w14:textId="77777777" w:rsidR="00F765B8" w:rsidRDefault="00F765B8" w:rsidP="00F765B8"/>
    <w:p w14:paraId="542806D7" w14:textId="77777777" w:rsidR="00536E09" w:rsidRDefault="00F765B8" w:rsidP="00F765B8">
      <w:pPr>
        <w:pStyle w:val="ListParagraph"/>
        <w:numPr>
          <w:ilvl w:val="0"/>
          <w:numId w:val="6"/>
        </w:numPr>
      </w:pPr>
      <w:r>
        <w:t>Le contrat de vente à essai assujettit le transfert du droit de propriété à une condition suspensive</w:t>
      </w:r>
    </w:p>
    <w:p w14:paraId="7BF51DC8" w14:textId="77777777" w:rsidR="00536E09" w:rsidRDefault="00F765B8" w:rsidP="00F765B8">
      <w:pPr>
        <w:pStyle w:val="ListParagraph"/>
        <w:numPr>
          <w:ilvl w:val="0"/>
          <w:numId w:val="6"/>
        </w:numPr>
      </w:pPr>
      <w:r>
        <w:t>Le contrat de vente à tempérament assujettit le transfert du droit de propriété à un terme suspensif</w:t>
      </w:r>
    </w:p>
    <w:p w14:paraId="653EDBA7" w14:textId="2B050DF4" w:rsidR="0012789A" w:rsidRDefault="00F765B8" w:rsidP="00F765B8">
      <w:pPr>
        <w:pStyle w:val="ListParagraph"/>
        <w:numPr>
          <w:ilvl w:val="0"/>
          <w:numId w:val="6"/>
        </w:numPr>
      </w:pPr>
      <w:r>
        <w:t xml:space="preserve">Le contrat de vente à terme assujettit le paiement du prix à un terme suspensif  </w:t>
      </w:r>
    </w:p>
    <w:p w14:paraId="7E0B1B2E" w14:textId="05848130" w:rsidR="00F765B8" w:rsidRDefault="00F765B8" w:rsidP="00C22B00"/>
    <w:p w14:paraId="475CC7E8" w14:textId="434A928F" w:rsidR="00536E09" w:rsidRDefault="00AA4065" w:rsidP="00C22B00">
      <w:r>
        <w:t xml:space="preserve">a) , b)  et c) sont vraies, </w:t>
      </w:r>
      <w:r w:rsidRPr="00B51149">
        <w:rPr>
          <w:highlight w:val="yellow"/>
        </w:rPr>
        <w:t>ar</w:t>
      </w:r>
      <w:r w:rsidR="00B51149" w:rsidRPr="00B51149">
        <w:rPr>
          <w:highlight w:val="yellow"/>
        </w:rPr>
        <w:t>t</w:t>
      </w:r>
      <w:r w:rsidRPr="00B51149">
        <w:rPr>
          <w:highlight w:val="yellow"/>
        </w:rPr>
        <w:t>s 1744, 1745, 1708 et 1508, C.c.Q</w:t>
      </w:r>
      <w:r w:rsidRPr="00AA4065">
        <w:t>.</w:t>
      </w:r>
    </w:p>
    <w:p w14:paraId="0E69A6DB" w14:textId="5DE90405" w:rsidR="00536E09" w:rsidRDefault="00536E09" w:rsidP="00C22B00"/>
    <w:p w14:paraId="4F4C1812" w14:textId="67F9B3EE" w:rsidR="00981A2D" w:rsidRDefault="00981A2D" w:rsidP="00981A2D">
      <w:pPr>
        <w:pStyle w:val="Heading1"/>
      </w:pPr>
      <w:r>
        <w:t>Section 3 :</w:t>
      </w:r>
      <w:r w:rsidR="00E05059">
        <w:t xml:space="preserve"> Les obligations du vendeur</w:t>
      </w:r>
    </w:p>
    <w:p w14:paraId="7178A9CB" w14:textId="6E0319C5" w:rsidR="00341AB2" w:rsidRDefault="00341AB2" w:rsidP="00341AB2"/>
    <w:p w14:paraId="1EF8BFCD" w14:textId="77777777" w:rsidR="00697249" w:rsidRDefault="00697249" w:rsidP="00697249">
      <w:r w:rsidRPr="007278FB">
        <w:t xml:space="preserve">Le </w:t>
      </w:r>
      <w:r>
        <w:t xml:space="preserve">C.c.Q. </w:t>
      </w:r>
      <w:r w:rsidRPr="007278FB">
        <w:t xml:space="preserve">impose </w:t>
      </w:r>
      <w:r>
        <w:t xml:space="preserve">2 </w:t>
      </w:r>
      <w:r w:rsidRPr="007278FB">
        <w:t xml:space="preserve">obligations au vendeur : </w:t>
      </w:r>
    </w:p>
    <w:p w14:paraId="47E2DDC9" w14:textId="77777777" w:rsidR="00697249" w:rsidRDefault="00697249" w:rsidP="00697249"/>
    <w:p w14:paraId="65633857" w14:textId="28CC8DA6" w:rsidR="00697249" w:rsidRDefault="00697249" w:rsidP="00697249">
      <w:pPr>
        <w:pStyle w:val="ListParagraph"/>
        <w:numPr>
          <w:ilvl w:val="0"/>
          <w:numId w:val="8"/>
        </w:numPr>
      </w:pPr>
      <w:r>
        <w:t>C</w:t>
      </w:r>
      <w:r w:rsidRPr="007278FB">
        <w:t>elle de délivrer le bien vendu</w:t>
      </w:r>
    </w:p>
    <w:p w14:paraId="4A62D9AB" w14:textId="62717249" w:rsidR="00B56E9C" w:rsidRDefault="00B56E9C" w:rsidP="00697249">
      <w:pPr>
        <w:pStyle w:val="ListParagraph"/>
        <w:numPr>
          <w:ilvl w:val="0"/>
          <w:numId w:val="8"/>
        </w:numPr>
      </w:pPr>
      <w:r>
        <w:t>La</w:t>
      </w:r>
      <w:r w:rsidR="00863098">
        <w:t xml:space="preserve"> </w:t>
      </w:r>
      <w:r>
        <w:t>garantie du droit de propriété</w:t>
      </w:r>
    </w:p>
    <w:p w14:paraId="79BE9220" w14:textId="296F1A0C" w:rsidR="00697249" w:rsidRDefault="00697249" w:rsidP="00341AB2">
      <w:pPr>
        <w:pStyle w:val="ListParagraph"/>
        <w:numPr>
          <w:ilvl w:val="0"/>
          <w:numId w:val="8"/>
        </w:numPr>
      </w:pPr>
      <w:r>
        <w:t>C</w:t>
      </w:r>
      <w:r w:rsidRPr="007278FB">
        <w:t>elle d’en garantir la qualité</w:t>
      </w:r>
      <w:r w:rsidR="006477E0">
        <w:t xml:space="preserve"> et les autres formes de garantie</w:t>
      </w:r>
    </w:p>
    <w:p w14:paraId="56EDBB25" w14:textId="310249ED" w:rsidR="005E7BD6" w:rsidRDefault="005E7BD6" w:rsidP="005E7BD6">
      <w:pPr>
        <w:pStyle w:val="Heading2"/>
      </w:pPr>
      <w:r>
        <w:lastRenderedPageBreak/>
        <w:t>Recours à la disposition de l’acheteur</w:t>
      </w:r>
      <w:r w:rsidR="00615A23">
        <w:t xml:space="preserve"> (</w:t>
      </w:r>
      <w:r w:rsidR="00615A23" w:rsidRPr="00D905C2">
        <w:rPr>
          <w:highlight w:val="yellow"/>
        </w:rPr>
        <w:t>arts. 1590 et ss C.c.Q.</w:t>
      </w:r>
      <w:r w:rsidR="00615A23">
        <w:t>)</w:t>
      </w:r>
    </w:p>
    <w:p w14:paraId="7483BF70" w14:textId="062D851D" w:rsidR="005E7BD6" w:rsidRDefault="005E7BD6" w:rsidP="00341AB2"/>
    <w:p w14:paraId="18F62AF1" w14:textId="61E8379D" w:rsidR="00B228FF" w:rsidRDefault="00B228FF" w:rsidP="00B228FF">
      <w:pPr>
        <w:pStyle w:val="ListParagraph"/>
        <w:numPr>
          <w:ilvl w:val="0"/>
          <w:numId w:val="1"/>
        </w:numPr>
      </w:pPr>
      <w:r>
        <w:t xml:space="preserve">Exécution en nature </w:t>
      </w:r>
      <w:r w:rsidRPr="00B228FF">
        <w:t>(</w:t>
      </w:r>
      <w:r w:rsidRPr="00B228FF">
        <w:rPr>
          <w:highlight w:val="yellow"/>
        </w:rPr>
        <w:t>art</w:t>
      </w:r>
      <w:r>
        <w:rPr>
          <w:highlight w:val="yellow"/>
        </w:rPr>
        <w:t>s</w:t>
      </w:r>
      <w:r w:rsidRPr="00B228FF">
        <w:rPr>
          <w:highlight w:val="yellow"/>
        </w:rPr>
        <w:t>. 1601 et ss C.c.Q.</w:t>
      </w:r>
      <w:r w:rsidRPr="00B228FF">
        <w:t>)</w:t>
      </w:r>
    </w:p>
    <w:p w14:paraId="3AF08078" w14:textId="77777777" w:rsidR="00B228FF" w:rsidRDefault="00B228FF" w:rsidP="00B228FF">
      <w:pPr>
        <w:pStyle w:val="ListParagraph"/>
        <w:numPr>
          <w:ilvl w:val="0"/>
          <w:numId w:val="1"/>
        </w:numPr>
      </w:pPr>
      <w:r>
        <w:t xml:space="preserve">Résolution </w:t>
      </w:r>
      <w:r w:rsidRPr="00B228FF">
        <w:t>(</w:t>
      </w:r>
      <w:r w:rsidRPr="00B228FF">
        <w:rPr>
          <w:highlight w:val="yellow"/>
        </w:rPr>
        <w:t>arts 1604 et ss C.c.Q.</w:t>
      </w:r>
      <w:r w:rsidRPr="00B228FF">
        <w:t>)</w:t>
      </w:r>
    </w:p>
    <w:p w14:paraId="5A673B61" w14:textId="74A8445E" w:rsidR="00B4740F" w:rsidRDefault="0031573F" w:rsidP="00B228FF">
      <w:pPr>
        <w:pStyle w:val="ListParagraph"/>
        <w:numPr>
          <w:ilvl w:val="0"/>
          <w:numId w:val="1"/>
        </w:numPr>
      </w:pPr>
      <w:r>
        <w:t>E</w:t>
      </w:r>
      <w:r w:rsidRPr="00B4740F">
        <w:t>xécution</w:t>
      </w:r>
      <w:r w:rsidR="00B228FF" w:rsidRPr="00B4740F">
        <w:t xml:space="preserve"> par </w:t>
      </w:r>
      <w:r w:rsidR="00EF7F63" w:rsidRPr="00B4740F">
        <w:t>é</w:t>
      </w:r>
      <w:r w:rsidR="00B228FF" w:rsidRPr="00B4740F">
        <w:t>quivalent (</w:t>
      </w:r>
      <w:r w:rsidR="00B228FF" w:rsidRPr="00B4740F">
        <w:rPr>
          <w:highlight w:val="yellow"/>
        </w:rPr>
        <w:t>art</w:t>
      </w:r>
      <w:r w:rsidR="00B4740F">
        <w:rPr>
          <w:highlight w:val="yellow"/>
        </w:rPr>
        <w:t>s</w:t>
      </w:r>
      <w:r w:rsidR="00B228FF" w:rsidRPr="00B4740F">
        <w:rPr>
          <w:highlight w:val="yellow"/>
        </w:rPr>
        <w:t>. 145</w:t>
      </w:r>
      <w:r w:rsidR="00B4740F">
        <w:rPr>
          <w:highlight w:val="yellow"/>
        </w:rPr>
        <w:t>8 et 1607</w:t>
      </w:r>
      <w:r w:rsidR="00B228FF" w:rsidRPr="00B4740F">
        <w:rPr>
          <w:highlight w:val="yellow"/>
        </w:rPr>
        <w:t xml:space="preserve"> C.c.Q.</w:t>
      </w:r>
      <w:r w:rsidR="00B228FF" w:rsidRPr="00B4740F">
        <w:t>)</w:t>
      </w:r>
    </w:p>
    <w:p w14:paraId="46EE363B" w14:textId="77777777" w:rsidR="004112B0" w:rsidRDefault="0031573F" w:rsidP="004112B0">
      <w:pPr>
        <w:pStyle w:val="ListParagraph"/>
        <w:numPr>
          <w:ilvl w:val="0"/>
          <w:numId w:val="1"/>
        </w:numPr>
      </w:pPr>
      <w:r w:rsidRPr="0031573F">
        <w:t>Ces recours en matière de vente peuvent faire l’objet d’aména</w:t>
      </w:r>
      <w:r>
        <w:t xml:space="preserve">gement particulier tel qu’une résolution sans demande judiciaire </w:t>
      </w:r>
      <w:r w:rsidR="00BB6AED">
        <w:t>en ca</w:t>
      </w:r>
      <w:r w:rsidR="0020019F">
        <w:t>s</w:t>
      </w:r>
      <w:r w:rsidR="00BB6AED">
        <w:t xml:space="preserve"> de défaut de délivrance ou de la connaissance du vice caché</w:t>
      </w:r>
      <w:r w:rsidR="007D590A">
        <w:t xml:space="preserve"> pour bénéficier des dommages-intérêts</w:t>
      </w:r>
    </w:p>
    <w:p w14:paraId="29C955C9" w14:textId="77777777" w:rsidR="004112B0" w:rsidRDefault="004112B0" w:rsidP="004112B0"/>
    <w:p w14:paraId="36329855" w14:textId="405A58A9" w:rsidR="004112B0" w:rsidRDefault="00D13D2C" w:rsidP="001B53A1">
      <w:pPr>
        <w:pStyle w:val="Heading2"/>
        <w:numPr>
          <w:ilvl w:val="0"/>
          <w:numId w:val="9"/>
        </w:numPr>
      </w:pPr>
      <w:r>
        <w:t xml:space="preserve">L’obligation de délivrance </w:t>
      </w:r>
      <w:r w:rsidR="00501E57">
        <w:t>du bien et de ses accessoires</w:t>
      </w:r>
    </w:p>
    <w:p w14:paraId="4761C04B" w14:textId="77777777" w:rsidR="00D13D2C" w:rsidRDefault="00D13D2C" w:rsidP="004112B0"/>
    <w:p w14:paraId="2FCC83F2" w14:textId="753BCC55" w:rsidR="00753EED" w:rsidRDefault="00C727A2" w:rsidP="004112B0">
      <w:r>
        <w:t xml:space="preserve">Mettre le bien à la disposition de l’acheteur pour qu’il puisse en prendre </w:t>
      </w:r>
      <w:r w:rsidR="00753EED">
        <w:t>possession</w:t>
      </w:r>
      <w:r>
        <w:t xml:space="preserve"> </w:t>
      </w:r>
      <w:r w:rsidR="00B228FF" w:rsidRPr="0031573F">
        <w:t>(</w:t>
      </w:r>
      <w:r w:rsidR="00B228FF" w:rsidRPr="004112B0">
        <w:rPr>
          <w:highlight w:val="yellow"/>
        </w:rPr>
        <w:t xml:space="preserve">art. </w:t>
      </w:r>
      <w:r w:rsidR="00753EED">
        <w:rPr>
          <w:highlight w:val="yellow"/>
        </w:rPr>
        <w:t xml:space="preserve">1717 </w:t>
      </w:r>
      <w:r w:rsidR="00B228FF" w:rsidRPr="004112B0">
        <w:rPr>
          <w:highlight w:val="yellow"/>
        </w:rPr>
        <w:t>C.c.Q.</w:t>
      </w:r>
      <w:r w:rsidR="00B228FF" w:rsidRPr="0031573F">
        <w:t>)</w:t>
      </w:r>
      <w:r w:rsidR="00753EED">
        <w:t>.</w:t>
      </w:r>
    </w:p>
    <w:p w14:paraId="7F8C33D8" w14:textId="77777777" w:rsidR="00753EED" w:rsidRDefault="00753EED" w:rsidP="004112B0"/>
    <w:p w14:paraId="6BEEB69B" w14:textId="191AB719" w:rsidR="00753EED" w:rsidRDefault="002E6514" w:rsidP="002E6514">
      <w:pPr>
        <w:pStyle w:val="ListParagraph"/>
        <w:numPr>
          <w:ilvl w:val="0"/>
          <w:numId w:val="1"/>
        </w:numPr>
      </w:pPr>
      <w:r>
        <w:t xml:space="preserve">Exemple : le vendeur donne le reçu </w:t>
      </w:r>
      <w:r w:rsidR="004F0312">
        <w:t xml:space="preserve">à la caisse </w:t>
      </w:r>
      <w:r>
        <w:t>afin que l’acheteur puisse aller chercher dans la cour le bien</w:t>
      </w:r>
      <w:r w:rsidR="00E23675">
        <w:t xml:space="preserve">. Aussi, donner les clés d’un véhicule </w:t>
      </w:r>
      <w:r w:rsidR="007C3FCC">
        <w:t>pour que l’acheteur en prenne possession en lui indiquant son lieu</w:t>
      </w:r>
    </w:p>
    <w:p w14:paraId="30EEFA12" w14:textId="3E00C501" w:rsidR="00FC0D9E" w:rsidRDefault="00FC0D9E" w:rsidP="00FC0D9E"/>
    <w:p w14:paraId="79413CD2" w14:textId="5342580D" w:rsidR="00436374" w:rsidRDefault="00FC0D9E" w:rsidP="004112B0">
      <w:r>
        <w:t>Le lieu de délivrance peut être implicite ou explicite</w:t>
      </w:r>
      <w:r w:rsidR="006F67DD">
        <w:t xml:space="preserve">. </w:t>
      </w:r>
      <w:r w:rsidR="00E76B08">
        <w:t>À défaut d’indication, on se réfère aux règles générales du C.c.Q., soit à l’</w:t>
      </w:r>
      <w:r w:rsidR="00B228FF" w:rsidRPr="00EC2B46">
        <w:rPr>
          <w:highlight w:val="yellow"/>
        </w:rPr>
        <w:t xml:space="preserve">art. </w:t>
      </w:r>
      <w:r w:rsidR="00E76B08">
        <w:rPr>
          <w:highlight w:val="yellow"/>
        </w:rPr>
        <w:t xml:space="preserve">1566, al.2 </w:t>
      </w:r>
      <w:r w:rsidR="00B228FF" w:rsidRPr="00EC2B46">
        <w:rPr>
          <w:highlight w:val="yellow"/>
        </w:rPr>
        <w:t>C.c.Q.</w:t>
      </w:r>
      <w:r w:rsidR="00E833C2">
        <w:t xml:space="preserve"> </w:t>
      </w:r>
      <w:r w:rsidR="00582830">
        <w:t xml:space="preserve">En cas de vente d’un bien individualisé, le paiement, soit la </w:t>
      </w:r>
      <w:r w:rsidR="006B6B99">
        <w:t>livraison</w:t>
      </w:r>
      <w:r w:rsidR="00582830">
        <w:t xml:space="preserve"> </w:t>
      </w:r>
      <w:r w:rsidR="006B6B99">
        <w:t>se fait au lieu où se trouvait l</w:t>
      </w:r>
      <w:r w:rsidR="00AD63F8">
        <w:t>e</w:t>
      </w:r>
      <w:r w:rsidR="006B6B99">
        <w:t xml:space="preserve"> bien au moment de la naissance de l’o</w:t>
      </w:r>
      <w:r w:rsidR="00B7460F">
        <w:t xml:space="preserve">bligation de délivrance. </w:t>
      </w:r>
    </w:p>
    <w:p w14:paraId="371116B5" w14:textId="77777777" w:rsidR="00436374" w:rsidRDefault="00436374" w:rsidP="004112B0"/>
    <w:p w14:paraId="4FC930D6" w14:textId="3641C624" w:rsidR="00FD4E63" w:rsidRDefault="00B7460F" w:rsidP="004112B0">
      <w:r>
        <w:t>En principe</w:t>
      </w:r>
      <w:r w:rsidR="00436374">
        <w:t>,</w:t>
      </w:r>
      <w:r>
        <w:t xml:space="preserve"> la délivrance est </w:t>
      </w:r>
      <w:r w:rsidR="006413D4">
        <w:t>immédiate</w:t>
      </w:r>
      <w:r>
        <w:t xml:space="preserve"> à moins qu’elle fasse l’objet d’un terme.</w:t>
      </w:r>
      <w:r w:rsidR="00436374">
        <w:t xml:space="preserve"> Si le </w:t>
      </w:r>
      <w:r w:rsidR="007940AF">
        <w:t xml:space="preserve">vendeur fait défaut de livrer après avoir été mis en demeure par une lettre de demeure ou mis en demeure de plein droit par la loi, </w:t>
      </w:r>
      <w:r w:rsidR="00FD4E63">
        <w:t>la vente pourra être résolu de plein droit, sans demande introductive d’instance et sans demande de justice</w:t>
      </w:r>
      <w:r w:rsidR="00B228FF" w:rsidRPr="00EC2B46">
        <w:t xml:space="preserve"> </w:t>
      </w:r>
      <w:r w:rsidR="00B228FF" w:rsidRPr="00582830">
        <w:t>(</w:t>
      </w:r>
      <w:r w:rsidR="00B228FF" w:rsidRPr="00582830">
        <w:rPr>
          <w:highlight w:val="yellow"/>
        </w:rPr>
        <w:t xml:space="preserve">art. </w:t>
      </w:r>
      <w:r w:rsidR="00FD4E63">
        <w:rPr>
          <w:highlight w:val="yellow"/>
        </w:rPr>
        <w:t xml:space="preserve">1736 </w:t>
      </w:r>
      <w:r w:rsidR="00B228FF" w:rsidRPr="00582830">
        <w:rPr>
          <w:highlight w:val="yellow"/>
        </w:rPr>
        <w:t>C.c.Q.</w:t>
      </w:r>
      <w:r w:rsidR="00B228FF" w:rsidRPr="00582830">
        <w:t>)</w:t>
      </w:r>
      <w:r w:rsidR="00FD4E63">
        <w:t xml:space="preserve">. Le vendeur assumera alors les frais de délivrance </w:t>
      </w:r>
      <w:r w:rsidR="00B228FF" w:rsidRPr="00FD4E63">
        <w:t>(</w:t>
      </w:r>
      <w:r w:rsidR="00B228FF" w:rsidRPr="00FD4E63">
        <w:rPr>
          <w:highlight w:val="yellow"/>
        </w:rPr>
        <w:t xml:space="preserve">art. </w:t>
      </w:r>
      <w:r w:rsidR="00FD4E63" w:rsidRPr="00FD4E63">
        <w:rPr>
          <w:highlight w:val="yellow"/>
        </w:rPr>
        <w:t xml:space="preserve">1722 </w:t>
      </w:r>
      <w:r w:rsidR="00B228FF" w:rsidRPr="00FD4E63">
        <w:rPr>
          <w:highlight w:val="yellow"/>
        </w:rPr>
        <w:t>C.c.Q.</w:t>
      </w:r>
      <w:r w:rsidR="00B228FF" w:rsidRPr="00FD4E63">
        <w:t>)</w:t>
      </w:r>
      <w:r w:rsidR="00FD4E63">
        <w:t>.</w:t>
      </w:r>
    </w:p>
    <w:p w14:paraId="2685E938" w14:textId="77777777" w:rsidR="00FD4E63" w:rsidRDefault="00FD4E63" w:rsidP="004112B0"/>
    <w:p w14:paraId="6D451803" w14:textId="4EFBB68E" w:rsidR="00ED2A6E" w:rsidRDefault="00145D08" w:rsidP="00341AB2">
      <w:r w:rsidRPr="00145D08">
        <w:t>L’obligation accompagnant l’obligation de délivrance est la délivrance de</w:t>
      </w:r>
      <w:r>
        <w:t xml:space="preserve"> ses accessoires</w:t>
      </w:r>
      <w:r w:rsidR="00A50EC2">
        <w:t xml:space="preserve"> </w:t>
      </w:r>
      <w:r w:rsidR="00A50EC2" w:rsidRPr="00A50EC2">
        <w:t>(</w:t>
      </w:r>
      <w:r w:rsidR="00A50EC2" w:rsidRPr="00A50EC2">
        <w:rPr>
          <w:highlight w:val="yellow"/>
        </w:rPr>
        <w:t xml:space="preserve">art. </w:t>
      </w:r>
      <w:r w:rsidR="007D4CCE">
        <w:rPr>
          <w:highlight w:val="yellow"/>
        </w:rPr>
        <w:t xml:space="preserve">1442 </w:t>
      </w:r>
      <w:r w:rsidR="00A50EC2" w:rsidRPr="005D3400">
        <w:rPr>
          <w:highlight w:val="yellow"/>
        </w:rPr>
        <w:t>C.c.Q.</w:t>
      </w:r>
      <w:r w:rsidR="00A50EC2" w:rsidRPr="005D3400">
        <w:t>)</w:t>
      </w:r>
      <w:r w:rsidR="001F5C5D">
        <w:t>. En matière immobili</w:t>
      </w:r>
      <w:r w:rsidR="00AC1F99">
        <w:t>è</w:t>
      </w:r>
      <w:r w:rsidR="001F5C5D">
        <w:t>re, délivrer les titres</w:t>
      </w:r>
      <w:r w:rsidR="00826A2B">
        <w:t xml:space="preserve"> immobiliers, en matière mobilière, délivrer les notices d’i</w:t>
      </w:r>
      <w:r w:rsidR="003327EE">
        <w:t>n</w:t>
      </w:r>
      <w:r w:rsidR="00826A2B">
        <w:t>structions</w:t>
      </w:r>
      <w:r w:rsidR="00A50EC2">
        <w:t xml:space="preserve">. </w:t>
      </w:r>
    </w:p>
    <w:p w14:paraId="459E520C" w14:textId="77777777" w:rsidR="00926E08" w:rsidRDefault="00926E08" w:rsidP="00341AB2"/>
    <w:p w14:paraId="65BE7717" w14:textId="199FD349" w:rsidR="00926E08" w:rsidRPr="007056DC" w:rsidRDefault="00926E08" w:rsidP="00926E08">
      <w:r>
        <w:t xml:space="preserve">Cette délivrance doit être conforme à ce qui a été acheté </w:t>
      </w:r>
      <w:r w:rsidRPr="00145D08">
        <w:t>(</w:t>
      </w:r>
      <w:r w:rsidRPr="00145D08">
        <w:rPr>
          <w:highlight w:val="yellow"/>
        </w:rPr>
        <w:t xml:space="preserve">art. </w:t>
      </w:r>
      <w:r>
        <w:rPr>
          <w:highlight w:val="yellow"/>
        </w:rPr>
        <w:t xml:space="preserve">1590, al.1, 1720, 1737, al.1 </w:t>
      </w:r>
      <w:r w:rsidRPr="00145D08">
        <w:rPr>
          <w:highlight w:val="yellow"/>
        </w:rPr>
        <w:t>C.c.Q.</w:t>
      </w:r>
      <w:r w:rsidRPr="00145D08">
        <w:t xml:space="preserve">) </w:t>
      </w:r>
    </w:p>
    <w:p w14:paraId="56EB9A4D" w14:textId="3AB1C62F" w:rsidR="00926E08" w:rsidRPr="007056DC" w:rsidRDefault="00926E08" w:rsidP="00926E08"/>
    <w:p w14:paraId="510CBB4F" w14:textId="6F77D1D3" w:rsidR="00071E76" w:rsidRPr="000535D7" w:rsidRDefault="006B5865" w:rsidP="00071E76">
      <w:pPr>
        <w:pStyle w:val="Heading2"/>
        <w:numPr>
          <w:ilvl w:val="0"/>
          <w:numId w:val="9"/>
        </w:numPr>
      </w:pPr>
      <w:r w:rsidRPr="000535D7">
        <w:t>La garantie du droit de propriété</w:t>
      </w:r>
    </w:p>
    <w:p w14:paraId="47969F4F" w14:textId="3540C57B" w:rsidR="007E7DD3" w:rsidRDefault="007E7DD3" w:rsidP="00C22B00"/>
    <w:p w14:paraId="10E4C632" w14:textId="5328BA0A" w:rsidR="000535D7" w:rsidRDefault="00DD2C34" w:rsidP="00C22B00">
      <w:r>
        <w:t>Permet de sanctionner tant les limitations de droit public que de droit privé</w:t>
      </w:r>
      <w:r w:rsidR="00E83841">
        <w:t xml:space="preserve"> qu’il peut se faire opposer. </w:t>
      </w:r>
    </w:p>
    <w:p w14:paraId="5C760432" w14:textId="368BE7F4" w:rsidR="004A25F8" w:rsidRDefault="004A25F8" w:rsidP="00C22B00"/>
    <w:p w14:paraId="304E43CC" w14:textId="07B99B49" w:rsidR="004A25F8" w:rsidRDefault="004A25F8" w:rsidP="004A25F8">
      <w:pPr>
        <w:pStyle w:val="ListParagraph"/>
        <w:numPr>
          <w:ilvl w:val="0"/>
          <w:numId w:val="10"/>
        </w:numPr>
      </w:pPr>
      <w:r>
        <w:t>La limitation de droit privé</w:t>
      </w:r>
    </w:p>
    <w:p w14:paraId="76870054" w14:textId="47E5626C" w:rsidR="004A25F8" w:rsidRDefault="004A25F8" w:rsidP="004A25F8"/>
    <w:p w14:paraId="0E1740CC" w14:textId="208E406D" w:rsidR="004E055C" w:rsidRDefault="00077E9C" w:rsidP="003318AD">
      <w:r>
        <w:t xml:space="preserve">Celle qui résulte </w:t>
      </w:r>
      <w:r w:rsidR="00F94591">
        <w:t>du fait de l</w:t>
      </w:r>
      <w:r w:rsidR="003318AD">
        <w:t>’</w:t>
      </w:r>
      <w:r w:rsidR="00F94591">
        <w:t xml:space="preserve">être humain </w:t>
      </w:r>
      <w:r w:rsidR="004E055C">
        <w:t xml:space="preserve">en exclusion </w:t>
      </w:r>
      <w:r w:rsidR="004C6DCC">
        <w:t>aux</w:t>
      </w:r>
      <w:r w:rsidR="004E055C">
        <w:t xml:space="preserve"> </w:t>
      </w:r>
      <w:r w:rsidR="00F94591">
        <w:t>servitudes légales.</w:t>
      </w:r>
      <w:r w:rsidR="0037592F">
        <w:t xml:space="preserve"> </w:t>
      </w:r>
    </w:p>
    <w:p w14:paraId="1FFA0A05" w14:textId="77777777" w:rsidR="004E055C" w:rsidRDefault="004E055C" w:rsidP="003318AD"/>
    <w:p w14:paraId="20DF3E74" w14:textId="69092C6C" w:rsidR="009C78DA" w:rsidRDefault="002D636B" w:rsidP="003318AD">
      <w:r>
        <w:t>L’</w:t>
      </w:r>
      <w:r w:rsidR="003318AD" w:rsidRPr="003318AD">
        <w:rPr>
          <w:highlight w:val="yellow"/>
        </w:rPr>
        <w:t>art. 1723, al.1 C.c.Q.</w:t>
      </w:r>
      <w:r>
        <w:t xml:space="preserve"> prévoit qu</w:t>
      </w:r>
      <w:r w:rsidR="009C78DA">
        <w:t xml:space="preserve">’il est nécessaire de retrouver </w:t>
      </w:r>
      <w:r w:rsidR="009C78DA" w:rsidRPr="00A060A1">
        <w:rPr>
          <w:u w:val="single"/>
        </w:rPr>
        <w:t>4 conditions</w:t>
      </w:r>
      <w:r w:rsidR="009C78DA">
        <w:t> :</w:t>
      </w:r>
    </w:p>
    <w:p w14:paraId="4E26CF1B" w14:textId="77777777" w:rsidR="009C78DA" w:rsidRDefault="009C78DA" w:rsidP="003318AD"/>
    <w:p w14:paraId="32027763" w14:textId="04E50A16" w:rsidR="00E505A8" w:rsidRDefault="00E505A8" w:rsidP="009C78DA">
      <w:pPr>
        <w:pStyle w:val="ListParagraph"/>
        <w:numPr>
          <w:ilvl w:val="0"/>
          <w:numId w:val="11"/>
        </w:numPr>
      </w:pPr>
      <w:r w:rsidRPr="00E505A8">
        <w:t>Il doit existe</w:t>
      </w:r>
      <w:r>
        <w:t>r</w:t>
      </w:r>
      <w:r w:rsidRPr="00E505A8">
        <w:t xml:space="preserve"> un vice de titre qui doit être directement ou indirectement im</w:t>
      </w:r>
      <w:r w:rsidR="009A3064">
        <w:t>p</w:t>
      </w:r>
      <w:r w:rsidRPr="00E505A8">
        <w:t xml:space="preserve">utable au vendeur </w:t>
      </w:r>
    </w:p>
    <w:p w14:paraId="72F06E4D" w14:textId="60659600" w:rsidR="00E505A8" w:rsidRDefault="00E505A8" w:rsidP="009C78DA">
      <w:pPr>
        <w:pStyle w:val="ListParagraph"/>
        <w:numPr>
          <w:ilvl w:val="0"/>
          <w:numId w:val="11"/>
        </w:numPr>
      </w:pPr>
      <w:r>
        <w:t xml:space="preserve">Le droit n’a pas été déclaré lors de la vente à l’acheteur </w:t>
      </w:r>
    </w:p>
    <w:p w14:paraId="64849E78" w14:textId="41F3C922" w:rsidR="00AA7FC9" w:rsidRDefault="00E505A8" w:rsidP="006A6AC6">
      <w:pPr>
        <w:pStyle w:val="ListParagraph"/>
        <w:numPr>
          <w:ilvl w:val="0"/>
          <w:numId w:val="11"/>
        </w:numPr>
      </w:pPr>
      <w:r>
        <w:lastRenderedPageBreak/>
        <w:t>Le droit n’a pas été inscrit sur les registres</w:t>
      </w:r>
      <w:r w:rsidR="0066349C">
        <w:t xml:space="preserve"> appropriés</w:t>
      </w:r>
      <w:r w:rsidR="006A6AC6">
        <w:t> : si inscription,</w:t>
      </w:r>
      <w:r w:rsidR="00AA7FC9">
        <w:t xml:space="preserve"> </w:t>
      </w:r>
      <w:r w:rsidR="006A6AC6">
        <w:t>l’</w:t>
      </w:r>
      <w:r w:rsidR="003318AD" w:rsidRPr="006A6AC6">
        <w:rPr>
          <w:highlight w:val="yellow"/>
        </w:rPr>
        <w:t xml:space="preserve">art. </w:t>
      </w:r>
      <w:r w:rsidR="006A6AC6" w:rsidRPr="006A6AC6">
        <w:rPr>
          <w:highlight w:val="yellow"/>
        </w:rPr>
        <w:t xml:space="preserve">2943 </w:t>
      </w:r>
      <w:r w:rsidR="003318AD" w:rsidRPr="006A6AC6">
        <w:rPr>
          <w:highlight w:val="yellow"/>
        </w:rPr>
        <w:t>C.c.Q.</w:t>
      </w:r>
      <w:r w:rsidR="006A6AC6">
        <w:t xml:space="preserve"> prévoit qu’il y a une présomption de connaissance</w:t>
      </w:r>
    </w:p>
    <w:p w14:paraId="24760152" w14:textId="77777777" w:rsidR="0000733E" w:rsidRDefault="00E003EF" w:rsidP="006A6AC6">
      <w:pPr>
        <w:pStyle w:val="ListParagraph"/>
        <w:numPr>
          <w:ilvl w:val="0"/>
          <w:numId w:val="11"/>
        </w:numPr>
      </w:pPr>
      <w:r>
        <w:t xml:space="preserve">L’acheteur doit dénoncer le vice </w:t>
      </w:r>
      <w:r w:rsidR="003318AD" w:rsidRPr="006A6AC6">
        <w:t>(</w:t>
      </w:r>
      <w:r w:rsidR="003318AD" w:rsidRPr="006A6AC6">
        <w:rPr>
          <w:highlight w:val="yellow"/>
        </w:rPr>
        <w:t xml:space="preserve">art. </w:t>
      </w:r>
      <w:r w:rsidR="00BF7DCD">
        <w:rPr>
          <w:highlight w:val="yellow"/>
        </w:rPr>
        <w:t xml:space="preserve">1738 </w:t>
      </w:r>
      <w:r w:rsidR="003318AD" w:rsidRPr="00BF7DCD">
        <w:rPr>
          <w:highlight w:val="yellow"/>
        </w:rPr>
        <w:t>C.c.Q.</w:t>
      </w:r>
      <w:r w:rsidR="003318AD" w:rsidRPr="00BF7DCD">
        <w:t xml:space="preserve">) </w:t>
      </w:r>
    </w:p>
    <w:p w14:paraId="649B44E7" w14:textId="212B42DF" w:rsidR="0000733E" w:rsidRPr="007056DC" w:rsidRDefault="0000733E" w:rsidP="0000733E"/>
    <w:p w14:paraId="4ADEABBE" w14:textId="7CD5139D" w:rsidR="009A3064" w:rsidRDefault="009A3064" w:rsidP="009A3064">
      <w:pPr>
        <w:pStyle w:val="ListParagraph"/>
        <w:numPr>
          <w:ilvl w:val="0"/>
          <w:numId w:val="1"/>
        </w:numPr>
      </w:pPr>
      <w:r>
        <w:t>Exemple : 2 propriétaires voisins d’un immeuble. L’un permet à l’autre d’utiliser son entré de stationnement pour sa voiture pendant l’hiver puisqu’il est en Floride. C’est une entente verbale, ne figurant pas au registre</w:t>
      </w:r>
      <w:r w:rsidR="00E35119">
        <w:t xml:space="preserve"> et si le vendeur ne l’a pas mentionné à l’acheteur et que le voisin continue de se stationner et bien il pourra lui transmettre une mise en demeure. </w:t>
      </w:r>
    </w:p>
    <w:p w14:paraId="1EC3714F" w14:textId="77777777" w:rsidR="009A3064" w:rsidRPr="009A3064" w:rsidRDefault="009A3064" w:rsidP="0000733E"/>
    <w:p w14:paraId="782E61BE" w14:textId="6045F53A" w:rsidR="003318AD" w:rsidRPr="003318AD" w:rsidRDefault="00417450" w:rsidP="0000733E">
      <w:r>
        <w:t>*</w:t>
      </w:r>
      <w:r w:rsidR="00B825BE" w:rsidRPr="00B825BE">
        <w:t>Le cas particulier de l’hypothèque qui doit être p</w:t>
      </w:r>
      <w:r w:rsidR="00333A3E">
        <w:t>urgé sau</w:t>
      </w:r>
      <w:r w:rsidR="008D5615">
        <w:t>f</w:t>
      </w:r>
      <w:r w:rsidR="00333A3E">
        <w:t xml:space="preserve"> si</w:t>
      </w:r>
      <w:r w:rsidR="00CD6BC7">
        <w:t xml:space="preserve"> elle est</w:t>
      </w:r>
      <w:r w:rsidR="00101F58">
        <w:t xml:space="preserve"> assumé</w:t>
      </w:r>
      <w:r w:rsidR="00CD6BC7">
        <w:t>e</w:t>
      </w:r>
      <w:r w:rsidR="00B825BE">
        <w:t xml:space="preserve"> </w:t>
      </w:r>
      <w:r w:rsidR="003318AD" w:rsidRPr="00B825BE">
        <w:t>(</w:t>
      </w:r>
      <w:r w:rsidR="003318AD" w:rsidRPr="00B825BE">
        <w:rPr>
          <w:highlight w:val="yellow"/>
        </w:rPr>
        <w:t xml:space="preserve">art. </w:t>
      </w:r>
      <w:r w:rsidR="00B825BE">
        <w:rPr>
          <w:highlight w:val="yellow"/>
        </w:rPr>
        <w:t xml:space="preserve">1723, al.2 </w:t>
      </w:r>
      <w:r w:rsidR="003318AD" w:rsidRPr="00B825BE">
        <w:rPr>
          <w:highlight w:val="yellow"/>
        </w:rPr>
        <w:t>C.c.Q.</w:t>
      </w:r>
      <w:r w:rsidR="00B825BE" w:rsidRPr="00B825BE">
        <w:rPr>
          <w:highlight w:val="yellow"/>
        </w:rPr>
        <w:t xml:space="preserve"> et l’art. 36 LPC</w:t>
      </w:r>
      <w:r w:rsidR="003318AD" w:rsidRPr="00B825BE">
        <w:t>)</w:t>
      </w:r>
      <w:r w:rsidR="0079712F">
        <w:t>.</w:t>
      </w:r>
      <w:r>
        <w:t>*</w:t>
      </w:r>
    </w:p>
    <w:p w14:paraId="6A1D9B28" w14:textId="77777777" w:rsidR="00077E9C" w:rsidRPr="00B825BE" w:rsidRDefault="00077E9C" w:rsidP="004A25F8"/>
    <w:p w14:paraId="13667F84" w14:textId="75F4ACBC" w:rsidR="004A25F8" w:rsidRDefault="004A25F8" w:rsidP="004A25F8">
      <w:pPr>
        <w:pStyle w:val="ListParagraph"/>
        <w:numPr>
          <w:ilvl w:val="0"/>
          <w:numId w:val="10"/>
        </w:numPr>
      </w:pPr>
      <w:r>
        <w:t>La limitation de droit public</w:t>
      </w:r>
    </w:p>
    <w:p w14:paraId="11D2ED30" w14:textId="77777777" w:rsidR="007E7DD3" w:rsidRPr="00926E08" w:rsidRDefault="007E7DD3" w:rsidP="00C22B00">
      <w:pPr>
        <w:rPr>
          <w:lang w:val="en-US"/>
        </w:rPr>
      </w:pPr>
    </w:p>
    <w:p w14:paraId="513335F9" w14:textId="56AD7DCA" w:rsidR="0018530A" w:rsidRDefault="00337152" w:rsidP="0012789A">
      <w:r w:rsidRPr="005E2453">
        <w:t>Les règlementations des différentes villes et municipalités.</w:t>
      </w:r>
      <w:r w:rsidR="005E2453">
        <w:t xml:space="preserve"> Elle résulte </w:t>
      </w:r>
      <w:r w:rsidR="00A55FCB">
        <w:t>d</w:t>
      </w:r>
      <w:r w:rsidR="00AA62B9">
        <w:t>’une limitation spécifique affectant tous les biens. L’</w:t>
      </w:r>
      <w:r w:rsidR="0012789A" w:rsidRPr="005E2453">
        <w:rPr>
          <w:highlight w:val="yellow"/>
        </w:rPr>
        <w:t xml:space="preserve">art. </w:t>
      </w:r>
      <w:r w:rsidR="00AA62B9">
        <w:rPr>
          <w:highlight w:val="yellow"/>
        </w:rPr>
        <w:t xml:space="preserve">1725 </w:t>
      </w:r>
      <w:r w:rsidR="0012789A" w:rsidRPr="005E2453">
        <w:rPr>
          <w:highlight w:val="yellow"/>
        </w:rPr>
        <w:t>C.c.Q.</w:t>
      </w:r>
      <w:r w:rsidR="00DC082E">
        <w:t xml:space="preserve"> précise qu’elle ne s’applique qu’au bien immobilier, mais </w:t>
      </w:r>
      <w:r w:rsidR="00D44C75">
        <w:t>les auteurs croient qu</w:t>
      </w:r>
      <w:r w:rsidR="00411B6B">
        <w:t>e</w:t>
      </w:r>
      <w:r w:rsidR="00D44C75">
        <w:t xml:space="preserve"> l’on pourrait étendre l’application aux bien</w:t>
      </w:r>
      <w:r w:rsidR="002311E5">
        <w:t>s</w:t>
      </w:r>
      <w:r w:rsidR="00D44C75">
        <w:t xml:space="preserve"> meubles par l’</w:t>
      </w:r>
      <w:r w:rsidR="0012789A" w:rsidRPr="00D44C75">
        <w:rPr>
          <w:highlight w:val="yellow"/>
        </w:rPr>
        <w:t>art.</w:t>
      </w:r>
      <w:r w:rsidR="00D44C75">
        <w:rPr>
          <w:highlight w:val="yellow"/>
        </w:rPr>
        <w:t xml:space="preserve"> 1723</w:t>
      </w:r>
      <w:r w:rsidR="0012789A" w:rsidRPr="00D44C75">
        <w:rPr>
          <w:highlight w:val="yellow"/>
        </w:rPr>
        <w:t xml:space="preserve"> C.c.Q.</w:t>
      </w:r>
      <w:r w:rsidR="0018530A">
        <w:t xml:space="preserve"> </w:t>
      </w:r>
    </w:p>
    <w:p w14:paraId="0BF6B0D9" w14:textId="77777777" w:rsidR="0018530A" w:rsidRDefault="0018530A" w:rsidP="0012789A"/>
    <w:p w14:paraId="03D0B9C9" w14:textId="77777777" w:rsidR="00F43DBE" w:rsidRDefault="0018530A" w:rsidP="0012789A">
      <w:r>
        <w:t xml:space="preserve">Les </w:t>
      </w:r>
      <w:r w:rsidR="00F43DBE">
        <w:t xml:space="preserve">5 </w:t>
      </w:r>
      <w:r>
        <w:t>conditions</w:t>
      </w:r>
      <w:r w:rsidR="00F43DBE">
        <w:t xml:space="preserve"> d’existence de la garantie :</w:t>
      </w:r>
    </w:p>
    <w:p w14:paraId="728A0DBB" w14:textId="77777777" w:rsidR="00F43DBE" w:rsidRDefault="00F43DBE" w:rsidP="0012789A"/>
    <w:p w14:paraId="59619948" w14:textId="77777777" w:rsidR="00712DD4" w:rsidRPr="007056DC" w:rsidRDefault="00411B6B" w:rsidP="00F43DBE">
      <w:pPr>
        <w:pStyle w:val="ListParagraph"/>
        <w:numPr>
          <w:ilvl w:val="0"/>
          <w:numId w:val="12"/>
        </w:numPr>
      </w:pPr>
      <w:r>
        <w:t xml:space="preserve">Il doit avoir une limitation de droit </w:t>
      </w:r>
      <w:r w:rsidR="001F221B">
        <w:t>public et il y a une violation de cette limitation</w:t>
      </w:r>
    </w:p>
    <w:p w14:paraId="60903937" w14:textId="56C33E31" w:rsidR="00B75A62" w:rsidRPr="00B75A62" w:rsidRDefault="00B75A62" w:rsidP="00F43DBE">
      <w:pPr>
        <w:pStyle w:val="ListParagraph"/>
        <w:numPr>
          <w:ilvl w:val="0"/>
          <w:numId w:val="12"/>
        </w:numPr>
      </w:pPr>
      <w:r>
        <w:t>Absence de dénonciation par le vendeur de cette limita</w:t>
      </w:r>
      <w:r w:rsidR="00787338">
        <w:t>ti</w:t>
      </w:r>
      <w:r>
        <w:t>on</w:t>
      </w:r>
    </w:p>
    <w:p w14:paraId="5A1DF753" w14:textId="2718BBAE" w:rsidR="00B75A62" w:rsidRPr="006E285D" w:rsidRDefault="00B75A62" w:rsidP="00F43DBE">
      <w:pPr>
        <w:pStyle w:val="ListParagraph"/>
        <w:numPr>
          <w:ilvl w:val="0"/>
          <w:numId w:val="12"/>
        </w:numPr>
      </w:pPr>
      <w:r>
        <w:t>La limita</w:t>
      </w:r>
      <w:r w:rsidR="00B17E76">
        <w:t>ti</w:t>
      </w:r>
      <w:r>
        <w:t>on ne doit pas être inscrite au registre approprié</w:t>
      </w:r>
    </w:p>
    <w:p w14:paraId="2FB73D0D" w14:textId="77777777" w:rsidR="00C4176D" w:rsidRPr="00C4176D" w:rsidRDefault="006E285D" w:rsidP="00F43DBE">
      <w:pPr>
        <w:pStyle w:val="ListParagraph"/>
        <w:numPr>
          <w:ilvl w:val="0"/>
          <w:numId w:val="12"/>
        </w:numPr>
      </w:pPr>
      <w:r>
        <w:t>La limitation de droit public doit être caché</w:t>
      </w:r>
      <w:r w:rsidR="00C4176D">
        <w:t>e</w:t>
      </w:r>
    </w:p>
    <w:p w14:paraId="3DD19C41" w14:textId="77777777" w:rsidR="00523964" w:rsidRPr="00DA5F2D" w:rsidRDefault="00787338" w:rsidP="00F43DBE">
      <w:pPr>
        <w:pStyle w:val="ListParagraph"/>
        <w:numPr>
          <w:ilvl w:val="0"/>
          <w:numId w:val="12"/>
        </w:numPr>
      </w:pPr>
      <w:r>
        <w:t xml:space="preserve">Il doit y avoir dénonciation par l’acheteur au vendeur dans un délai raisonnable </w:t>
      </w:r>
      <w:r w:rsidR="0012789A" w:rsidRPr="0018530A">
        <w:t>(</w:t>
      </w:r>
      <w:r w:rsidR="0012789A" w:rsidRPr="00F43DBE">
        <w:rPr>
          <w:highlight w:val="yellow"/>
        </w:rPr>
        <w:t xml:space="preserve">art. </w:t>
      </w:r>
      <w:r>
        <w:rPr>
          <w:highlight w:val="yellow"/>
        </w:rPr>
        <w:t xml:space="preserve">1738 </w:t>
      </w:r>
      <w:r w:rsidR="0012789A" w:rsidRPr="00411B6B">
        <w:rPr>
          <w:highlight w:val="yellow"/>
        </w:rPr>
        <w:t>C.c.Q.</w:t>
      </w:r>
      <w:r w:rsidR="0012789A" w:rsidRPr="00411B6B">
        <w:t>)</w:t>
      </w:r>
    </w:p>
    <w:p w14:paraId="0B50D303" w14:textId="77777777" w:rsidR="00523964" w:rsidRPr="00DA5F2D" w:rsidRDefault="00523964" w:rsidP="00523964"/>
    <w:p w14:paraId="1D84A09B" w14:textId="656088AB" w:rsidR="0025383B" w:rsidRPr="0025383B" w:rsidRDefault="0025383B" w:rsidP="0025383B">
      <w:pPr>
        <w:pStyle w:val="ListParagraph"/>
        <w:numPr>
          <w:ilvl w:val="0"/>
          <w:numId w:val="10"/>
        </w:numPr>
        <w:rPr>
          <w:lang w:val="en-US"/>
        </w:rPr>
      </w:pPr>
      <w:r w:rsidRPr="0025383B">
        <w:rPr>
          <w:lang w:val="en-US"/>
        </w:rPr>
        <w:t>L’e</w:t>
      </w:r>
      <w:r>
        <w:rPr>
          <w:lang w:val="en-US"/>
        </w:rPr>
        <w:t>mpiètement</w:t>
      </w:r>
    </w:p>
    <w:p w14:paraId="30468CDF" w14:textId="77777777" w:rsidR="008B4DBF" w:rsidRDefault="008B4DBF" w:rsidP="00523964">
      <w:pPr>
        <w:rPr>
          <w:lang w:val="en-US"/>
        </w:rPr>
      </w:pPr>
    </w:p>
    <w:p w14:paraId="311EBB05" w14:textId="77777777" w:rsidR="00092650" w:rsidRDefault="008B4DBF" w:rsidP="00523964">
      <w:r w:rsidRPr="008B4DBF">
        <w:t xml:space="preserve">Un trouble de fait par une personne </w:t>
      </w:r>
      <w:r>
        <w:t xml:space="preserve">qui </w:t>
      </w:r>
      <w:r w:rsidR="00284740">
        <w:t xml:space="preserve">entrave </w:t>
      </w:r>
      <w:r>
        <w:t>la jouissance</w:t>
      </w:r>
      <w:r w:rsidR="00284740">
        <w:t xml:space="preserve"> d’un bien, d’un </w:t>
      </w:r>
      <w:r w:rsidR="00E81B0F">
        <w:t>qui</w:t>
      </w:r>
      <w:r w:rsidR="00284740">
        <w:t xml:space="preserve"> a </w:t>
      </w:r>
      <w:r w:rsidR="00730AB7">
        <w:t xml:space="preserve">été </w:t>
      </w:r>
      <w:r w:rsidR="00284740">
        <w:t xml:space="preserve">vendu. Les conditions varies en fonction que l’empiètement soit </w:t>
      </w:r>
      <w:r w:rsidR="00E81B0F">
        <w:t xml:space="preserve">attribuable à un vendeur ou à </w:t>
      </w:r>
      <w:r w:rsidR="00284740">
        <w:t>un tiers</w:t>
      </w:r>
      <w:r w:rsidR="00F03A62">
        <w:t>. Selon l’</w:t>
      </w:r>
      <w:r w:rsidR="0012789A" w:rsidRPr="008B4DBF">
        <w:rPr>
          <w:highlight w:val="yellow"/>
        </w:rPr>
        <w:t>art.</w:t>
      </w:r>
      <w:r w:rsidR="00FC228D">
        <w:rPr>
          <w:highlight w:val="yellow"/>
        </w:rPr>
        <w:t xml:space="preserve"> 1724, al.1</w:t>
      </w:r>
      <w:r w:rsidR="0012789A" w:rsidRPr="008B4DBF">
        <w:rPr>
          <w:highlight w:val="yellow"/>
        </w:rPr>
        <w:t xml:space="preserve"> C.c.Q.</w:t>
      </w:r>
      <w:r w:rsidR="004D6975">
        <w:t>, le vendeur répond de tous les empiétements mêmes</w:t>
      </w:r>
      <w:r w:rsidR="003107A0">
        <w:t xml:space="preserve"> </w:t>
      </w:r>
      <w:r w:rsidR="004D6975">
        <w:t xml:space="preserve">ceux qui sont </w:t>
      </w:r>
      <w:r w:rsidR="003107A0">
        <w:t>hors de sa connaissance</w:t>
      </w:r>
      <w:r w:rsidR="00551393">
        <w:t xml:space="preserve">. Cependant, </w:t>
      </w:r>
      <w:r w:rsidR="003107A0">
        <w:t>l’</w:t>
      </w:r>
      <w:r w:rsidR="0012789A" w:rsidRPr="003107A0">
        <w:rPr>
          <w:highlight w:val="yellow"/>
        </w:rPr>
        <w:t xml:space="preserve">art. </w:t>
      </w:r>
      <w:r w:rsidR="00551393">
        <w:rPr>
          <w:highlight w:val="yellow"/>
        </w:rPr>
        <w:t xml:space="preserve">1724, al.2 </w:t>
      </w:r>
      <w:r w:rsidR="0012789A" w:rsidRPr="00B6718B">
        <w:rPr>
          <w:highlight w:val="yellow"/>
        </w:rPr>
        <w:t>C.c.Q.</w:t>
      </w:r>
      <w:r w:rsidR="00DF6D95" w:rsidRPr="00B6718B">
        <w:t xml:space="preserve"> pr</w:t>
      </w:r>
      <w:r w:rsidR="00080FFF" w:rsidRPr="00B6718B">
        <w:t>é</w:t>
      </w:r>
      <w:r w:rsidR="00DF6D95" w:rsidRPr="00B6718B">
        <w:t xml:space="preserve">cise que </w:t>
      </w:r>
      <w:r w:rsidR="00B6718B" w:rsidRPr="00B6718B">
        <w:t xml:space="preserve">le vendeur </w:t>
      </w:r>
      <w:r w:rsidR="00B6718B">
        <w:t xml:space="preserve">ne répond de l’empiétement dû par le fait d’un tiers que </w:t>
      </w:r>
      <w:r w:rsidR="00450551">
        <w:t xml:space="preserve">s’il a débuté </w:t>
      </w:r>
      <w:r w:rsidR="00174E7B">
        <w:t>à sa connaissance au moment de la vente</w:t>
      </w:r>
      <w:r w:rsidR="00092650">
        <w:t xml:space="preserve">. </w:t>
      </w:r>
    </w:p>
    <w:p w14:paraId="392D7004" w14:textId="77777777" w:rsidR="00092650" w:rsidRDefault="00092650" w:rsidP="00523964"/>
    <w:p w14:paraId="1361EAA1" w14:textId="64B21A95" w:rsidR="00163C6E" w:rsidRDefault="00163C6E" w:rsidP="00163C6E">
      <w:pPr>
        <w:pStyle w:val="ListParagraph"/>
        <w:numPr>
          <w:ilvl w:val="0"/>
          <w:numId w:val="10"/>
        </w:numPr>
      </w:pPr>
      <w:r>
        <w:t>Les recours et les sanctions dont dispo</w:t>
      </w:r>
      <w:r w:rsidR="00A05FCC">
        <w:t>sent l’acheteur</w:t>
      </w:r>
    </w:p>
    <w:p w14:paraId="08058535" w14:textId="77777777" w:rsidR="00163C6E" w:rsidRDefault="00163C6E" w:rsidP="00523964"/>
    <w:p w14:paraId="452F7B7F" w14:textId="77777777" w:rsidR="00AD6B62" w:rsidRDefault="00BD1F06" w:rsidP="00523964">
      <w:r>
        <w:t xml:space="preserve">L’acheteur doit d’abord aviser par écrit le vendeur </w:t>
      </w:r>
      <w:r w:rsidR="0012789A" w:rsidRPr="00B6718B">
        <w:t>(</w:t>
      </w:r>
      <w:r w:rsidR="0012789A" w:rsidRPr="00B6718B">
        <w:rPr>
          <w:highlight w:val="yellow"/>
        </w:rPr>
        <w:t xml:space="preserve">art. </w:t>
      </w:r>
      <w:r w:rsidR="00AD2ED3">
        <w:rPr>
          <w:highlight w:val="yellow"/>
        </w:rPr>
        <w:t xml:space="preserve">1738 </w:t>
      </w:r>
      <w:r w:rsidR="0012789A" w:rsidRPr="00AD2ED3">
        <w:rPr>
          <w:highlight w:val="yellow"/>
        </w:rPr>
        <w:t>C.c.Q.</w:t>
      </w:r>
      <w:r w:rsidR="0012789A" w:rsidRPr="00AD2ED3">
        <w:t xml:space="preserve">) </w:t>
      </w:r>
      <w:r w:rsidR="00AD2ED3">
        <w:t>et dans un délai raisonnable afin que le vendeur puisse y remédier.</w:t>
      </w:r>
      <w:r w:rsidR="008E4CA7">
        <w:t xml:space="preserve"> Cependant, le délai raisonnable exigé à l’</w:t>
      </w:r>
      <w:r w:rsidR="0012789A" w:rsidRPr="00AD2ED3">
        <w:rPr>
          <w:highlight w:val="yellow"/>
        </w:rPr>
        <w:t xml:space="preserve">art. </w:t>
      </w:r>
      <w:r w:rsidR="008E4CA7">
        <w:rPr>
          <w:highlight w:val="yellow"/>
        </w:rPr>
        <w:t xml:space="preserve">1738 </w:t>
      </w:r>
      <w:r w:rsidR="0012789A" w:rsidRPr="00B3127D">
        <w:rPr>
          <w:highlight w:val="yellow"/>
        </w:rPr>
        <w:t>C.c.Q.</w:t>
      </w:r>
      <w:r w:rsidR="00B3127D">
        <w:t xml:space="preserve"> </w:t>
      </w:r>
      <w:r w:rsidR="00373203">
        <w:t>n’est pas applicable si le vendeur connaissait ou était présumé connaitre le vice.</w:t>
      </w:r>
    </w:p>
    <w:p w14:paraId="5515C612" w14:textId="77777777" w:rsidR="00AD6B62" w:rsidRDefault="00AD6B62" w:rsidP="00523964"/>
    <w:p w14:paraId="5B597B31" w14:textId="5434226C" w:rsidR="00AD6B62" w:rsidRDefault="00490EB3" w:rsidP="00087970">
      <w:pPr>
        <w:pStyle w:val="Heading2"/>
        <w:numPr>
          <w:ilvl w:val="0"/>
          <w:numId w:val="9"/>
        </w:numPr>
      </w:pPr>
      <w:r>
        <w:t>La garantie de qualité</w:t>
      </w:r>
    </w:p>
    <w:p w14:paraId="00615347" w14:textId="77777777" w:rsidR="00AD6B62" w:rsidRDefault="00AD6B62" w:rsidP="00523964"/>
    <w:p w14:paraId="5D1A9370" w14:textId="77777777" w:rsidR="007E0DAF" w:rsidRDefault="009807FF" w:rsidP="00523964">
      <w:r>
        <w:t>La garantie contre les vices cachés</w:t>
      </w:r>
      <w:r w:rsidR="0012789A" w:rsidRPr="00B3127D">
        <w:t xml:space="preserve"> (</w:t>
      </w:r>
      <w:r w:rsidR="0012789A" w:rsidRPr="00B3127D">
        <w:rPr>
          <w:highlight w:val="yellow"/>
        </w:rPr>
        <w:t>art</w:t>
      </w:r>
      <w:r>
        <w:rPr>
          <w:highlight w:val="yellow"/>
        </w:rPr>
        <w:t>s</w:t>
      </w:r>
      <w:r w:rsidR="0012789A" w:rsidRPr="00B3127D">
        <w:rPr>
          <w:highlight w:val="yellow"/>
        </w:rPr>
        <w:t xml:space="preserve">. </w:t>
      </w:r>
      <w:r>
        <w:rPr>
          <w:highlight w:val="yellow"/>
        </w:rPr>
        <w:t xml:space="preserve">1726 et ss </w:t>
      </w:r>
      <w:r w:rsidR="0012789A" w:rsidRPr="00373203">
        <w:rPr>
          <w:highlight w:val="yellow"/>
        </w:rPr>
        <w:t>C.c.Q</w:t>
      </w:r>
      <w:r w:rsidR="0012789A" w:rsidRPr="007E0DAF">
        <w:rPr>
          <w:highlight w:val="yellow"/>
        </w:rPr>
        <w:t>.</w:t>
      </w:r>
      <w:r w:rsidRPr="007E0DAF">
        <w:rPr>
          <w:highlight w:val="yellow"/>
        </w:rPr>
        <w:t xml:space="preserve"> et art 53 LPC</w:t>
      </w:r>
      <w:r w:rsidR="0012789A" w:rsidRPr="00373203">
        <w:t>)</w:t>
      </w:r>
      <w:r w:rsidR="007E0DAF">
        <w:t>.</w:t>
      </w:r>
    </w:p>
    <w:p w14:paraId="41D96042" w14:textId="77777777" w:rsidR="007E0DAF" w:rsidRDefault="007E0DAF" w:rsidP="00523964"/>
    <w:p w14:paraId="53180CCC" w14:textId="77777777" w:rsidR="00BB1B86" w:rsidRDefault="007E0DAF" w:rsidP="000D76D2">
      <w:r>
        <w:t xml:space="preserve">Les conditions </w:t>
      </w:r>
      <w:r w:rsidR="000D76D2">
        <w:t>cumulatives de l’existence</w:t>
      </w:r>
      <w:r w:rsidR="00CB3048">
        <w:t xml:space="preserve"> de cette garantie </w:t>
      </w:r>
      <w:r w:rsidR="0012789A" w:rsidRPr="000D76D2">
        <w:t>(</w:t>
      </w:r>
      <w:r w:rsidR="0012789A" w:rsidRPr="000D76D2">
        <w:rPr>
          <w:highlight w:val="yellow"/>
        </w:rPr>
        <w:t xml:space="preserve">art. </w:t>
      </w:r>
      <w:r w:rsidR="000D76D2">
        <w:rPr>
          <w:highlight w:val="yellow"/>
        </w:rPr>
        <w:t xml:space="preserve">1726 </w:t>
      </w:r>
      <w:r w:rsidR="0012789A" w:rsidRPr="000D76D2">
        <w:rPr>
          <w:highlight w:val="yellow"/>
        </w:rPr>
        <w:t>C.c.Q.</w:t>
      </w:r>
      <w:r w:rsidR="0012789A" w:rsidRPr="000D76D2">
        <w:t>)</w:t>
      </w:r>
      <w:r w:rsidR="00BB1B86">
        <w:t> :</w:t>
      </w:r>
    </w:p>
    <w:p w14:paraId="5E79C83E" w14:textId="77777777" w:rsidR="00BB1B86" w:rsidRDefault="00BB1B86" w:rsidP="000D76D2"/>
    <w:p w14:paraId="623C2F13" w14:textId="318C5063" w:rsidR="00547585" w:rsidRPr="00547585" w:rsidRDefault="00B63C20" w:rsidP="00BB1B86">
      <w:pPr>
        <w:pStyle w:val="ListParagraph"/>
        <w:numPr>
          <w:ilvl w:val="0"/>
          <w:numId w:val="14"/>
        </w:numPr>
      </w:pPr>
      <w:r>
        <w:rPr>
          <w:lang w:val="en-US"/>
        </w:rPr>
        <w:lastRenderedPageBreak/>
        <w:t xml:space="preserve">Le vice doit </w:t>
      </w:r>
      <w:r w:rsidR="00547585">
        <w:rPr>
          <w:lang w:val="en-US"/>
        </w:rPr>
        <w:t>être</w:t>
      </w:r>
      <w:r>
        <w:rPr>
          <w:lang w:val="en-US"/>
        </w:rPr>
        <w:t xml:space="preserve"> grave</w:t>
      </w:r>
    </w:p>
    <w:p w14:paraId="5F08D7DA" w14:textId="77777777" w:rsidR="00547585" w:rsidRPr="00547585" w:rsidRDefault="00547585" w:rsidP="00BB1B86">
      <w:pPr>
        <w:pStyle w:val="ListParagraph"/>
        <w:numPr>
          <w:ilvl w:val="0"/>
          <w:numId w:val="14"/>
        </w:numPr>
      </w:pPr>
      <w:r>
        <w:t>Le vice doit être inconnu de l’acheteur lors de la vente</w:t>
      </w:r>
    </w:p>
    <w:p w14:paraId="5BBD3082" w14:textId="77777777" w:rsidR="00547585" w:rsidRPr="00547585" w:rsidRDefault="00547585" w:rsidP="00BB1B86">
      <w:pPr>
        <w:pStyle w:val="ListParagraph"/>
        <w:numPr>
          <w:ilvl w:val="0"/>
          <w:numId w:val="14"/>
        </w:numPr>
      </w:pPr>
      <w:r>
        <w:t>Le vice doit être caché, ne doit pas être découvert par un acheteur prudent et diligent</w:t>
      </w:r>
    </w:p>
    <w:p w14:paraId="01DCBF48" w14:textId="77777777" w:rsidR="00D537EE" w:rsidRDefault="00547585" w:rsidP="004645BB">
      <w:pPr>
        <w:pStyle w:val="ListParagraph"/>
        <w:numPr>
          <w:ilvl w:val="0"/>
          <w:numId w:val="14"/>
        </w:numPr>
      </w:pPr>
      <w:r>
        <w:t>Le vice doit être antérieur à la vente : présumé lors de la défectuosité prématuré</w:t>
      </w:r>
      <w:r w:rsidR="00EA40FE">
        <w:t xml:space="preserve"> </w:t>
      </w:r>
      <w:r w:rsidR="00EE4C1A">
        <w:t>d’un bien</w:t>
      </w:r>
      <w:r w:rsidR="00EA40FE">
        <w:t xml:space="preserve"> par un vendeur professionnel</w:t>
      </w:r>
      <w:r w:rsidR="00EE4C1A">
        <w:t xml:space="preserve"> </w:t>
      </w:r>
      <w:r w:rsidR="0012789A" w:rsidRPr="00547585">
        <w:t>(</w:t>
      </w:r>
      <w:r w:rsidR="0012789A" w:rsidRPr="00547585">
        <w:rPr>
          <w:highlight w:val="yellow"/>
        </w:rPr>
        <w:t xml:space="preserve">art. </w:t>
      </w:r>
      <w:r w:rsidR="00EA40FE">
        <w:rPr>
          <w:highlight w:val="yellow"/>
        </w:rPr>
        <w:t>1729</w:t>
      </w:r>
      <w:r w:rsidR="004645BB">
        <w:rPr>
          <w:highlight w:val="yellow"/>
        </w:rPr>
        <w:t xml:space="preserve"> </w:t>
      </w:r>
      <w:r w:rsidR="0012789A" w:rsidRPr="004645BB">
        <w:rPr>
          <w:highlight w:val="yellow"/>
        </w:rPr>
        <w:t>C.c.Q.</w:t>
      </w:r>
      <w:r w:rsidR="004645BB">
        <w:t>)</w:t>
      </w:r>
    </w:p>
    <w:p w14:paraId="540A5513" w14:textId="05927BE8" w:rsidR="0012789A" w:rsidRDefault="004645BB" w:rsidP="004645BB">
      <w:pPr>
        <w:pStyle w:val="ListParagraph"/>
        <w:numPr>
          <w:ilvl w:val="0"/>
          <w:numId w:val="14"/>
        </w:numPr>
      </w:pPr>
      <w:r w:rsidRPr="001941FF">
        <w:t>Pour pouvoir réclamer en plus des dommages-intérêts</w:t>
      </w:r>
      <w:r w:rsidR="001941FF">
        <w:t xml:space="preserve">, il va falloir </w:t>
      </w:r>
      <w:r w:rsidR="00962FE9">
        <w:t xml:space="preserve">montrer que le vice doit ou était connu ou présumé connu par le vendeur </w:t>
      </w:r>
      <w:r w:rsidR="0012789A" w:rsidRPr="001941FF">
        <w:t>(</w:t>
      </w:r>
      <w:r w:rsidR="0012789A" w:rsidRPr="00D537EE">
        <w:rPr>
          <w:highlight w:val="yellow"/>
        </w:rPr>
        <w:t xml:space="preserve">art. </w:t>
      </w:r>
      <w:r w:rsidR="00962FE9" w:rsidRPr="00D537EE">
        <w:rPr>
          <w:highlight w:val="yellow"/>
        </w:rPr>
        <w:t xml:space="preserve">1728 </w:t>
      </w:r>
      <w:r w:rsidR="0012789A" w:rsidRPr="00D537EE">
        <w:rPr>
          <w:highlight w:val="yellow"/>
        </w:rPr>
        <w:t>C.c.Q.</w:t>
      </w:r>
      <w:r w:rsidR="0012789A" w:rsidRPr="00D537EE">
        <w:t>)</w:t>
      </w:r>
      <w:r w:rsidR="00D537EE">
        <w:t xml:space="preserve"> : le vendeur était un vendeur professionnel ou </w:t>
      </w:r>
      <w:r w:rsidR="00617935">
        <w:t xml:space="preserve">même </w:t>
      </w:r>
      <w:r w:rsidR="00D537EE">
        <w:t xml:space="preserve">un fabriquant, </w:t>
      </w:r>
      <w:r w:rsidR="0027022D">
        <w:t xml:space="preserve">il y a une présomption de connaissance, soit simple ou absolue en fonction du degré </w:t>
      </w:r>
      <w:r w:rsidR="008B6FC9">
        <w:t>de spécialisation du vendeur. **Cependant, en vertu de la LPC, la présomption est absolue</w:t>
      </w:r>
      <w:r w:rsidR="0027022D">
        <w:t xml:space="preserve"> </w:t>
      </w:r>
      <w:r w:rsidR="0012789A" w:rsidRPr="00D537EE">
        <w:t>(</w:t>
      </w:r>
      <w:r w:rsidR="0012789A" w:rsidRPr="00D537EE">
        <w:rPr>
          <w:highlight w:val="yellow"/>
        </w:rPr>
        <w:t xml:space="preserve">art. </w:t>
      </w:r>
      <w:r w:rsidR="008B6FC9">
        <w:rPr>
          <w:highlight w:val="yellow"/>
        </w:rPr>
        <w:t>53, al.3 LPC</w:t>
      </w:r>
      <w:r w:rsidR="0012789A" w:rsidRPr="008B6FC9">
        <w:t>)</w:t>
      </w:r>
      <w:r w:rsidR="00476A03">
        <w:t>**</w:t>
      </w:r>
    </w:p>
    <w:p w14:paraId="5FA836F1" w14:textId="3708928E" w:rsidR="00476A03" w:rsidRDefault="00476A03" w:rsidP="00476A03"/>
    <w:p w14:paraId="5EEB20B5" w14:textId="0CBFAA99" w:rsidR="00476A03" w:rsidRDefault="00676FCD" w:rsidP="00476A03">
      <w:r>
        <w:t>En somme, le recours en vice caché</w:t>
      </w:r>
      <w:r w:rsidR="000A6062">
        <w:t xml:space="preserve"> vise à compenser l’acheteur du coût de la correction du bien qu’il a acheté qui est atteint d’une défec</w:t>
      </w:r>
      <w:r w:rsidR="00980198">
        <w:t>tuosité</w:t>
      </w:r>
      <w:r w:rsidR="003556B8">
        <w:t xml:space="preserve">, que le vendeur n’en ai pas eu connaissance n’a pas d’importance. Dans le cas où l’acheteur en avait connaissance, </w:t>
      </w:r>
      <w:r w:rsidR="00A1736D">
        <w:t>l’acheteur aura le droit en plus à des dommages</w:t>
      </w:r>
      <w:r w:rsidR="0028754C">
        <w:t>-</w:t>
      </w:r>
      <w:r w:rsidR="00A1736D">
        <w:t>intérêts.</w:t>
      </w:r>
    </w:p>
    <w:p w14:paraId="300057D2" w14:textId="1835DB86" w:rsidR="00057616" w:rsidRDefault="00057616" w:rsidP="00476A03"/>
    <w:p w14:paraId="3B62FF32" w14:textId="7C531140" w:rsidR="006477E0" w:rsidRDefault="00057616" w:rsidP="0012789A">
      <w:pPr>
        <w:pStyle w:val="ListParagraph"/>
        <w:numPr>
          <w:ilvl w:val="0"/>
          <w:numId w:val="14"/>
        </w:numPr>
      </w:pPr>
      <w:r>
        <w:t>L</w:t>
      </w:r>
      <w:r w:rsidR="008D06FD">
        <w:t xml:space="preserve">’acheteur a l’obligation de dénoncer la découverte du vice dans un délai raisonnable </w:t>
      </w:r>
      <w:r w:rsidR="00F6514B">
        <w:t xml:space="preserve">depuis cette découverte </w:t>
      </w:r>
      <w:r w:rsidR="0012789A" w:rsidRPr="008D06FD">
        <w:t>(</w:t>
      </w:r>
      <w:r w:rsidR="0012789A" w:rsidRPr="008D06FD">
        <w:rPr>
          <w:highlight w:val="yellow"/>
        </w:rPr>
        <w:t xml:space="preserve">art. </w:t>
      </w:r>
      <w:r w:rsidRPr="008D06FD">
        <w:rPr>
          <w:highlight w:val="yellow"/>
        </w:rPr>
        <w:t>1739</w:t>
      </w:r>
      <w:r w:rsidR="00042664">
        <w:rPr>
          <w:highlight w:val="yellow"/>
        </w:rPr>
        <w:t xml:space="preserve"> </w:t>
      </w:r>
      <w:r w:rsidR="0012789A" w:rsidRPr="008D06FD">
        <w:rPr>
          <w:highlight w:val="yellow"/>
        </w:rPr>
        <w:t>C.c.Q.</w:t>
      </w:r>
      <w:r w:rsidR="0012789A" w:rsidRPr="008D06FD">
        <w:t>)</w:t>
      </w:r>
      <w:r w:rsidR="00632E21">
        <w:t> : ce délai raisonnable ne s’applique plus lorsque le vendeur connaissait ou était présumé connaitre l</w:t>
      </w:r>
      <w:r w:rsidR="00D52EDE">
        <w:t>’existence du</w:t>
      </w:r>
      <w:r w:rsidR="00632E21">
        <w:t xml:space="preserve"> vice </w:t>
      </w:r>
    </w:p>
    <w:p w14:paraId="65C690B5" w14:textId="77777777" w:rsidR="00D63B98" w:rsidRDefault="00D63B98" w:rsidP="00D63B98"/>
    <w:p w14:paraId="5C84F378" w14:textId="6758606B" w:rsidR="00D63B98" w:rsidRPr="007E66AD" w:rsidRDefault="00D63B98" w:rsidP="007E66AD">
      <w:pPr>
        <w:pStyle w:val="ListParagraph"/>
        <w:numPr>
          <w:ilvl w:val="0"/>
          <w:numId w:val="15"/>
        </w:numPr>
      </w:pPr>
      <w:r w:rsidRPr="007E66AD">
        <w:t>Les autres formes de garantie</w:t>
      </w:r>
    </w:p>
    <w:p w14:paraId="7EA53EE8" w14:textId="246B3A9A" w:rsidR="00703E92" w:rsidRDefault="00703E92" w:rsidP="00D63B98"/>
    <w:p w14:paraId="4ACAF516" w14:textId="45A8A16C" w:rsidR="00235CD9" w:rsidRDefault="00E25F9E" w:rsidP="00D63B98">
      <w:r>
        <w:t xml:space="preserve">Garantir que le bien pourra fonctionner </w:t>
      </w:r>
      <w:r w:rsidR="00A35C9D">
        <w:t xml:space="preserve">correctement, et ce </w:t>
      </w:r>
      <w:r w:rsidR="007475C8">
        <w:t>pendant une durée de temps</w:t>
      </w:r>
      <w:r w:rsidR="0054474D">
        <w:t xml:space="preserve"> raisonnable</w:t>
      </w:r>
      <w:r w:rsidR="007475C8">
        <w:t xml:space="preserve"> et qu’il est apte à l’usage qu’il lui est destiné</w:t>
      </w:r>
      <w:r w:rsidR="0054474D">
        <w:t>. La LPC</w:t>
      </w:r>
      <w:r w:rsidR="00EC43A4">
        <w:t xml:space="preserve"> </w:t>
      </w:r>
      <w:r w:rsidR="00825905">
        <w:t xml:space="preserve">contient plusieurs articles spécifiques </w:t>
      </w:r>
      <w:r w:rsidR="0003407B">
        <w:t>sur cette question</w:t>
      </w:r>
      <w:r w:rsidR="0054474D">
        <w:t xml:space="preserve"> </w:t>
      </w:r>
      <w:r w:rsidR="00604AC5">
        <w:t xml:space="preserve">alors lorsque l’on achète des garanties supplémentaires inutiles en matières électroniques, on doit faire attention puisque la LPC prévoit déjà </w:t>
      </w:r>
      <w:r w:rsidR="003E3196">
        <w:t xml:space="preserve">ces garanties. </w:t>
      </w:r>
    </w:p>
    <w:p w14:paraId="3102C835" w14:textId="77777777" w:rsidR="00235CD9" w:rsidRDefault="00235CD9" w:rsidP="00D63B98"/>
    <w:p w14:paraId="466F4A39" w14:textId="4477DEBC" w:rsidR="00235CD9" w:rsidRDefault="00235CD9" w:rsidP="007E66AD">
      <w:pPr>
        <w:pStyle w:val="ListParagraph"/>
        <w:numPr>
          <w:ilvl w:val="0"/>
          <w:numId w:val="15"/>
        </w:numPr>
      </w:pPr>
      <w:r>
        <w:t>Le recours et les sanctions</w:t>
      </w:r>
    </w:p>
    <w:p w14:paraId="49891423" w14:textId="77777777" w:rsidR="00235CD9" w:rsidRDefault="00235CD9" w:rsidP="00D63B98"/>
    <w:p w14:paraId="2CFE928C" w14:textId="77777777" w:rsidR="00D537EC" w:rsidRDefault="007E66AD" w:rsidP="00D63B98">
      <w:r>
        <w:t xml:space="preserve">Après que l’acheteur </w:t>
      </w:r>
      <w:r w:rsidR="00B03F30">
        <w:t xml:space="preserve">aura </w:t>
      </w:r>
      <w:r>
        <w:t>dénoncé le vice par le biais de l’</w:t>
      </w:r>
      <w:r w:rsidR="0012789A" w:rsidRPr="00D63B98">
        <w:rPr>
          <w:highlight w:val="yellow"/>
        </w:rPr>
        <w:t xml:space="preserve">art. </w:t>
      </w:r>
      <w:r>
        <w:rPr>
          <w:highlight w:val="yellow"/>
        </w:rPr>
        <w:t xml:space="preserve">1739 </w:t>
      </w:r>
      <w:r w:rsidR="0012789A" w:rsidRPr="00D63B98">
        <w:rPr>
          <w:highlight w:val="yellow"/>
        </w:rPr>
        <w:t>C.c.Q.</w:t>
      </w:r>
      <w:r w:rsidR="00B03F30">
        <w:t xml:space="preserve">, il devra si le vendeur ne corrige pas la situation, intenter des procédures judiciaires pour forcer </w:t>
      </w:r>
      <w:r w:rsidR="00D45F8D">
        <w:t xml:space="preserve">le vendeur </w:t>
      </w:r>
      <w:r w:rsidR="00CE7332">
        <w:t>à l’indemniser. Cette pr</w:t>
      </w:r>
      <w:r w:rsidR="00596BA7">
        <w:t>o</w:t>
      </w:r>
      <w:r w:rsidR="00CE7332">
        <w:t>cédure devra être intenter dans un délai de 3 ans</w:t>
      </w:r>
      <w:r w:rsidR="0012789A" w:rsidRPr="00D63B98">
        <w:t xml:space="preserve"> </w:t>
      </w:r>
      <w:r w:rsidR="0012789A" w:rsidRPr="00B03F30">
        <w:t>(</w:t>
      </w:r>
      <w:r w:rsidR="0012789A" w:rsidRPr="00B03F30">
        <w:rPr>
          <w:highlight w:val="yellow"/>
        </w:rPr>
        <w:t xml:space="preserve">art. </w:t>
      </w:r>
      <w:r w:rsidR="00CE7332">
        <w:rPr>
          <w:highlight w:val="yellow"/>
        </w:rPr>
        <w:t xml:space="preserve">2925 </w:t>
      </w:r>
      <w:r w:rsidR="0012789A" w:rsidRPr="00CE7332">
        <w:rPr>
          <w:highlight w:val="yellow"/>
        </w:rPr>
        <w:t>C.c.Q.</w:t>
      </w:r>
      <w:r w:rsidR="0012789A" w:rsidRPr="00CE7332">
        <w:t>)</w:t>
      </w:r>
      <w:r w:rsidR="00CE7332">
        <w:t>. L’acquéreur pourra également intenter un recours envers le fabriquant et les autres acteurs intermédiaires de la chaîne</w:t>
      </w:r>
      <w:r w:rsidR="00FC5902">
        <w:t xml:space="preserve"> (distributeur par exemple)</w:t>
      </w:r>
      <w:r w:rsidR="00596BA7">
        <w:t xml:space="preserve"> </w:t>
      </w:r>
      <w:r w:rsidR="0012789A" w:rsidRPr="00CE7332">
        <w:t>(</w:t>
      </w:r>
      <w:r w:rsidR="0012789A" w:rsidRPr="00CE7332">
        <w:rPr>
          <w:highlight w:val="yellow"/>
        </w:rPr>
        <w:t xml:space="preserve">art. </w:t>
      </w:r>
      <w:r w:rsidR="00596BA7">
        <w:rPr>
          <w:highlight w:val="yellow"/>
        </w:rPr>
        <w:t xml:space="preserve">1730 </w:t>
      </w:r>
      <w:r w:rsidR="0012789A" w:rsidRPr="00596BA7">
        <w:rPr>
          <w:highlight w:val="yellow"/>
        </w:rPr>
        <w:t>C.c.Q</w:t>
      </w:r>
      <w:r w:rsidR="0012789A" w:rsidRPr="00D537EC">
        <w:rPr>
          <w:highlight w:val="yellow"/>
        </w:rPr>
        <w:t>.</w:t>
      </w:r>
      <w:r w:rsidR="00596BA7" w:rsidRPr="00D537EC">
        <w:rPr>
          <w:highlight w:val="yellow"/>
        </w:rPr>
        <w:t xml:space="preserve"> et l’art. 53, al.1 et al.4 LPC</w:t>
      </w:r>
      <w:r w:rsidR="0012789A" w:rsidRPr="00596BA7">
        <w:t>)</w:t>
      </w:r>
      <w:r w:rsidR="00D537EC">
        <w:t>.</w:t>
      </w:r>
    </w:p>
    <w:p w14:paraId="2C80AE23" w14:textId="7D02E810" w:rsidR="00D537EC" w:rsidRDefault="00D537EC" w:rsidP="00D63B98"/>
    <w:p w14:paraId="3B9C5629" w14:textId="38E8C9D4" w:rsidR="00C976D8" w:rsidRPr="004B1809" w:rsidRDefault="00C976D8" w:rsidP="00C976D8">
      <w:pPr>
        <w:rPr>
          <w:b/>
          <w:bCs/>
        </w:rPr>
      </w:pPr>
      <w:r w:rsidRPr="004B1809">
        <w:rPr>
          <w:b/>
          <w:bCs/>
        </w:rPr>
        <w:t>Vrai/Faux</w:t>
      </w:r>
    </w:p>
    <w:p w14:paraId="77A22CD8" w14:textId="77777777" w:rsidR="00C976D8" w:rsidRDefault="00C976D8" w:rsidP="00C976D8"/>
    <w:p w14:paraId="738DABEA" w14:textId="239F6563" w:rsidR="00C976D8" w:rsidRDefault="00C976D8" w:rsidP="00C976D8">
      <w:r>
        <w:t>Pour un vendeur, le fait d’avoir habité une maison pendant seulement un an et d’ignorer totalement les problèmes d’infiltration d’eau qu’elle comporte est suffisant pour contrer un recours en réduction de prix pour vice caché intenté par l’acheteur.</w:t>
      </w:r>
    </w:p>
    <w:p w14:paraId="02D66D07" w14:textId="24DE55E2" w:rsidR="00C976D8" w:rsidRDefault="00C976D8" w:rsidP="00D63B98"/>
    <w:p w14:paraId="009186F6" w14:textId="1C74F08D" w:rsidR="001355C5" w:rsidRDefault="003307E1" w:rsidP="00D63B98">
      <w:r>
        <w:t>Faux, s</w:t>
      </w:r>
      <w:r w:rsidRPr="003307E1">
        <w:t xml:space="preserve">elon </w:t>
      </w:r>
      <w:r w:rsidRPr="00D33062">
        <w:rPr>
          <w:highlight w:val="yellow"/>
        </w:rPr>
        <w:t>l’art</w:t>
      </w:r>
      <w:r w:rsidR="00E905D5" w:rsidRPr="00D33062">
        <w:rPr>
          <w:highlight w:val="yellow"/>
        </w:rPr>
        <w:t xml:space="preserve">. </w:t>
      </w:r>
      <w:r w:rsidRPr="00D33062">
        <w:rPr>
          <w:highlight w:val="yellow"/>
        </w:rPr>
        <w:t>1716 C.c.Q</w:t>
      </w:r>
      <w:r w:rsidRPr="003307E1">
        <w:t xml:space="preserve">., le vendeur est tenu de garantir la qualité de l‘immeuble. Un vendeur ne peut invoquer sa bonne foi, ni son ignorance des défauts cachés pour échapper aux sanctions prévues à </w:t>
      </w:r>
      <w:r w:rsidRPr="00BF1A45">
        <w:rPr>
          <w:highlight w:val="yellow"/>
        </w:rPr>
        <w:t>l’art. 1590 C.c.Q.</w:t>
      </w:r>
      <w:r w:rsidRPr="003307E1">
        <w:t xml:space="preserve"> Selon </w:t>
      </w:r>
      <w:r w:rsidRPr="006110C8">
        <w:rPr>
          <w:highlight w:val="yellow"/>
        </w:rPr>
        <w:t>l’art</w:t>
      </w:r>
      <w:r w:rsidR="00461A2D" w:rsidRPr="006110C8">
        <w:rPr>
          <w:highlight w:val="yellow"/>
        </w:rPr>
        <w:t>.</w:t>
      </w:r>
      <w:r w:rsidRPr="006110C8">
        <w:rPr>
          <w:highlight w:val="yellow"/>
        </w:rPr>
        <w:t xml:space="preserve"> 1728 C.c.Q.,</w:t>
      </w:r>
      <w:r w:rsidRPr="003307E1">
        <w:t xml:space="preserve"> la connaissance ou non du vice caché ne sera considérée que pour tenir le vendeur responsable de dommages-intérêts.</w:t>
      </w:r>
    </w:p>
    <w:p w14:paraId="4D3D079F" w14:textId="395A33A8" w:rsidR="009A2C8B" w:rsidRDefault="009A2C8B" w:rsidP="00D63B98"/>
    <w:p w14:paraId="547C8627" w14:textId="4505293E" w:rsidR="009A2C8B" w:rsidRDefault="009A2C8B" w:rsidP="00D63B98"/>
    <w:p w14:paraId="720C186C" w14:textId="5A47F331" w:rsidR="001C4A80" w:rsidRDefault="001C4A80" w:rsidP="001C4A80">
      <w:pPr>
        <w:pStyle w:val="Heading2"/>
      </w:pPr>
      <w:r>
        <w:lastRenderedPageBreak/>
        <w:t>Les modifications conventionnelles</w:t>
      </w:r>
    </w:p>
    <w:p w14:paraId="7669F939" w14:textId="77777777" w:rsidR="009A2C8B" w:rsidRDefault="009A2C8B" w:rsidP="00D63B98"/>
    <w:p w14:paraId="6CFC644E" w14:textId="6AE170DE" w:rsidR="0047297C" w:rsidRDefault="000E55AC" w:rsidP="00D63B98">
      <w:r>
        <w:t xml:space="preserve">On peut augmenter ou réduire les garanties du C.c.Q. </w:t>
      </w:r>
      <w:r w:rsidR="0012789A" w:rsidRPr="00596BA7">
        <w:t>(</w:t>
      </w:r>
      <w:r w:rsidR="0012789A" w:rsidRPr="00596BA7">
        <w:rPr>
          <w:highlight w:val="yellow"/>
        </w:rPr>
        <w:t xml:space="preserve">art. </w:t>
      </w:r>
      <w:r>
        <w:rPr>
          <w:highlight w:val="yellow"/>
        </w:rPr>
        <w:t>1732</w:t>
      </w:r>
      <w:r w:rsidR="001D7452">
        <w:rPr>
          <w:highlight w:val="yellow"/>
        </w:rPr>
        <w:t xml:space="preserve"> </w:t>
      </w:r>
      <w:r w:rsidR="0012789A" w:rsidRPr="001C4A80">
        <w:rPr>
          <w:highlight w:val="yellow"/>
        </w:rPr>
        <w:t>C.c.Q.</w:t>
      </w:r>
      <w:r w:rsidR="0012789A" w:rsidRPr="001C4A80">
        <w:t>)</w:t>
      </w:r>
      <w:r w:rsidR="00A3214C">
        <w:t xml:space="preserve">. </w:t>
      </w:r>
      <w:r w:rsidR="00DB7AB6">
        <w:t xml:space="preserve">Cependant, les </w:t>
      </w:r>
      <w:r w:rsidR="001D7452">
        <w:t>par</w:t>
      </w:r>
      <w:r w:rsidR="00DB7AB6">
        <w:t xml:space="preserve">ties doivent respecter certaines </w:t>
      </w:r>
      <w:r w:rsidR="007D3937">
        <w:t>particularités</w:t>
      </w:r>
      <w:r w:rsidR="00DD0C54">
        <w:t>.</w:t>
      </w:r>
    </w:p>
    <w:p w14:paraId="1C752AB7" w14:textId="77777777" w:rsidR="0047297C" w:rsidRDefault="0047297C" w:rsidP="00D63B98"/>
    <w:p w14:paraId="624D9CE6" w14:textId="4D266988" w:rsidR="0054100A" w:rsidRPr="0054100A" w:rsidRDefault="0047297C" w:rsidP="0054100A">
      <w:pPr>
        <w:pStyle w:val="ListParagraph"/>
        <w:numPr>
          <w:ilvl w:val="0"/>
          <w:numId w:val="1"/>
        </w:numPr>
      </w:pPr>
      <w:r w:rsidRPr="0047297C">
        <w:t>Exemple: le comportement intention</w:t>
      </w:r>
      <w:r>
        <w:t>nel d’un vendeur sera sanctionné par le biais de l’</w:t>
      </w:r>
      <w:r w:rsidR="0012789A" w:rsidRPr="0047297C">
        <w:rPr>
          <w:highlight w:val="yellow"/>
        </w:rPr>
        <w:t xml:space="preserve">art. </w:t>
      </w:r>
      <w:r>
        <w:rPr>
          <w:highlight w:val="yellow"/>
        </w:rPr>
        <w:t xml:space="preserve">1733 </w:t>
      </w:r>
      <w:r w:rsidR="0012789A" w:rsidRPr="0047297C">
        <w:rPr>
          <w:highlight w:val="yellow"/>
        </w:rPr>
        <w:t>C.c.Q.</w:t>
      </w:r>
      <w:r>
        <w:t xml:space="preserve">, </w:t>
      </w:r>
      <w:r w:rsidR="00DA494E">
        <w:t>pour une</w:t>
      </w:r>
      <w:r w:rsidR="00DB7AB6">
        <w:t xml:space="preserve"> faute lourde </w:t>
      </w:r>
      <w:r w:rsidR="007D3937">
        <w:t xml:space="preserve">ou intentionnelle </w:t>
      </w:r>
      <w:r w:rsidR="009604C3">
        <w:t xml:space="preserve">on </w:t>
      </w:r>
      <w:r w:rsidR="00DB7AB6">
        <w:t>ne peut jamais exclure sa responsabilité</w:t>
      </w:r>
      <w:r w:rsidR="0012789A" w:rsidRPr="0047297C">
        <w:t xml:space="preserve"> (</w:t>
      </w:r>
      <w:r w:rsidR="0012789A" w:rsidRPr="0047297C">
        <w:rPr>
          <w:highlight w:val="yellow"/>
        </w:rPr>
        <w:t xml:space="preserve">art. </w:t>
      </w:r>
      <w:r w:rsidR="00DB7AB6">
        <w:rPr>
          <w:highlight w:val="yellow"/>
        </w:rPr>
        <w:t>1747</w:t>
      </w:r>
      <w:r w:rsidR="005D34B1">
        <w:rPr>
          <w:highlight w:val="yellow"/>
        </w:rPr>
        <w:t xml:space="preserve">, al.1 </w:t>
      </w:r>
      <w:r w:rsidR="0012789A" w:rsidRPr="00DB7AB6">
        <w:rPr>
          <w:highlight w:val="yellow"/>
        </w:rPr>
        <w:t>C.c.Q.</w:t>
      </w:r>
      <w:r w:rsidR="0012789A" w:rsidRPr="00DB7AB6">
        <w:t>)</w:t>
      </w:r>
      <w:r w:rsidR="005D34B1">
        <w:t xml:space="preserve">, exclure sa responsabilité pour le préjudice moral et corporel </w:t>
      </w:r>
      <w:r w:rsidR="0012789A" w:rsidRPr="005D34B1">
        <w:t>(</w:t>
      </w:r>
      <w:r w:rsidR="0012789A" w:rsidRPr="005D34B1">
        <w:rPr>
          <w:highlight w:val="yellow"/>
        </w:rPr>
        <w:t xml:space="preserve">art. </w:t>
      </w:r>
      <w:r w:rsidR="005D34B1">
        <w:rPr>
          <w:highlight w:val="yellow"/>
        </w:rPr>
        <w:t xml:space="preserve">1474, al.2 </w:t>
      </w:r>
      <w:r w:rsidR="0012789A" w:rsidRPr="005D34B1">
        <w:rPr>
          <w:highlight w:val="yellow"/>
        </w:rPr>
        <w:t>C.c.Q.</w:t>
      </w:r>
      <w:r w:rsidR="0012789A" w:rsidRPr="005D34B1">
        <w:t>)</w:t>
      </w:r>
      <w:r w:rsidR="008E3337">
        <w:t xml:space="preserve"> et on ne peut pas </w:t>
      </w:r>
      <w:r w:rsidR="00C01AD3">
        <w:t xml:space="preserve">s’exonérer </w:t>
      </w:r>
      <w:r w:rsidR="00DA6C08">
        <w:t>en cas d</w:t>
      </w:r>
      <w:r w:rsidR="00C01AD3">
        <w:t>’ignorance de l’</w:t>
      </w:r>
      <w:r w:rsidR="00970EE6">
        <w:t>a</w:t>
      </w:r>
      <w:r w:rsidR="00C01AD3">
        <w:t>cheteur</w:t>
      </w:r>
      <w:r w:rsidR="0012789A" w:rsidRPr="005D34B1">
        <w:t xml:space="preserve"> </w:t>
      </w:r>
      <w:r w:rsidR="00D75BCC">
        <w:t xml:space="preserve">d’un avis </w:t>
      </w:r>
      <w:r w:rsidR="00CD17F8">
        <w:t>de non-responsabilité</w:t>
      </w:r>
      <w:r w:rsidR="000A6B21">
        <w:t>.</w:t>
      </w:r>
    </w:p>
    <w:p w14:paraId="0E32E20B" w14:textId="45DA689C" w:rsidR="0054100A" w:rsidRPr="0027488D" w:rsidRDefault="0054100A" w:rsidP="0054100A">
      <w:pPr>
        <w:pStyle w:val="Heading1"/>
      </w:pPr>
    </w:p>
    <w:p w14:paraId="66EC01FC" w14:textId="07E4119B" w:rsidR="0054100A" w:rsidRDefault="0054100A" w:rsidP="0054100A">
      <w:pPr>
        <w:pStyle w:val="Heading1"/>
      </w:pPr>
      <w:r w:rsidRPr="007F5017">
        <w:t xml:space="preserve">Section </w:t>
      </w:r>
      <w:r w:rsidR="007F5017" w:rsidRPr="007F5017">
        <w:t>4 : Les obligations de l’acheteur</w:t>
      </w:r>
    </w:p>
    <w:p w14:paraId="538419CF" w14:textId="0DDF0460" w:rsidR="007F5017" w:rsidRDefault="007F5017" w:rsidP="007F5017"/>
    <w:p w14:paraId="1537ECFE" w14:textId="686A942E" w:rsidR="00F248F6" w:rsidRDefault="003440C5" w:rsidP="007F5017">
      <w:r w:rsidRPr="003440C5">
        <w:t xml:space="preserve">L’acheteur d’un bien doit remplir </w:t>
      </w:r>
      <w:r>
        <w:t>2</w:t>
      </w:r>
      <w:r w:rsidRPr="003440C5">
        <w:t xml:space="preserve"> obligations : </w:t>
      </w:r>
    </w:p>
    <w:p w14:paraId="5BC39F19" w14:textId="77777777" w:rsidR="007D5EEA" w:rsidRDefault="007D5EEA" w:rsidP="007F5017"/>
    <w:p w14:paraId="2C8ABAF6" w14:textId="77777777" w:rsidR="00F248F6" w:rsidRDefault="003440C5" w:rsidP="00F248F6">
      <w:pPr>
        <w:pStyle w:val="ListParagraph"/>
        <w:numPr>
          <w:ilvl w:val="0"/>
          <w:numId w:val="16"/>
        </w:numPr>
      </w:pPr>
      <w:r w:rsidRPr="003440C5">
        <w:t xml:space="preserve">celle de prendre livraison du bien </w:t>
      </w:r>
    </w:p>
    <w:p w14:paraId="62146A5A" w14:textId="7B0F55B9" w:rsidR="0054100A" w:rsidRDefault="00F248F6" w:rsidP="00C22B00">
      <w:pPr>
        <w:pStyle w:val="ListParagraph"/>
        <w:numPr>
          <w:ilvl w:val="0"/>
          <w:numId w:val="16"/>
        </w:numPr>
      </w:pPr>
      <w:r>
        <w:t xml:space="preserve">celle </w:t>
      </w:r>
      <w:r w:rsidR="003440C5" w:rsidRPr="003440C5">
        <w:t>d’en payer le prix.</w:t>
      </w:r>
    </w:p>
    <w:p w14:paraId="16589518" w14:textId="08018B6D" w:rsidR="007D5EEA" w:rsidRDefault="007D5EEA" w:rsidP="007D5EEA"/>
    <w:p w14:paraId="3E4E99AF" w14:textId="39A24BF0" w:rsidR="007D5EEA" w:rsidRDefault="003F0DC1" w:rsidP="003F0DC1">
      <w:pPr>
        <w:pStyle w:val="Heading2"/>
      </w:pPr>
      <w:r>
        <w:t>Les recours de droit commun</w:t>
      </w:r>
    </w:p>
    <w:p w14:paraId="7C8850C5" w14:textId="48E34538" w:rsidR="003F0DC1" w:rsidRDefault="003F0DC1" w:rsidP="007D5EEA"/>
    <w:p w14:paraId="34F0E191" w14:textId="77777777" w:rsidR="007E786D" w:rsidRDefault="007E786D" w:rsidP="007E786D">
      <w:r>
        <w:t>Recours à la disposition de l’acheteur (</w:t>
      </w:r>
      <w:r w:rsidRPr="007E786D">
        <w:rPr>
          <w:highlight w:val="yellow"/>
        </w:rPr>
        <w:t>arts. 1590 et ss C.c.Q</w:t>
      </w:r>
      <w:r>
        <w:t>.)</w:t>
      </w:r>
    </w:p>
    <w:p w14:paraId="180A4202" w14:textId="77777777" w:rsidR="007E786D" w:rsidRDefault="007E786D" w:rsidP="007E786D"/>
    <w:p w14:paraId="12D83BE2" w14:textId="2A6C462A" w:rsidR="00C534D2" w:rsidRDefault="007E786D" w:rsidP="007E786D">
      <w:pPr>
        <w:pStyle w:val="ListParagraph"/>
        <w:numPr>
          <w:ilvl w:val="0"/>
          <w:numId w:val="1"/>
        </w:numPr>
      </w:pPr>
      <w:r>
        <w:t>Exécution en nature (</w:t>
      </w:r>
      <w:r w:rsidRPr="00C534D2">
        <w:rPr>
          <w:highlight w:val="yellow"/>
        </w:rPr>
        <w:t>arts. 1601 et ss C.c.Q</w:t>
      </w:r>
      <w:r>
        <w:t>.)</w:t>
      </w:r>
      <w:r w:rsidR="001A1B82">
        <w:t xml:space="preserve"> = </w:t>
      </w:r>
      <w:r w:rsidR="00EB18D9">
        <w:t xml:space="preserve">action en paiement du prix </w:t>
      </w:r>
    </w:p>
    <w:p w14:paraId="6D793002" w14:textId="03393DA1" w:rsidR="00C534D2" w:rsidRDefault="007E786D" w:rsidP="007E786D">
      <w:pPr>
        <w:pStyle w:val="ListParagraph"/>
        <w:numPr>
          <w:ilvl w:val="0"/>
          <w:numId w:val="1"/>
        </w:numPr>
      </w:pPr>
      <w:r>
        <w:t xml:space="preserve">Résolution </w:t>
      </w:r>
      <w:r w:rsidR="00BC3916">
        <w:t xml:space="preserve">du contrat </w:t>
      </w:r>
      <w:r>
        <w:t>(</w:t>
      </w:r>
      <w:r w:rsidRPr="00C534D2">
        <w:rPr>
          <w:highlight w:val="yellow"/>
        </w:rPr>
        <w:t>arts 1604 et ss C.c.Q.</w:t>
      </w:r>
      <w:r>
        <w:t>)</w:t>
      </w:r>
      <w:r w:rsidR="00BC3916">
        <w:t xml:space="preserve"> = En cas d’inexécution importante </w:t>
      </w:r>
    </w:p>
    <w:p w14:paraId="22E11FC0" w14:textId="77777777" w:rsidR="00EE45BE" w:rsidRDefault="00076216" w:rsidP="0012789A">
      <w:pPr>
        <w:pStyle w:val="ListParagraph"/>
        <w:numPr>
          <w:ilvl w:val="0"/>
          <w:numId w:val="1"/>
        </w:numPr>
      </w:pPr>
      <w:r>
        <w:t xml:space="preserve">Les </w:t>
      </w:r>
      <w:r w:rsidR="007E786D">
        <w:t>dommages-intérêts</w:t>
      </w:r>
      <w:r>
        <w:t xml:space="preserve"> individuels ou accompagnant les autres recours </w:t>
      </w:r>
      <w:r w:rsidR="0012789A" w:rsidRPr="003F0DC1">
        <w:t>(</w:t>
      </w:r>
      <w:r w:rsidR="0012789A" w:rsidRPr="00EE45BE">
        <w:rPr>
          <w:highlight w:val="yellow"/>
        </w:rPr>
        <w:t>art</w:t>
      </w:r>
      <w:r w:rsidRPr="00EE45BE">
        <w:rPr>
          <w:highlight w:val="yellow"/>
        </w:rPr>
        <w:t xml:space="preserve">s. 1458 et 1607 </w:t>
      </w:r>
      <w:r w:rsidR="0012789A" w:rsidRPr="00EE45BE">
        <w:rPr>
          <w:highlight w:val="yellow"/>
        </w:rPr>
        <w:t>C.c.Q.</w:t>
      </w:r>
      <w:r w:rsidR="0012789A" w:rsidRPr="003F0DC1">
        <w:t xml:space="preserve">) </w:t>
      </w:r>
    </w:p>
    <w:p w14:paraId="14DE2F27" w14:textId="2AC39BF3" w:rsidR="00EE45BE" w:rsidRDefault="00EE45BE" w:rsidP="00EE45BE">
      <w:pPr>
        <w:rPr>
          <w:lang w:val="en-US"/>
        </w:rPr>
      </w:pPr>
    </w:p>
    <w:p w14:paraId="2D427645" w14:textId="2B504888" w:rsidR="00EE45BE" w:rsidRPr="00E26B90" w:rsidRDefault="00BD1291" w:rsidP="00AD036C">
      <w:pPr>
        <w:pStyle w:val="Heading2"/>
        <w:numPr>
          <w:ilvl w:val="0"/>
          <w:numId w:val="17"/>
        </w:numPr>
      </w:pPr>
      <w:r w:rsidRPr="00E26B90">
        <w:t>L’obl</w:t>
      </w:r>
      <w:r w:rsidR="006F3D61" w:rsidRPr="00E26B90">
        <w:t>i</w:t>
      </w:r>
      <w:r w:rsidR="00F34128" w:rsidRPr="00E26B90">
        <w:t>g</w:t>
      </w:r>
      <w:r w:rsidRPr="00E26B90">
        <w:t>ation de prendre livraison</w:t>
      </w:r>
    </w:p>
    <w:p w14:paraId="285CBB24" w14:textId="08840FF3" w:rsidR="008444A5" w:rsidRPr="00E26B90" w:rsidRDefault="008444A5" w:rsidP="008444A5"/>
    <w:p w14:paraId="034B407D" w14:textId="77777777" w:rsidR="00166014" w:rsidRDefault="00174D4B" w:rsidP="00EE45BE">
      <w:r w:rsidRPr="004277EE">
        <w:t>Définit à l’</w:t>
      </w:r>
      <w:r w:rsidR="0012789A" w:rsidRPr="004277EE">
        <w:rPr>
          <w:highlight w:val="yellow"/>
        </w:rPr>
        <w:t xml:space="preserve">art. </w:t>
      </w:r>
      <w:r w:rsidR="00236D85" w:rsidRPr="004277EE">
        <w:rPr>
          <w:highlight w:val="yellow"/>
        </w:rPr>
        <w:t xml:space="preserve">1734 </w:t>
      </w:r>
      <w:r w:rsidR="0012789A" w:rsidRPr="004277EE">
        <w:rPr>
          <w:highlight w:val="yellow"/>
        </w:rPr>
        <w:t>C.c.Q.</w:t>
      </w:r>
      <w:r w:rsidR="004277EE" w:rsidRPr="004277EE">
        <w:t xml:space="preserve"> </w:t>
      </w:r>
      <w:r w:rsidR="004277EE" w:rsidRPr="00F34F11">
        <w:t>Le contrat peut tout prévoir</w:t>
      </w:r>
      <w:r w:rsidR="00321D78">
        <w:t>, le lieu et le moment de la livraison.</w:t>
      </w:r>
      <w:r w:rsidR="00390CBD">
        <w:t xml:space="preserve"> Si l’acheteur doit enlever le bien, ce sera à ses frais </w:t>
      </w:r>
      <w:r w:rsidR="00D16A9E">
        <w:t>selon l’</w:t>
      </w:r>
      <w:r w:rsidR="0012789A" w:rsidRPr="00F34F11">
        <w:rPr>
          <w:highlight w:val="yellow"/>
        </w:rPr>
        <w:t xml:space="preserve">art. </w:t>
      </w:r>
      <w:r w:rsidR="005B7E7F">
        <w:rPr>
          <w:highlight w:val="yellow"/>
        </w:rPr>
        <w:t xml:space="preserve">1722 </w:t>
      </w:r>
      <w:r w:rsidR="0012789A" w:rsidRPr="00166014">
        <w:rPr>
          <w:highlight w:val="yellow"/>
        </w:rPr>
        <w:t>C.c.Q.</w:t>
      </w:r>
    </w:p>
    <w:p w14:paraId="02298454" w14:textId="77777777" w:rsidR="00166014" w:rsidRDefault="00166014" w:rsidP="00EE45BE"/>
    <w:p w14:paraId="5554875B" w14:textId="77777777" w:rsidR="00E26B90" w:rsidRDefault="00166014" w:rsidP="00166014">
      <w:pPr>
        <w:pStyle w:val="ListParagraph"/>
        <w:numPr>
          <w:ilvl w:val="0"/>
          <w:numId w:val="1"/>
        </w:numPr>
      </w:pPr>
      <w:r>
        <w:t xml:space="preserve">Exemple : achète un cheval de course et les parties conviennent que l’acheteur en prendra possession sur le site de la course. </w:t>
      </w:r>
      <w:r w:rsidR="00BB7892">
        <w:t>Le vendeur soutient les risques jusqu’au moment de la livraison sur le site et à partir de la livraison</w:t>
      </w:r>
      <w:r w:rsidR="007C0FD5">
        <w:t xml:space="preserve">, l’acheteur assume les frais pour ramener le cheval chez lui. </w:t>
      </w:r>
    </w:p>
    <w:p w14:paraId="0544D279" w14:textId="25E386BE" w:rsidR="00E26B90" w:rsidRDefault="00E26B90" w:rsidP="00E26B90"/>
    <w:p w14:paraId="24B4DF4C" w14:textId="09489DC0" w:rsidR="00077E32" w:rsidRDefault="00077E32" w:rsidP="00077E32">
      <w:pPr>
        <w:pStyle w:val="ListParagraph"/>
        <w:numPr>
          <w:ilvl w:val="0"/>
          <w:numId w:val="18"/>
        </w:numPr>
      </w:pPr>
      <w:r>
        <w:t>Les sanctions à un défaut de prendre livraison et de payer le prix</w:t>
      </w:r>
    </w:p>
    <w:p w14:paraId="443F1460" w14:textId="77777777" w:rsidR="00077E32" w:rsidRDefault="00077E32" w:rsidP="00E26B90"/>
    <w:p w14:paraId="4440967F" w14:textId="77777777" w:rsidR="00754022" w:rsidRDefault="00972995" w:rsidP="00E26B90">
      <w:r>
        <w:t>Le vendeur pourra interrompre les livraison</w:t>
      </w:r>
      <w:r w:rsidR="00176047">
        <w:t>s</w:t>
      </w:r>
      <w:r>
        <w:t xml:space="preserve"> subséquente</w:t>
      </w:r>
      <w:r w:rsidR="00176047">
        <w:t xml:space="preserve">s </w:t>
      </w:r>
      <w:r w:rsidR="002E2A24">
        <w:t>s’il y en avait d’autres de prévue</w:t>
      </w:r>
      <w:r w:rsidR="00325FCC">
        <w:t>. C’est le concept de l’exception d’inexécution</w:t>
      </w:r>
      <w:r w:rsidR="009E31C0">
        <w:t xml:space="preserve"> prévue à l’</w:t>
      </w:r>
      <w:r w:rsidR="0012789A" w:rsidRPr="00E26B90">
        <w:rPr>
          <w:highlight w:val="yellow"/>
        </w:rPr>
        <w:t xml:space="preserve">art. </w:t>
      </w:r>
      <w:r w:rsidR="00461A1B">
        <w:rPr>
          <w:highlight w:val="yellow"/>
        </w:rPr>
        <w:t xml:space="preserve">1591 </w:t>
      </w:r>
      <w:r w:rsidR="0012789A" w:rsidRPr="00E26B90">
        <w:rPr>
          <w:highlight w:val="yellow"/>
        </w:rPr>
        <w:t>C.c.Q.</w:t>
      </w:r>
    </w:p>
    <w:p w14:paraId="610E0693" w14:textId="77777777" w:rsidR="00754022" w:rsidRDefault="00754022" w:rsidP="00E26B90"/>
    <w:p w14:paraId="510F0A04" w14:textId="77777777" w:rsidR="009E6D0F" w:rsidRDefault="00754022" w:rsidP="00E26B90">
      <w:r>
        <w:t xml:space="preserve">La résolution du contrat </w:t>
      </w:r>
      <w:r w:rsidR="00B30074">
        <w:t>en matière mobilière sans poursuite judiciaire si l’</w:t>
      </w:r>
      <w:r w:rsidR="009F435A">
        <w:t>a</w:t>
      </w:r>
      <w:r w:rsidR="00B30074">
        <w:t>chete</w:t>
      </w:r>
      <w:r w:rsidR="00D25220">
        <w:t>u</w:t>
      </w:r>
      <w:r w:rsidR="00B30074">
        <w:t>r ne prend pas possession du bien dans un délai raisonnable</w:t>
      </w:r>
      <w:r w:rsidR="00BE14FA">
        <w:t>. Ce sera pa</w:t>
      </w:r>
      <w:r w:rsidR="00E1000A">
        <w:t>r</w:t>
      </w:r>
      <w:r w:rsidR="00BE14FA">
        <w:t xml:space="preserve"> l’objet d’une mise en demeure ou </w:t>
      </w:r>
      <w:r w:rsidR="00374E15">
        <w:t>si l’acheteur est en</w:t>
      </w:r>
      <w:r w:rsidR="007F2BFD">
        <w:t xml:space="preserve"> demeure de plein droit</w:t>
      </w:r>
      <w:r w:rsidR="00FA6FE7">
        <w:t xml:space="preserve"> </w:t>
      </w:r>
      <w:r w:rsidR="0012789A" w:rsidRPr="00754022">
        <w:t>(</w:t>
      </w:r>
      <w:r w:rsidR="0012789A" w:rsidRPr="00754022">
        <w:rPr>
          <w:highlight w:val="yellow"/>
        </w:rPr>
        <w:t xml:space="preserve">art. </w:t>
      </w:r>
      <w:r w:rsidR="007F2BFD">
        <w:rPr>
          <w:highlight w:val="yellow"/>
        </w:rPr>
        <w:t xml:space="preserve">1740 </w:t>
      </w:r>
      <w:r w:rsidR="0012789A" w:rsidRPr="00B30074">
        <w:rPr>
          <w:highlight w:val="yellow"/>
        </w:rPr>
        <w:t>C.c.Q.</w:t>
      </w:r>
      <w:r w:rsidR="00FA6FE7">
        <w:t>)</w:t>
      </w:r>
      <w:r w:rsidR="000C3E44">
        <w:t xml:space="preserve">. </w:t>
      </w:r>
      <w:r w:rsidR="00A609BB" w:rsidRPr="000F6852">
        <w:t>Un acheteur qui manifesterait</w:t>
      </w:r>
      <w:r w:rsidR="000F6852" w:rsidRPr="000F6852">
        <w:t xml:space="preserve"> clairement son intention de ne pas prendre </w:t>
      </w:r>
      <w:r w:rsidR="000F6852">
        <w:t>livraison ou payer le prix</w:t>
      </w:r>
      <w:r w:rsidR="000C7738">
        <w:t xml:space="preserve"> serait en demeure de plein droit</w:t>
      </w:r>
      <w:r w:rsidR="00A609BB" w:rsidRPr="000F6852">
        <w:t xml:space="preserve"> </w:t>
      </w:r>
      <w:r w:rsidR="0012789A" w:rsidRPr="000F6852">
        <w:t>(</w:t>
      </w:r>
      <w:r w:rsidR="0012789A" w:rsidRPr="000F6852">
        <w:rPr>
          <w:highlight w:val="yellow"/>
        </w:rPr>
        <w:t xml:space="preserve">art. </w:t>
      </w:r>
      <w:r w:rsidR="00FA6FE7" w:rsidRPr="000F6852">
        <w:rPr>
          <w:highlight w:val="yellow"/>
        </w:rPr>
        <w:t xml:space="preserve">1597, al.2 </w:t>
      </w:r>
      <w:r w:rsidR="0012789A" w:rsidRPr="000F6852">
        <w:rPr>
          <w:highlight w:val="yellow"/>
        </w:rPr>
        <w:t>C.c.Q.</w:t>
      </w:r>
      <w:r w:rsidR="0012789A" w:rsidRPr="000F6852">
        <w:t>)</w:t>
      </w:r>
      <w:r w:rsidR="009E6D0F">
        <w:t>.</w:t>
      </w:r>
    </w:p>
    <w:p w14:paraId="22B0D642" w14:textId="77777777" w:rsidR="009E6D0F" w:rsidRDefault="009E6D0F" w:rsidP="00E26B90"/>
    <w:p w14:paraId="4305E421" w14:textId="77777777" w:rsidR="009E6D0F" w:rsidRDefault="009E6D0F" w:rsidP="00E26B90"/>
    <w:p w14:paraId="2A7CD0E5" w14:textId="4C829175" w:rsidR="009E6D0F" w:rsidRDefault="001B1E15" w:rsidP="001B1E15">
      <w:pPr>
        <w:pStyle w:val="Heading2"/>
        <w:numPr>
          <w:ilvl w:val="0"/>
          <w:numId w:val="17"/>
        </w:numPr>
      </w:pPr>
      <w:r>
        <w:lastRenderedPageBreak/>
        <w:t xml:space="preserve">L’obligation de payer le prix </w:t>
      </w:r>
    </w:p>
    <w:p w14:paraId="4813205A" w14:textId="20CCF749" w:rsidR="00D33815" w:rsidRDefault="00D33815" w:rsidP="00D33815"/>
    <w:p w14:paraId="3749BA02" w14:textId="77777777" w:rsidR="006D1562" w:rsidRDefault="000C5F0F" w:rsidP="00E26B90">
      <w:r>
        <w:t xml:space="preserve">Le paiement d’une somme d’argent </w:t>
      </w:r>
      <w:r w:rsidR="0012789A" w:rsidRPr="000C5F0F">
        <w:t>(</w:t>
      </w:r>
      <w:r w:rsidR="0012789A" w:rsidRPr="000C5F0F">
        <w:rPr>
          <w:highlight w:val="yellow"/>
        </w:rPr>
        <w:t xml:space="preserve">art. </w:t>
      </w:r>
      <w:r>
        <w:rPr>
          <w:highlight w:val="yellow"/>
        </w:rPr>
        <w:t xml:space="preserve">1708 </w:t>
      </w:r>
      <w:r w:rsidR="0012789A" w:rsidRPr="000C5F0F">
        <w:rPr>
          <w:highlight w:val="yellow"/>
        </w:rPr>
        <w:t>C.c.Q.</w:t>
      </w:r>
      <w:r w:rsidR="0012789A" w:rsidRPr="000C5F0F">
        <w:t xml:space="preserve">) </w:t>
      </w:r>
      <w:r>
        <w:t>ou une autre forme de paiement comme par exemple par une dation en paiement</w:t>
      </w:r>
      <w:r w:rsidR="00D500B8">
        <w:t xml:space="preserve">. </w:t>
      </w:r>
    </w:p>
    <w:p w14:paraId="00E79729" w14:textId="77777777" w:rsidR="006D1562" w:rsidRDefault="006D1562" w:rsidP="00E26B90"/>
    <w:p w14:paraId="1F70E7AE" w14:textId="77777777" w:rsidR="00C60F01" w:rsidRDefault="00D500B8" w:rsidP="00E26B90">
      <w:r>
        <w:t xml:space="preserve">Le paiement se réalise en principe </w:t>
      </w:r>
      <w:r w:rsidR="00745AB8">
        <w:t>lors de la conclusion du contrat</w:t>
      </w:r>
      <w:r w:rsidR="005A05DF">
        <w:t xml:space="preserve">, soit aussi nommé le vente au comptant. </w:t>
      </w:r>
      <w:r w:rsidR="006D1562">
        <w:t>Si un délai est accordé pour payer le prix, ce ser</w:t>
      </w:r>
      <w:r w:rsidR="00D37077">
        <w:t xml:space="preserve">a </w:t>
      </w:r>
      <w:r w:rsidR="006D1562">
        <w:t>une vente à terme et n’affecte</w:t>
      </w:r>
      <w:r w:rsidR="007455F9">
        <w:t>ra</w:t>
      </w:r>
      <w:r w:rsidR="006D1562">
        <w:t xml:space="preserve"> que les obligations de l’acheteur</w:t>
      </w:r>
      <w:r w:rsidR="00D67853">
        <w:t xml:space="preserve"> et il est assujetti aux </w:t>
      </w:r>
      <w:r w:rsidR="0012789A" w:rsidRPr="00745AB8">
        <w:rPr>
          <w:highlight w:val="yellow"/>
        </w:rPr>
        <w:t>art</w:t>
      </w:r>
      <w:r w:rsidR="00D67853">
        <w:rPr>
          <w:highlight w:val="yellow"/>
        </w:rPr>
        <w:t>s</w:t>
      </w:r>
      <w:r w:rsidR="0012789A" w:rsidRPr="00745AB8">
        <w:rPr>
          <w:highlight w:val="yellow"/>
        </w:rPr>
        <w:t xml:space="preserve">. </w:t>
      </w:r>
      <w:r w:rsidR="00855DD8">
        <w:rPr>
          <w:highlight w:val="yellow"/>
        </w:rPr>
        <w:t>1</w:t>
      </w:r>
      <w:r w:rsidR="00D67853">
        <w:rPr>
          <w:highlight w:val="yellow"/>
        </w:rPr>
        <w:t>5</w:t>
      </w:r>
      <w:r w:rsidR="00855DD8">
        <w:rPr>
          <w:highlight w:val="yellow"/>
        </w:rPr>
        <w:t xml:space="preserve">08 </w:t>
      </w:r>
      <w:r w:rsidR="00250697">
        <w:rPr>
          <w:highlight w:val="yellow"/>
        </w:rPr>
        <w:t xml:space="preserve">et ss </w:t>
      </w:r>
      <w:r w:rsidR="0012789A" w:rsidRPr="005A05DF">
        <w:rPr>
          <w:highlight w:val="yellow"/>
        </w:rPr>
        <w:t>C.c.Q.</w:t>
      </w:r>
      <w:r w:rsidR="00045398">
        <w:t xml:space="preserve"> concernant l’échéance normal</w:t>
      </w:r>
      <w:r w:rsidR="00701704">
        <w:t>e</w:t>
      </w:r>
      <w:r w:rsidR="00045398">
        <w:t xml:space="preserve"> du terme</w:t>
      </w:r>
      <w:r w:rsidR="00701704">
        <w:t xml:space="preserve"> ou</w:t>
      </w:r>
      <w:r w:rsidR="00045398">
        <w:t xml:space="preserve"> la faculté de renoncer au </w:t>
      </w:r>
      <w:r w:rsidR="00701704">
        <w:t xml:space="preserve">bénéfice du </w:t>
      </w:r>
      <w:r w:rsidR="00045398">
        <w:t xml:space="preserve">terme ou encore </w:t>
      </w:r>
      <w:r w:rsidR="0032222B">
        <w:t>la déchéance d</w:t>
      </w:r>
      <w:r w:rsidR="002955F8">
        <w:t>e ce</w:t>
      </w:r>
      <w:r w:rsidR="0032222B">
        <w:t xml:space="preserve"> terme</w:t>
      </w:r>
      <w:r w:rsidR="00C60F01">
        <w:t>.</w:t>
      </w:r>
    </w:p>
    <w:p w14:paraId="1D66F7E3" w14:textId="77777777" w:rsidR="00C60F01" w:rsidRDefault="00C60F01" w:rsidP="00E26B90"/>
    <w:p w14:paraId="0F387FB5" w14:textId="77777777" w:rsidR="002D33E7" w:rsidRDefault="00C60F01" w:rsidP="00C60F01">
      <w:pPr>
        <w:pStyle w:val="ListParagraph"/>
        <w:numPr>
          <w:ilvl w:val="0"/>
          <w:numId w:val="1"/>
        </w:numPr>
      </w:pPr>
      <w:r>
        <w:t xml:space="preserve">Exemple : </w:t>
      </w:r>
      <w:r w:rsidR="00554805">
        <w:t xml:space="preserve">si un terme a été accordé en </w:t>
      </w:r>
      <w:r w:rsidR="00A7745C">
        <w:t>considération d’une protection d’</w:t>
      </w:r>
      <w:r w:rsidR="006B44EE">
        <w:t>a</w:t>
      </w:r>
      <w:r w:rsidR="00A7745C">
        <w:t>ssurance sur le bien</w:t>
      </w:r>
      <w:r w:rsidR="0046265A">
        <w:t>, il y a</w:t>
      </w:r>
      <w:r w:rsidR="00B42450">
        <w:t>u</w:t>
      </w:r>
      <w:r w:rsidR="0046265A">
        <w:t>ra une déchéance de ce te</w:t>
      </w:r>
      <w:r w:rsidR="00B42450">
        <w:t>rme s’il y a un défaut de souscrire à une telle assurance</w:t>
      </w:r>
      <w:r w:rsidR="0032222B">
        <w:t xml:space="preserve"> </w:t>
      </w:r>
      <w:r w:rsidR="0012789A" w:rsidRPr="00045398">
        <w:t>(</w:t>
      </w:r>
      <w:r w:rsidR="0012789A" w:rsidRPr="00C60F01">
        <w:rPr>
          <w:highlight w:val="yellow"/>
        </w:rPr>
        <w:t xml:space="preserve">art. </w:t>
      </w:r>
      <w:r w:rsidR="0046265A">
        <w:rPr>
          <w:highlight w:val="yellow"/>
        </w:rPr>
        <w:t>1514, al</w:t>
      </w:r>
      <w:r w:rsidR="00304117">
        <w:rPr>
          <w:highlight w:val="yellow"/>
        </w:rPr>
        <w:t xml:space="preserve">.2 </w:t>
      </w:r>
      <w:r w:rsidR="0012789A" w:rsidRPr="00A7745C">
        <w:rPr>
          <w:highlight w:val="yellow"/>
        </w:rPr>
        <w:t>C.c.Q.</w:t>
      </w:r>
      <w:r w:rsidR="0012789A" w:rsidRPr="00A7745C">
        <w:t>)</w:t>
      </w:r>
    </w:p>
    <w:p w14:paraId="0BA0CA3B" w14:textId="77777777" w:rsidR="002D33E7" w:rsidRPr="00DA5F2D" w:rsidRDefault="002D33E7" w:rsidP="002D33E7"/>
    <w:p w14:paraId="210A80A9" w14:textId="61A3CAA4" w:rsidR="00B920C3" w:rsidRDefault="002D33E7" w:rsidP="002D33E7">
      <w:r w:rsidRPr="00A905CA">
        <w:t>La LPC encadre très</w:t>
      </w:r>
      <w:r w:rsidR="00132E46" w:rsidRPr="00A905CA">
        <w:t xml:space="preserve"> </w:t>
      </w:r>
      <w:r w:rsidRPr="00A905CA">
        <w:t xml:space="preserve">strictement la déchéance du terme aux </w:t>
      </w:r>
      <w:r w:rsidR="0012789A" w:rsidRPr="00A905CA">
        <w:rPr>
          <w:highlight w:val="yellow"/>
        </w:rPr>
        <w:t>art</w:t>
      </w:r>
      <w:r w:rsidRPr="00A905CA">
        <w:rPr>
          <w:highlight w:val="yellow"/>
        </w:rPr>
        <w:t>s</w:t>
      </w:r>
      <w:r w:rsidR="0012789A" w:rsidRPr="00A905CA">
        <w:rPr>
          <w:highlight w:val="yellow"/>
        </w:rPr>
        <w:t xml:space="preserve">. </w:t>
      </w:r>
      <w:r w:rsidRPr="00A905CA">
        <w:rPr>
          <w:highlight w:val="yellow"/>
        </w:rPr>
        <w:t>66-110 LPC</w:t>
      </w:r>
      <w:r w:rsidR="00BF2377">
        <w:t>.</w:t>
      </w:r>
      <w:r w:rsidR="0012789A" w:rsidRPr="00A905CA">
        <w:t xml:space="preserve"> </w:t>
      </w:r>
    </w:p>
    <w:p w14:paraId="53BCCFD7" w14:textId="77777777" w:rsidR="00B920C3" w:rsidRDefault="00B920C3" w:rsidP="002D33E7"/>
    <w:p w14:paraId="1D9DDED2" w14:textId="77777777" w:rsidR="00412DC6" w:rsidRDefault="00283495" w:rsidP="00283495">
      <w:pPr>
        <w:pStyle w:val="ListParagraph"/>
        <w:numPr>
          <w:ilvl w:val="0"/>
          <w:numId w:val="19"/>
        </w:numPr>
      </w:pPr>
      <w:r>
        <w:t xml:space="preserve">Les recours et sanctions </w:t>
      </w:r>
      <w:r w:rsidR="007E14A8">
        <w:t xml:space="preserve">en lien avec une vente immobilière </w:t>
      </w:r>
    </w:p>
    <w:p w14:paraId="738A35F0" w14:textId="77777777" w:rsidR="00412DC6" w:rsidRDefault="00412DC6" w:rsidP="00412DC6"/>
    <w:p w14:paraId="1042CD0A" w14:textId="77777777" w:rsidR="00E71410" w:rsidRDefault="002E0F2B" w:rsidP="00412DC6">
      <w:r>
        <w:t xml:space="preserve">La résolution de la vente immobilière est assujettie à plusieurs conditions </w:t>
      </w:r>
      <w:r w:rsidR="00E71410">
        <w:t>qui font le lien avec la prise en paiement en matière de recours hypothécaire :</w:t>
      </w:r>
    </w:p>
    <w:p w14:paraId="13DF5C9D" w14:textId="77777777" w:rsidR="00E71410" w:rsidRDefault="00E71410" w:rsidP="00412DC6"/>
    <w:p w14:paraId="52787BCC" w14:textId="77777777" w:rsidR="00BD7BC4" w:rsidRDefault="007059F8" w:rsidP="00E71410">
      <w:pPr>
        <w:pStyle w:val="ListParagraph"/>
        <w:numPr>
          <w:ilvl w:val="0"/>
          <w:numId w:val="20"/>
        </w:numPr>
      </w:pPr>
      <w:r>
        <w:t>L’acte de vente immobilière doit comporter une clause résolutoire expresse et le manquement reproché doit être visé par cette clause</w:t>
      </w:r>
      <w:r w:rsidR="00E71410">
        <w:t xml:space="preserve"> </w:t>
      </w:r>
      <w:r w:rsidR="0012789A" w:rsidRPr="00A905CA">
        <w:t>(</w:t>
      </w:r>
      <w:r w:rsidR="0012789A" w:rsidRPr="00E71410">
        <w:rPr>
          <w:highlight w:val="yellow"/>
        </w:rPr>
        <w:t xml:space="preserve">art. </w:t>
      </w:r>
      <w:r>
        <w:rPr>
          <w:highlight w:val="yellow"/>
        </w:rPr>
        <w:t xml:space="preserve">1743 </w:t>
      </w:r>
      <w:r w:rsidR="0012789A" w:rsidRPr="00E71410">
        <w:rPr>
          <w:highlight w:val="yellow"/>
        </w:rPr>
        <w:t>C.c.Q.</w:t>
      </w:r>
      <w:r w:rsidR="0012789A" w:rsidRPr="002E0F2B">
        <w:t>)</w:t>
      </w:r>
    </w:p>
    <w:p w14:paraId="28D420FD" w14:textId="77777777" w:rsidR="00A5536D" w:rsidRDefault="00572A96" w:rsidP="008A5507">
      <w:pPr>
        <w:pStyle w:val="ListParagraph"/>
        <w:numPr>
          <w:ilvl w:val="0"/>
          <w:numId w:val="20"/>
        </w:numPr>
      </w:pPr>
      <w:r w:rsidRPr="00B55D03">
        <w:t>Le vendeur doit exercer le droit de r</w:t>
      </w:r>
      <w:r w:rsidR="005E62FD">
        <w:t>é</w:t>
      </w:r>
      <w:r w:rsidRPr="00B55D03">
        <w:t xml:space="preserve">solution dans les 5 ans de la vente </w:t>
      </w:r>
      <w:r w:rsidR="0012789A" w:rsidRPr="00B55D03">
        <w:t>(</w:t>
      </w:r>
      <w:r w:rsidR="0012789A" w:rsidRPr="00B55D03">
        <w:rPr>
          <w:highlight w:val="yellow"/>
        </w:rPr>
        <w:t xml:space="preserve">art. </w:t>
      </w:r>
      <w:r w:rsidR="00B55D03">
        <w:rPr>
          <w:highlight w:val="yellow"/>
        </w:rPr>
        <w:t xml:space="preserve">1742, al.1 </w:t>
      </w:r>
      <w:r w:rsidR="0012789A" w:rsidRPr="00B55D03">
        <w:rPr>
          <w:highlight w:val="yellow"/>
        </w:rPr>
        <w:t>C.c.Q.</w:t>
      </w:r>
      <w:r w:rsidR="0012789A" w:rsidRPr="00B55D03">
        <w:t>)</w:t>
      </w:r>
      <w:r w:rsidR="005E62FD">
        <w:t> : il s’agit d’un délai de déchéance</w:t>
      </w:r>
      <w:r w:rsidR="001B7C56">
        <w:t xml:space="preserve"> et l’a</w:t>
      </w:r>
      <w:r w:rsidR="0012789A" w:rsidRPr="008A5507">
        <w:rPr>
          <w:highlight w:val="yellow"/>
        </w:rPr>
        <w:t xml:space="preserve">rt. </w:t>
      </w:r>
      <w:r w:rsidR="008A5507">
        <w:rPr>
          <w:highlight w:val="yellow"/>
        </w:rPr>
        <w:t>28</w:t>
      </w:r>
      <w:r w:rsidR="005A29E6">
        <w:rPr>
          <w:highlight w:val="yellow"/>
        </w:rPr>
        <w:t>78</w:t>
      </w:r>
      <w:r w:rsidR="001B7C56">
        <w:rPr>
          <w:highlight w:val="yellow"/>
        </w:rPr>
        <w:t>, al.2</w:t>
      </w:r>
      <w:r w:rsidR="005A29E6">
        <w:rPr>
          <w:highlight w:val="yellow"/>
        </w:rPr>
        <w:t xml:space="preserve"> </w:t>
      </w:r>
      <w:r w:rsidR="0012789A" w:rsidRPr="008A5507">
        <w:rPr>
          <w:highlight w:val="yellow"/>
        </w:rPr>
        <w:t>C.c.Q.</w:t>
      </w:r>
      <w:r w:rsidR="0012789A" w:rsidRPr="008A5507">
        <w:t>)</w:t>
      </w:r>
    </w:p>
    <w:p w14:paraId="65D399F7" w14:textId="6ACE0368" w:rsidR="002502A4" w:rsidRDefault="00A5536D" w:rsidP="008A5507">
      <w:pPr>
        <w:pStyle w:val="ListParagraph"/>
        <w:numPr>
          <w:ilvl w:val="0"/>
          <w:numId w:val="20"/>
        </w:numPr>
      </w:pPr>
      <w:r>
        <w:t xml:space="preserve">Le vendeur doit donner à l’acheteur un préavis de remédier au défaut dans les 60 jours </w:t>
      </w:r>
      <w:r w:rsidR="00791F7C">
        <w:t xml:space="preserve">de l’inscription du préavis au registre foncier </w:t>
      </w:r>
      <w:r w:rsidR="0012789A" w:rsidRPr="00A5536D">
        <w:t>(</w:t>
      </w:r>
      <w:r w:rsidR="0012789A" w:rsidRPr="00A5536D">
        <w:rPr>
          <w:highlight w:val="yellow"/>
        </w:rPr>
        <w:t>art</w:t>
      </w:r>
      <w:r w:rsidR="00861258">
        <w:rPr>
          <w:highlight w:val="yellow"/>
        </w:rPr>
        <w:t>s</w:t>
      </w:r>
      <w:r w:rsidR="0012789A" w:rsidRPr="00A5536D">
        <w:rPr>
          <w:highlight w:val="yellow"/>
        </w:rPr>
        <w:t xml:space="preserve">. </w:t>
      </w:r>
      <w:r w:rsidR="00396D08">
        <w:rPr>
          <w:highlight w:val="yellow"/>
        </w:rPr>
        <w:t>1743</w:t>
      </w:r>
      <w:r w:rsidR="00861258">
        <w:rPr>
          <w:highlight w:val="yellow"/>
        </w:rPr>
        <w:t xml:space="preserve">, al. 1 et </w:t>
      </w:r>
      <w:r w:rsidR="00417508">
        <w:rPr>
          <w:highlight w:val="yellow"/>
        </w:rPr>
        <w:t xml:space="preserve">les arts. </w:t>
      </w:r>
      <w:r w:rsidR="00861258">
        <w:rPr>
          <w:highlight w:val="yellow"/>
        </w:rPr>
        <w:t xml:space="preserve">2757-2760 </w:t>
      </w:r>
      <w:r w:rsidR="0012789A" w:rsidRPr="00861258">
        <w:rPr>
          <w:highlight w:val="yellow"/>
        </w:rPr>
        <w:t>C.c.Q.</w:t>
      </w:r>
      <w:r w:rsidR="0012789A" w:rsidRPr="00861258">
        <w:t>)</w:t>
      </w:r>
    </w:p>
    <w:p w14:paraId="7C9EDF4D" w14:textId="77777777" w:rsidR="001A0AE4" w:rsidRDefault="005D1C91" w:rsidP="008A5507">
      <w:pPr>
        <w:pStyle w:val="ListParagraph"/>
        <w:numPr>
          <w:ilvl w:val="0"/>
          <w:numId w:val="20"/>
        </w:numPr>
      </w:pPr>
      <w:r>
        <w:t xml:space="preserve">Si l’acheteur a déjà acquitté </w:t>
      </w:r>
      <w:r w:rsidRPr="008F6A8F">
        <w:rPr>
          <w:u w:val="single"/>
        </w:rPr>
        <w:t>au moins la moitié de sa dette</w:t>
      </w:r>
      <w:r>
        <w:t xml:space="preserve"> au moment de l’inscription du préavis et qu’il refuse un acte de gré à gré</w:t>
      </w:r>
      <w:r w:rsidR="005F48EB">
        <w:t xml:space="preserve"> (la résolution)</w:t>
      </w:r>
      <w:r>
        <w:t xml:space="preserve">, le vendeur doit obtenir l’autorisation du tribunal </w:t>
      </w:r>
      <w:r w:rsidR="0012789A" w:rsidRPr="005D1C91">
        <w:t>(</w:t>
      </w:r>
      <w:r w:rsidR="0012789A" w:rsidRPr="005D1C91">
        <w:rPr>
          <w:highlight w:val="yellow"/>
        </w:rPr>
        <w:t>art</w:t>
      </w:r>
      <w:r w:rsidR="00113E3B">
        <w:rPr>
          <w:highlight w:val="yellow"/>
        </w:rPr>
        <w:t>s</w:t>
      </w:r>
      <w:r w:rsidR="0012789A" w:rsidRPr="005D1C91">
        <w:rPr>
          <w:highlight w:val="yellow"/>
        </w:rPr>
        <w:t xml:space="preserve">. </w:t>
      </w:r>
      <w:r w:rsidR="00076320">
        <w:rPr>
          <w:highlight w:val="yellow"/>
        </w:rPr>
        <w:t xml:space="preserve">2778 </w:t>
      </w:r>
      <w:r w:rsidR="00113E3B">
        <w:rPr>
          <w:highlight w:val="yellow"/>
        </w:rPr>
        <w:t xml:space="preserve">et 1743, al.1 </w:t>
      </w:r>
      <w:r w:rsidR="0012789A" w:rsidRPr="005D1C91">
        <w:rPr>
          <w:highlight w:val="yellow"/>
        </w:rPr>
        <w:t>C.c.Q.</w:t>
      </w:r>
      <w:r w:rsidR="001A0AE4">
        <w:t>)</w:t>
      </w:r>
    </w:p>
    <w:p w14:paraId="1D04BBA6" w14:textId="59675F8D" w:rsidR="001A0AE4" w:rsidRDefault="001A0AE4" w:rsidP="001A0AE4"/>
    <w:p w14:paraId="6DC997FC" w14:textId="7CB96AE9" w:rsidR="001A0AE4" w:rsidRDefault="001A0AE4" w:rsidP="00E85C22">
      <w:pPr>
        <w:jc w:val="center"/>
      </w:pPr>
      <w:r>
        <w:t>Les restrictions particulièr</w:t>
      </w:r>
      <w:r w:rsidR="00E85C22">
        <w:t>e</w:t>
      </w:r>
      <w:r>
        <w:t>s :</w:t>
      </w:r>
    </w:p>
    <w:p w14:paraId="3435759B" w14:textId="77777777" w:rsidR="001A0AE4" w:rsidRDefault="001A0AE4" w:rsidP="001A0AE4"/>
    <w:p w14:paraId="2BE10CFF" w14:textId="2F11F795" w:rsidR="00734D2A" w:rsidRDefault="00E85C22" w:rsidP="00E85C22">
      <w:pPr>
        <w:pStyle w:val="ListParagraph"/>
        <w:numPr>
          <w:ilvl w:val="0"/>
          <w:numId w:val="21"/>
        </w:numPr>
      </w:pPr>
      <w:r>
        <w:t xml:space="preserve">L’acheteur, le sous-acquéreur ou toute personne intéressée peut empêcher la résolution en remédiant au défaut et en payant les frais engagés par le vendeur </w:t>
      </w:r>
      <w:r w:rsidR="0012789A" w:rsidRPr="00E85C22">
        <w:t>(</w:t>
      </w:r>
      <w:r w:rsidR="0012789A" w:rsidRPr="00E85C22">
        <w:rPr>
          <w:highlight w:val="yellow"/>
        </w:rPr>
        <w:t xml:space="preserve">art. </w:t>
      </w:r>
      <w:r w:rsidR="00D325DE">
        <w:rPr>
          <w:highlight w:val="yellow"/>
        </w:rPr>
        <w:t xml:space="preserve">1743, al.1 </w:t>
      </w:r>
      <w:r w:rsidR="00EC5FC9">
        <w:rPr>
          <w:highlight w:val="yellow"/>
        </w:rPr>
        <w:t xml:space="preserve">et </w:t>
      </w:r>
      <w:r w:rsidR="00EB686E">
        <w:rPr>
          <w:highlight w:val="yellow"/>
        </w:rPr>
        <w:t xml:space="preserve">2761 </w:t>
      </w:r>
      <w:r w:rsidR="0012789A" w:rsidRPr="00E85C22">
        <w:rPr>
          <w:highlight w:val="yellow"/>
        </w:rPr>
        <w:t>C.c.Q.</w:t>
      </w:r>
      <w:r w:rsidR="0012789A" w:rsidRPr="00E85C22">
        <w:t>)</w:t>
      </w:r>
      <w:r w:rsidR="00363AB6">
        <w:t xml:space="preserve">. </w:t>
      </w:r>
    </w:p>
    <w:p w14:paraId="55027CBF" w14:textId="77777777" w:rsidR="00D91E39" w:rsidRDefault="00734D2A" w:rsidP="006C2A64">
      <w:pPr>
        <w:pStyle w:val="ListParagraph"/>
        <w:numPr>
          <w:ilvl w:val="0"/>
          <w:numId w:val="21"/>
        </w:numPr>
      </w:pPr>
      <w:r>
        <w:t>L’acheteur, le sous-acquéreur ou tout</w:t>
      </w:r>
      <w:r w:rsidR="00AC65B3">
        <w:t xml:space="preserve"> créancier</w:t>
      </w:r>
      <w:r w:rsidR="004727A3">
        <w:t xml:space="preserve"> postérieur au vendeur peut exiger que le vendeur procède à une vente de l’immeuble ou le fasse vendre sous contrôle de justice</w:t>
      </w:r>
      <w:r w:rsidR="006C2A64">
        <w:t xml:space="preserve"> </w:t>
      </w:r>
      <w:r w:rsidR="0012789A" w:rsidRPr="00734D2A">
        <w:t>(</w:t>
      </w:r>
      <w:r w:rsidR="0012789A" w:rsidRPr="006C2A64">
        <w:rPr>
          <w:highlight w:val="yellow"/>
        </w:rPr>
        <w:t xml:space="preserve">art. </w:t>
      </w:r>
      <w:r w:rsidR="006C2A64">
        <w:rPr>
          <w:highlight w:val="yellow"/>
        </w:rPr>
        <w:t>2779</w:t>
      </w:r>
      <w:r w:rsidR="00C43B25">
        <w:rPr>
          <w:highlight w:val="yellow"/>
        </w:rPr>
        <w:t xml:space="preserve"> </w:t>
      </w:r>
      <w:r w:rsidR="0012789A" w:rsidRPr="006C2A64">
        <w:rPr>
          <w:highlight w:val="yellow"/>
        </w:rPr>
        <w:t>C.c.Q.</w:t>
      </w:r>
      <w:r w:rsidR="0012789A" w:rsidRPr="00734D2A">
        <w:t>)</w:t>
      </w:r>
    </w:p>
    <w:p w14:paraId="09457DF0" w14:textId="77777777" w:rsidR="00D91E39" w:rsidRPr="00DA5F2D" w:rsidRDefault="00D91E39" w:rsidP="00D91E39"/>
    <w:p w14:paraId="1B013946" w14:textId="77777777" w:rsidR="00580DB2" w:rsidRDefault="00D91E39" w:rsidP="00D91E39">
      <w:r w:rsidRPr="009421DF">
        <w:t>La résolution</w:t>
      </w:r>
      <w:r w:rsidR="009421DF" w:rsidRPr="009421DF">
        <w:t xml:space="preserve"> mène à l’anéantissement rétroactif du contrat de vente</w:t>
      </w:r>
      <w:r w:rsidRPr="009421DF">
        <w:t xml:space="preserve"> </w:t>
      </w:r>
      <w:r w:rsidR="00DC7427">
        <w:t>et affecte tout le monde</w:t>
      </w:r>
      <w:r w:rsidR="00580DB2">
        <w:t>. Le droit impose des conditions et des aménagements strictes : à la publicité des droits et au bail du logement</w:t>
      </w:r>
    </w:p>
    <w:p w14:paraId="06DABA8B" w14:textId="77777777" w:rsidR="00580DB2" w:rsidRDefault="00580DB2" w:rsidP="00D91E39"/>
    <w:p w14:paraId="61AED515" w14:textId="5F37EC80" w:rsidR="000775A1" w:rsidRDefault="000775A1" w:rsidP="000775A1">
      <w:pPr>
        <w:pStyle w:val="ListParagraph"/>
        <w:numPr>
          <w:ilvl w:val="0"/>
          <w:numId w:val="22"/>
        </w:numPr>
      </w:pPr>
      <w:r>
        <w:t xml:space="preserve">Les recours et sanctions en lien avec une vente mobilière </w:t>
      </w:r>
    </w:p>
    <w:p w14:paraId="119B0C9A" w14:textId="4468C718" w:rsidR="00580DB2" w:rsidRDefault="00580DB2" w:rsidP="000775A1"/>
    <w:p w14:paraId="6D8EE7D6" w14:textId="7995E1D3" w:rsidR="00844769" w:rsidRDefault="000775A1" w:rsidP="00D91E39">
      <w:r>
        <w:t xml:space="preserve">C’est beaucoup plus simple </w:t>
      </w:r>
      <w:r w:rsidR="00007833">
        <w:t xml:space="preserve">et géré par </w:t>
      </w:r>
      <w:r w:rsidR="00007833" w:rsidRPr="00EA7D5D">
        <w:rPr>
          <w:highlight w:val="yellow"/>
        </w:rPr>
        <w:t>l’art. 1741 C.c.Q</w:t>
      </w:r>
      <w:r w:rsidR="00007833">
        <w:t>.</w:t>
      </w:r>
      <w:r w:rsidR="00DD4599">
        <w:t>, qui lui prévoit que la résolution et la rev</w:t>
      </w:r>
      <w:r w:rsidR="001A1F07">
        <w:t>en</w:t>
      </w:r>
      <w:r w:rsidR="00DD4599">
        <w:t xml:space="preserve">dication </w:t>
      </w:r>
      <w:r w:rsidR="00EA7D5D">
        <w:t xml:space="preserve">du bien vendu peut avoir lieu en autant qu’il </w:t>
      </w:r>
      <w:r w:rsidR="00295137">
        <w:t xml:space="preserve">s’agisse d’un vente au comptant et non d’une vente à terme. </w:t>
      </w:r>
      <w:r w:rsidR="004F61B8">
        <w:t xml:space="preserve">Le bien </w:t>
      </w:r>
      <w:r w:rsidR="001873A3">
        <w:t xml:space="preserve">meuble </w:t>
      </w:r>
      <w:r w:rsidR="004F61B8">
        <w:t>doit être entier et dans le même état</w:t>
      </w:r>
      <w:r w:rsidR="00F82CC9">
        <w:t xml:space="preserve"> pas opposé d’un bien incorporé à un </w:t>
      </w:r>
      <w:r w:rsidR="00F82CC9">
        <w:lastRenderedPageBreak/>
        <w:t>immeuble et ayant perdu son individualité</w:t>
      </w:r>
      <w:r w:rsidR="00B026BB">
        <w:t xml:space="preserve">. </w:t>
      </w:r>
      <w:r w:rsidR="00E11DC8">
        <w:t>L’</w:t>
      </w:r>
      <w:r w:rsidR="0012789A" w:rsidRPr="009421DF">
        <w:rPr>
          <w:highlight w:val="yellow"/>
        </w:rPr>
        <w:t xml:space="preserve">art. </w:t>
      </w:r>
      <w:r w:rsidR="00E11DC8">
        <w:rPr>
          <w:highlight w:val="yellow"/>
        </w:rPr>
        <w:t xml:space="preserve">1741 </w:t>
      </w:r>
      <w:r w:rsidR="0012789A" w:rsidRPr="00580DB2">
        <w:rPr>
          <w:highlight w:val="yellow"/>
        </w:rPr>
        <w:t>C.c.Q.</w:t>
      </w:r>
      <w:r w:rsidR="00E11DC8">
        <w:t xml:space="preserve"> exige également que le résolution soit fait dans les 30 jours </w:t>
      </w:r>
      <w:r w:rsidR="008E1A47">
        <w:t>de la délivrance, que l’acheteur soit en demeure</w:t>
      </w:r>
      <w:r w:rsidR="004C7D80">
        <w:t>, soit</w:t>
      </w:r>
      <w:r w:rsidR="008E1A47">
        <w:t xml:space="preserve"> </w:t>
      </w:r>
      <w:r w:rsidR="00E91627">
        <w:t>de plein droit ou dans le délai raisonnable énoncé dans la lettre de mise en demeure</w:t>
      </w:r>
      <w:r w:rsidR="00294EA6">
        <w:t xml:space="preserve"> et finalement</w:t>
      </w:r>
      <w:r w:rsidR="00675783">
        <w:t xml:space="preserve">, </w:t>
      </w:r>
      <w:r w:rsidR="00294EA6">
        <w:t xml:space="preserve">que le bien ne soit </w:t>
      </w:r>
      <w:r w:rsidR="00705220">
        <w:t>pas</w:t>
      </w:r>
      <w:r w:rsidR="00294EA6">
        <w:t xml:space="preserve"> entre les mains d’un tiers ou d’un créancier hypothécaire qui en aurait obtenu le délaissement</w:t>
      </w:r>
      <w:r w:rsidR="006E1BB6">
        <w:t xml:space="preserve">. </w:t>
      </w:r>
    </w:p>
    <w:p w14:paraId="088170ED" w14:textId="77777777" w:rsidR="00844769" w:rsidRDefault="00844769" w:rsidP="00D91E39"/>
    <w:p w14:paraId="5B66D98C" w14:textId="77777777" w:rsidR="003A51D8" w:rsidRDefault="006E1BB6" w:rsidP="00D91E39">
      <w:r>
        <w:t>Si l’une des conditions de l’</w:t>
      </w:r>
      <w:r w:rsidRPr="006E1BB6">
        <w:rPr>
          <w:highlight w:val="yellow"/>
        </w:rPr>
        <w:t>art.1741 C</w:t>
      </w:r>
      <w:r w:rsidR="0012789A" w:rsidRPr="006E1BB6">
        <w:rPr>
          <w:highlight w:val="yellow"/>
        </w:rPr>
        <w:t>.c.Q.</w:t>
      </w:r>
      <w:r w:rsidRPr="006E1BB6">
        <w:t xml:space="preserve"> n’est pas remplie</w:t>
      </w:r>
      <w:r>
        <w:t>, le vendeur devra</w:t>
      </w:r>
      <w:r w:rsidR="00E81049">
        <w:t xml:space="preserve"> alors obtenir le résolution par le biais de l’</w:t>
      </w:r>
      <w:r w:rsidR="0012789A" w:rsidRPr="006E1BB6">
        <w:rPr>
          <w:highlight w:val="yellow"/>
        </w:rPr>
        <w:t xml:space="preserve">art. </w:t>
      </w:r>
      <w:r w:rsidR="00E81049">
        <w:rPr>
          <w:highlight w:val="yellow"/>
        </w:rPr>
        <w:t xml:space="preserve">1605 </w:t>
      </w:r>
      <w:r w:rsidR="0012789A" w:rsidRPr="00E81049">
        <w:rPr>
          <w:highlight w:val="yellow"/>
        </w:rPr>
        <w:t>C.c.Q.</w:t>
      </w:r>
      <w:r w:rsidR="00E81049">
        <w:t xml:space="preserve">, soit d’une mise en demeure </w:t>
      </w:r>
      <w:r w:rsidR="00AC7279">
        <w:t xml:space="preserve">avec un </w:t>
      </w:r>
      <w:r w:rsidR="00E81049">
        <w:t xml:space="preserve">délai raisonnable </w:t>
      </w:r>
      <w:r w:rsidR="002B6942">
        <w:t xml:space="preserve">pour remédier au défaut à moins qu’il soit en demeure de plein droit. </w:t>
      </w:r>
    </w:p>
    <w:p w14:paraId="193D3765" w14:textId="77777777" w:rsidR="003A51D8" w:rsidRDefault="003A51D8" w:rsidP="00D91E39"/>
    <w:p w14:paraId="463F8455" w14:textId="79A2BF22" w:rsidR="002723A2" w:rsidRDefault="003A51D8" w:rsidP="00D91E39">
      <w:r>
        <w:t>À noter que l</w:t>
      </w:r>
      <w:r w:rsidR="001348CA">
        <w:t>e recours de l’</w:t>
      </w:r>
      <w:r w:rsidR="0012789A" w:rsidRPr="00347D22">
        <w:rPr>
          <w:highlight w:val="yellow"/>
        </w:rPr>
        <w:t xml:space="preserve">art. </w:t>
      </w:r>
      <w:r w:rsidR="001348CA">
        <w:rPr>
          <w:highlight w:val="yellow"/>
        </w:rPr>
        <w:t xml:space="preserve">1605 </w:t>
      </w:r>
      <w:r w:rsidR="0012789A" w:rsidRPr="001348CA">
        <w:rPr>
          <w:highlight w:val="yellow"/>
        </w:rPr>
        <w:t>C.c.Q.</w:t>
      </w:r>
      <w:r w:rsidR="001348CA" w:rsidRPr="001348CA">
        <w:t xml:space="preserve"> est </w:t>
      </w:r>
      <w:r w:rsidR="00E34FC8">
        <w:t xml:space="preserve">beaucoup </w:t>
      </w:r>
      <w:r w:rsidR="001348CA" w:rsidRPr="001348CA">
        <w:t xml:space="preserve">moins </w:t>
      </w:r>
      <w:r w:rsidR="001348CA">
        <w:t>efficace que celui de l’</w:t>
      </w:r>
      <w:r w:rsidR="0012789A" w:rsidRPr="001348CA">
        <w:rPr>
          <w:highlight w:val="yellow"/>
        </w:rPr>
        <w:t xml:space="preserve">art. </w:t>
      </w:r>
      <w:r w:rsidR="001348CA">
        <w:rPr>
          <w:highlight w:val="yellow"/>
        </w:rPr>
        <w:t xml:space="preserve">1741 </w:t>
      </w:r>
      <w:r w:rsidR="0012789A" w:rsidRPr="001348CA">
        <w:rPr>
          <w:highlight w:val="yellow"/>
        </w:rPr>
        <w:t>C.c.Q.</w:t>
      </w:r>
      <w:r w:rsidR="001348CA" w:rsidRPr="001348CA">
        <w:t xml:space="preserve"> puisqu’il ne s’</w:t>
      </w:r>
      <w:r w:rsidR="001348CA">
        <w:t>agit pas du même droit de revendication</w:t>
      </w:r>
      <w:r w:rsidR="0012789A" w:rsidRPr="001348CA">
        <w:t xml:space="preserve"> </w:t>
      </w:r>
      <w:r w:rsidR="00705F1A">
        <w:t>contre les tiers qu’à</w:t>
      </w:r>
      <w:r w:rsidR="00454280">
        <w:t xml:space="preserve"> </w:t>
      </w:r>
      <w:r w:rsidR="00705F1A" w:rsidRPr="00454280">
        <w:rPr>
          <w:highlight w:val="yellow"/>
        </w:rPr>
        <w:t>l’art. 1741 C.c.Q.</w:t>
      </w:r>
      <w:r w:rsidR="007B2485">
        <w:t xml:space="preserve"> </w:t>
      </w:r>
      <w:r w:rsidR="00375E95">
        <w:t>L</w:t>
      </w:r>
      <w:r w:rsidR="00751EDC">
        <w:t>a</w:t>
      </w:r>
      <w:r w:rsidR="00C53A59">
        <w:t xml:space="preserve"> notion de la restitution des prestations de l’</w:t>
      </w:r>
      <w:r w:rsidR="0012789A" w:rsidRPr="001348CA">
        <w:rPr>
          <w:highlight w:val="yellow"/>
        </w:rPr>
        <w:t xml:space="preserve">art. </w:t>
      </w:r>
      <w:r w:rsidR="00C53A59">
        <w:rPr>
          <w:highlight w:val="yellow"/>
        </w:rPr>
        <w:t xml:space="preserve">1699 </w:t>
      </w:r>
      <w:r w:rsidR="0012789A" w:rsidRPr="001348CA">
        <w:rPr>
          <w:highlight w:val="yellow"/>
        </w:rPr>
        <w:t>C.c.Q.</w:t>
      </w:r>
      <w:r w:rsidR="00A2591F">
        <w:t xml:space="preserve"> va s’appliquer sans compter l’application des règles particulières de</w:t>
      </w:r>
      <w:r w:rsidR="002723A2">
        <w:t xml:space="preserve"> la loi sur les banques ou encore de la loi sur la faillite.</w:t>
      </w:r>
    </w:p>
    <w:p w14:paraId="47191161" w14:textId="77777777" w:rsidR="002723A2" w:rsidRDefault="002723A2" w:rsidP="00D91E39"/>
    <w:p w14:paraId="190BF85E" w14:textId="22C90EF5" w:rsidR="00472007" w:rsidRDefault="00472007" w:rsidP="00472007">
      <w:pPr>
        <w:pStyle w:val="Heading2"/>
        <w:numPr>
          <w:ilvl w:val="0"/>
          <w:numId w:val="22"/>
        </w:numPr>
      </w:pPr>
      <w:r>
        <w:t xml:space="preserve">L’encadrement particulier de la vente à terme et de la vente à tempérament </w:t>
      </w:r>
    </w:p>
    <w:p w14:paraId="7941659E" w14:textId="77777777" w:rsidR="00472007" w:rsidRDefault="00472007" w:rsidP="00D91E39"/>
    <w:p w14:paraId="079DCB9D" w14:textId="77777777" w:rsidR="006B36E8" w:rsidRDefault="00472007" w:rsidP="00D91E39">
      <w:r w:rsidRPr="00EA1441">
        <w:t xml:space="preserve">Le défaut de payer </w:t>
      </w:r>
      <w:r w:rsidR="002C431F">
        <w:t>le prix peut entrainer des conséquences importantes que la loi règlement en protégeant l’acheteur.</w:t>
      </w:r>
      <w:r w:rsidR="00DE2A07">
        <w:t xml:space="preserve"> </w:t>
      </w:r>
    </w:p>
    <w:p w14:paraId="452D7955" w14:textId="77777777" w:rsidR="006B36E8" w:rsidRDefault="006B36E8" w:rsidP="00D91E39"/>
    <w:p w14:paraId="463C0841" w14:textId="385CF583" w:rsidR="006D0D39" w:rsidRDefault="002C431F" w:rsidP="00D91E39">
      <w:r>
        <w:t>On retrouve princip</w:t>
      </w:r>
      <w:r w:rsidR="00DE2A07">
        <w:t>a</w:t>
      </w:r>
      <w:r>
        <w:t>lement ces protections dans la LPC</w:t>
      </w:r>
      <w:r w:rsidR="006B36E8">
        <w:t> : formaliste</w:t>
      </w:r>
      <w:r w:rsidR="00DA32C9">
        <w:t xml:space="preserve"> </w:t>
      </w:r>
      <w:r w:rsidR="008861F4">
        <w:t>du contrat</w:t>
      </w:r>
      <w:r w:rsidR="006B36E8">
        <w:t xml:space="preserve"> exigé dans l</w:t>
      </w:r>
      <w:r w:rsidR="00DA32C9">
        <w:t>a LPC</w:t>
      </w:r>
      <w:r w:rsidR="003C70A5">
        <w:t>, de l’encadrement</w:t>
      </w:r>
      <w:r w:rsidR="00B935DE">
        <w:t xml:space="preserve"> des clauses de déchéance du terme, de la nécessité d’un préavis, du choix du consommateur </w:t>
      </w:r>
      <w:r w:rsidR="003341AC">
        <w:t>de payer les montants en souffrance ou même de demander un changement des modalités de paiement, de tout simplement remettre le bien</w:t>
      </w:r>
      <w:r w:rsidR="009B7EA1">
        <w:t xml:space="preserve">, </w:t>
      </w:r>
      <w:r w:rsidR="006F04D3">
        <w:t>un contrôle du tribunal qui s’opère en cas de reprise de possession si l’acheteur a payé plus que la moitié</w:t>
      </w:r>
      <w:r w:rsidR="00AB1BE7">
        <w:t xml:space="preserve"> du prix et les règles plus avantageuses en cas de perte du bien lors d’une force majeure</w:t>
      </w:r>
      <w:r w:rsidR="006D0D39">
        <w:t>.</w:t>
      </w:r>
    </w:p>
    <w:p w14:paraId="391B43FB" w14:textId="61437682" w:rsidR="006D0D39" w:rsidRDefault="006D0D39" w:rsidP="00D91E39"/>
    <w:p w14:paraId="2703AA4A" w14:textId="3905E638" w:rsidR="0012789A" w:rsidRDefault="006D0D39" w:rsidP="00D91E39">
      <w:r>
        <w:t>Dans le C.c.Q., pour la</w:t>
      </w:r>
      <w:r w:rsidR="005307C9">
        <w:t xml:space="preserve"> </w:t>
      </w:r>
      <w:r>
        <w:t xml:space="preserve">vente à tempérament on retrouve </w:t>
      </w:r>
      <w:r w:rsidR="005307C9">
        <w:t xml:space="preserve">les </w:t>
      </w:r>
      <w:r w:rsidR="0012789A" w:rsidRPr="00EA1441">
        <w:rPr>
          <w:highlight w:val="yellow"/>
        </w:rPr>
        <w:t>art</w:t>
      </w:r>
      <w:r w:rsidR="005307C9">
        <w:rPr>
          <w:highlight w:val="yellow"/>
        </w:rPr>
        <w:t>s</w:t>
      </w:r>
      <w:r w:rsidR="0012789A" w:rsidRPr="00EA1441">
        <w:rPr>
          <w:highlight w:val="yellow"/>
        </w:rPr>
        <w:t xml:space="preserve">. </w:t>
      </w:r>
      <w:r w:rsidR="005307C9">
        <w:rPr>
          <w:highlight w:val="yellow"/>
        </w:rPr>
        <w:t xml:space="preserve">1735 et ss </w:t>
      </w:r>
      <w:r w:rsidR="0012789A" w:rsidRPr="002C431F">
        <w:rPr>
          <w:highlight w:val="yellow"/>
        </w:rPr>
        <w:t>C.c.Q.</w:t>
      </w:r>
      <w:r w:rsidR="005307C9">
        <w:t>, mais il est moins protecteur que la LPC</w:t>
      </w:r>
      <w:r w:rsidR="000D0DCC">
        <w:t xml:space="preserve">. </w:t>
      </w:r>
    </w:p>
    <w:p w14:paraId="325DD46D" w14:textId="54AB2A85" w:rsidR="000D0DCC" w:rsidRDefault="000D0DCC" w:rsidP="00D91E39"/>
    <w:p w14:paraId="1D781672" w14:textId="57D60640" w:rsidR="000D0DCC" w:rsidRPr="00C262DD" w:rsidRDefault="000D0DCC" w:rsidP="000D0DCC">
      <w:pPr>
        <w:rPr>
          <w:b/>
          <w:bCs/>
        </w:rPr>
      </w:pPr>
      <w:r w:rsidRPr="00C262DD">
        <w:rPr>
          <w:b/>
          <w:bCs/>
        </w:rPr>
        <w:t>Vrai/Faux</w:t>
      </w:r>
    </w:p>
    <w:p w14:paraId="2301E2FD" w14:textId="77777777" w:rsidR="000D0DCC" w:rsidRDefault="000D0DCC" w:rsidP="000D0DCC"/>
    <w:p w14:paraId="458B10C0" w14:textId="43FF3F4F" w:rsidR="000D0DCC" w:rsidRDefault="000D0DCC" w:rsidP="000D0DCC">
      <w:r>
        <w:t>Le vendeur peut refuser de délivrer le bien si, au moment de la délivrance, l’acheteur refuse de payer le prix d’achat. Toutefois, le vendeur devra alors obligatoirement considérer la vente comme étant résolue et ne pourra pas forcer l’exécution de la vente et le paiement du prix.</w:t>
      </w:r>
    </w:p>
    <w:p w14:paraId="322C890D" w14:textId="719278E8" w:rsidR="00817B91" w:rsidRDefault="00817B91" w:rsidP="000D0DCC"/>
    <w:p w14:paraId="1B355D89" w14:textId="3FB57E89" w:rsidR="00817B91" w:rsidRDefault="00817B91" w:rsidP="000D0DCC">
      <w:r>
        <w:t>Faux, i</w:t>
      </w:r>
      <w:r w:rsidRPr="00817B91">
        <w:t>l est vrai d’affirmer que le vendeur peut refuser de délivrer le bien en cas de refus de paiement selon la règle générale de l’exception d’inexécution, car le vendeur peut suspendre l’exécution de son obligation de délivrance tant que l’acheteur n’exécute pas son obligation de payer le prix</w:t>
      </w:r>
      <w:r w:rsidR="00BD514E">
        <w:t xml:space="preserve"> (</w:t>
      </w:r>
      <w:r w:rsidRPr="00753CEE">
        <w:rPr>
          <w:highlight w:val="yellow"/>
        </w:rPr>
        <w:t>art</w:t>
      </w:r>
      <w:r w:rsidR="00BD514E" w:rsidRPr="00753CEE">
        <w:rPr>
          <w:highlight w:val="yellow"/>
        </w:rPr>
        <w:t>.</w:t>
      </w:r>
      <w:r w:rsidRPr="00753CEE">
        <w:rPr>
          <w:highlight w:val="yellow"/>
        </w:rPr>
        <w:t xml:space="preserve"> 1591 C.c.Q</w:t>
      </w:r>
      <w:r w:rsidR="00BD514E">
        <w:t>.)</w:t>
      </w:r>
      <w:r w:rsidRPr="00817B91">
        <w:t>. Toutefois, le choix de considérer la vente résolue ou de forcer l’exécution de la vente et du paiement du prix appartient au vendeur, et ce, même s’il a repris possession du bien vendu.</w:t>
      </w:r>
    </w:p>
    <w:p w14:paraId="2665B5FE" w14:textId="32A76ABC" w:rsidR="0012789A" w:rsidRPr="001348CA" w:rsidRDefault="0012789A" w:rsidP="00C22B00"/>
    <w:sectPr w:rsidR="0012789A" w:rsidRPr="001348CA" w:rsidSect="0033747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FEE"/>
    <w:multiLevelType w:val="hybridMultilevel"/>
    <w:tmpl w:val="6EDC79C0"/>
    <w:lvl w:ilvl="0" w:tplc="E906399C">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AD947EE"/>
    <w:multiLevelType w:val="hybridMultilevel"/>
    <w:tmpl w:val="D4460542"/>
    <w:lvl w:ilvl="0" w:tplc="F6E6616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D3A0FA9"/>
    <w:multiLevelType w:val="hybridMultilevel"/>
    <w:tmpl w:val="FA981FBA"/>
    <w:lvl w:ilvl="0" w:tplc="0CCE91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33053CA"/>
    <w:multiLevelType w:val="hybridMultilevel"/>
    <w:tmpl w:val="53A673F6"/>
    <w:lvl w:ilvl="0" w:tplc="9DFEC692">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15:restartNumberingAfterBreak="0">
    <w:nsid w:val="1B8C770C"/>
    <w:multiLevelType w:val="hybridMultilevel"/>
    <w:tmpl w:val="FD1018F4"/>
    <w:lvl w:ilvl="0" w:tplc="1E62116E">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15:restartNumberingAfterBreak="0">
    <w:nsid w:val="1FD27EE1"/>
    <w:multiLevelType w:val="hybridMultilevel"/>
    <w:tmpl w:val="D1506C7E"/>
    <w:lvl w:ilvl="0" w:tplc="C6C05B6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060476E"/>
    <w:multiLevelType w:val="hybridMultilevel"/>
    <w:tmpl w:val="92D0E260"/>
    <w:lvl w:ilvl="0" w:tplc="23F0236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34A78E3"/>
    <w:multiLevelType w:val="hybridMultilevel"/>
    <w:tmpl w:val="3BE641D4"/>
    <w:lvl w:ilvl="0" w:tplc="FFFFFFFF">
      <w:start w:val="1"/>
      <w:numFmt w:val="low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BDB1D1B"/>
    <w:multiLevelType w:val="hybridMultilevel"/>
    <w:tmpl w:val="65E8DFEA"/>
    <w:lvl w:ilvl="0" w:tplc="94DC3BF6">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7B55CBA"/>
    <w:multiLevelType w:val="hybridMultilevel"/>
    <w:tmpl w:val="C99CED92"/>
    <w:lvl w:ilvl="0" w:tplc="1604FF3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85F4932"/>
    <w:multiLevelType w:val="hybridMultilevel"/>
    <w:tmpl w:val="B6929860"/>
    <w:lvl w:ilvl="0" w:tplc="376C8DA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BCD7115"/>
    <w:multiLevelType w:val="hybridMultilevel"/>
    <w:tmpl w:val="15C2340E"/>
    <w:lvl w:ilvl="0" w:tplc="73EA47A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C0A0E91"/>
    <w:multiLevelType w:val="hybridMultilevel"/>
    <w:tmpl w:val="F710CC4E"/>
    <w:lvl w:ilvl="0" w:tplc="6560769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E7E2CD3"/>
    <w:multiLevelType w:val="hybridMultilevel"/>
    <w:tmpl w:val="926CC274"/>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EC9618B"/>
    <w:multiLevelType w:val="hybridMultilevel"/>
    <w:tmpl w:val="75386E2C"/>
    <w:lvl w:ilvl="0" w:tplc="04580852">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0B56316"/>
    <w:multiLevelType w:val="hybridMultilevel"/>
    <w:tmpl w:val="3FE47752"/>
    <w:lvl w:ilvl="0" w:tplc="C840D51C">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2E2697F"/>
    <w:multiLevelType w:val="hybridMultilevel"/>
    <w:tmpl w:val="F724B194"/>
    <w:lvl w:ilvl="0" w:tplc="F1C8474E">
      <w:start w:val="3"/>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55E90E19"/>
    <w:multiLevelType w:val="hybridMultilevel"/>
    <w:tmpl w:val="43C2CC46"/>
    <w:lvl w:ilvl="0" w:tplc="23A24182">
      <w:start w:val="1"/>
      <w:numFmt w:val="lowerLetter"/>
      <w:lvlText w:val="%1."/>
      <w:lvlJc w:val="left"/>
      <w:pPr>
        <w:ind w:left="720" w:hanging="360"/>
      </w:pPr>
      <w:rPr>
        <w:rFonts w:hint="default"/>
        <w:b/>
        <w:bCs/>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7727439"/>
    <w:multiLevelType w:val="hybridMultilevel"/>
    <w:tmpl w:val="3BE641D4"/>
    <w:lvl w:ilvl="0" w:tplc="B3786F4C">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E684A8D"/>
    <w:multiLevelType w:val="hybridMultilevel"/>
    <w:tmpl w:val="167E5A6A"/>
    <w:lvl w:ilvl="0" w:tplc="62166CD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1E4748"/>
    <w:multiLevelType w:val="hybridMultilevel"/>
    <w:tmpl w:val="C810C818"/>
    <w:lvl w:ilvl="0" w:tplc="C114AC8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CCE3A4C"/>
    <w:multiLevelType w:val="hybridMultilevel"/>
    <w:tmpl w:val="F500BCD4"/>
    <w:lvl w:ilvl="0" w:tplc="81D2F92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4437084">
    <w:abstractNumId w:val="0"/>
  </w:num>
  <w:num w:numId="2" w16cid:durableId="1369916598">
    <w:abstractNumId w:val="11"/>
  </w:num>
  <w:num w:numId="3" w16cid:durableId="1678193596">
    <w:abstractNumId w:val="16"/>
  </w:num>
  <w:num w:numId="4" w16cid:durableId="784541587">
    <w:abstractNumId w:val="6"/>
  </w:num>
  <w:num w:numId="5" w16cid:durableId="678393622">
    <w:abstractNumId w:val="15"/>
  </w:num>
  <w:num w:numId="6" w16cid:durableId="206182135">
    <w:abstractNumId w:val="13"/>
  </w:num>
  <w:num w:numId="7" w16cid:durableId="657685422">
    <w:abstractNumId w:val="9"/>
  </w:num>
  <w:num w:numId="8" w16cid:durableId="332879105">
    <w:abstractNumId w:val="10"/>
  </w:num>
  <w:num w:numId="9" w16cid:durableId="75440295">
    <w:abstractNumId w:val="3"/>
  </w:num>
  <w:num w:numId="10" w16cid:durableId="116917442">
    <w:abstractNumId w:val="21"/>
  </w:num>
  <w:num w:numId="11" w16cid:durableId="2075346584">
    <w:abstractNumId w:val="2"/>
  </w:num>
  <w:num w:numId="12" w16cid:durableId="1536888773">
    <w:abstractNumId w:val="19"/>
  </w:num>
  <w:num w:numId="13" w16cid:durableId="391009134">
    <w:abstractNumId w:val="5"/>
  </w:num>
  <w:num w:numId="14" w16cid:durableId="898829214">
    <w:abstractNumId w:val="20"/>
  </w:num>
  <w:num w:numId="15" w16cid:durableId="440800017">
    <w:abstractNumId w:val="17"/>
  </w:num>
  <w:num w:numId="16" w16cid:durableId="905184455">
    <w:abstractNumId w:val="8"/>
  </w:num>
  <w:num w:numId="17" w16cid:durableId="1254320468">
    <w:abstractNumId w:val="4"/>
  </w:num>
  <w:num w:numId="18" w16cid:durableId="1736008674">
    <w:abstractNumId w:val="14"/>
  </w:num>
  <w:num w:numId="19" w16cid:durableId="1274702785">
    <w:abstractNumId w:val="18"/>
  </w:num>
  <w:num w:numId="20" w16cid:durableId="1372807077">
    <w:abstractNumId w:val="12"/>
  </w:num>
  <w:num w:numId="21" w16cid:durableId="896892859">
    <w:abstractNumId w:val="1"/>
  </w:num>
  <w:num w:numId="22" w16cid:durableId="1780685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34"/>
    <w:rsid w:val="000016B1"/>
    <w:rsid w:val="0000733E"/>
    <w:rsid w:val="00007833"/>
    <w:rsid w:val="000078DE"/>
    <w:rsid w:val="0001015D"/>
    <w:rsid w:val="00011F29"/>
    <w:rsid w:val="0001200C"/>
    <w:rsid w:val="00015971"/>
    <w:rsid w:val="000219D5"/>
    <w:rsid w:val="00022E7D"/>
    <w:rsid w:val="0003102A"/>
    <w:rsid w:val="0003407B"/>
    <w:rsid w:val="00042664"/>
    <w:rsid w:val="00045398"/>
    <w:rsid w:val="00045AA1"/>
    <w:rsid w:val="000535D7"/>
    <w:rsid w:val="00057616"/>
    <w:rsid w:val="00061C68"/>
    <w:rsid w:val="00071E76"/>
    <w:rsid w:val="00076216"/>
    <w:rsid w:val="00076320"/>
    <w:rsid w:val="000775A1"/>
    <w:rsid w:val="00077E32"/>
    <w:rsid w:val="00077E9C"/>
    <w:rsid w:val="00080FFF"/>
    <w:rsid w:val="00082644"/>
    <w:rsid w:val="00087970"/>
    <w:rsid w:val="00092650"/>
    <w:rsid w:val="00092B55"/>
    <w:rsid w:val="00093111"/>
    <w:rsid w:val="000A6062"/>
    <w:rsid w:val="000A6B21"/>
    <w:rsid w:val="000A785E"/>
    <w:rsid w:val="000B41A4"/>
    <w:rsid w:val="000C031E"/>
    <w:rsid w:val="000C3E44"/>
    <w:rsid w:val="000C5F0F"/>
    <w:rsid w:val="000C7738"/>
    <w:rsid w:val="000D0DCC"/>
    <w:rsid w:val="000D24AC"/>
    <w:rsid w:val="000D4208"/>
    <w:rsid w:val="000D76D2"/>
    <w:rsid w:val="000D7AB5"/>
    <w:rsid w:val="000E55AC"/>
    <w:rsid w:val="000F6852"/>
    <w:rsid w:val="000F6AED"/>
    <w:rsid w:val="00101F58"/>
    <w:rsid w:val="00106B77"/>
    <w:rsid w:val="00113E3B"/>
    <w:rsid w:val="00113F3A"/>
    <w:rsid w:val="0011450F"/>
    <w:rsid w:val="0012789A"/>
    <w:rsid w:val="00132E46"/>
    <w:rsid w:val="001348CA"/>
    <w:rsid w:val="001355C5"/>
    <w:rsid w:val="00145D08"/>
    <w:rsid w:val="0014694F"/>
    <w:rsid w:val="00146EF9"/>
    <w:rsid w:val="00163C6E"/>
    <w:rsid w:val="00166014"/>
    <w:rsid w:val="001700D0"/>
    <w:rsid w:val="0017070C"/>
    <w:rsid w:val="00170990"/>
    <w:rsid w:val="00174D4B"/>
    <w:rsid w:val="00174E7B"/>
    <w:rsid w:val="00176047"/>
    <w:rsid w:val="001801A6"/>
    <w:rsid w:val="00180E84"/>
    <w:rsid w:val="001817A6"/>
    <w:rsid w:val="00183628"/>
    <w:rsid w:val="0018530A"/>
    <w:rsid w:val="001873A3"/>
    <w:rsid w:val="001941FF"/>
    <w:rsid w:val="001A0AE4"/>
    <w:rsid w:val="001A1B82"/>
    <w:rsid w:val="001A1F07"/>
    <w:rsid w:val="001A2788"/>
    <w:rsid w:val="001A5515"/>
    <w:rsid w:val="001A6841"/>
    <w:rsid w:val="001A7165"/>
    <w:rsid w:val="001B043F"/>
    <w:rsid w:val="001B1E15"/>
    <w:rsid w:val="001B53A1"/>
    <w:rsid w:val="001B6D7B"/>
    <w:rsid w:val="001B6E28"/>
    <w:rsid w:val="001B7C56"/>
    <w:rsid w:val="001C4884"/>
    <w:rsid w:val="001C4A80"/>
    <w:rsid w:val="001D614E"/>
    <w:rsid w:val="001D6B3B"/>
    <w:rsid w:val="001D7452"/>
    <w:rsid w:val="001D78F0"/>
    <w:rsid w:val="001E12AD"/>
    <w:rsid w:val="001E4299"/>
    <w:rsid w:val="001E74E3"/>
    <w:rsid w:val="001F221B"/>
    <w:rsid w:val="001F5C5D"/>
    <w:rsid w:val="0020019F"/>
    <w:rsid w:val="002007DD"/>
    <w:rsid w:val="0020514B"/>
    <w:rsid w:val="00213B3A"/>
    <w:rsid w:val="002311E5"/>
    <w:rsid w:val="00235CD9"/>
    <w:rsid w:val="00236D85"/>
    <w:rsid w:val="002404F9"/>
    <w:rsid w:val="00246AD0"/>
    <w:rsid w:val="002502A4"/>
    <w:rsid w:val="00250697"/>
    <w:rsid w:val="00252C08"/>
    <w:rsid w:val="0025383B"/>
    <w:rsid w:val="002571D6"/>
    <w:rsid w:val="00262183"/>
    <w:rsid w:val="00265864"/>
    <w:rsid w:val="0027022D"/>
    <w:rsid w:val="002723A2"/>
    <w:rsid w:val="00272B95"/>
    <w:rsid w:val="0027488D"/>
    <w:rsid w:val="00283495"/>
    <w:rsid w:val="00284740"/>
    <w:rsid w:val="0028625D"/>
    <w:rsid w:val="0028754C"/>
    <w:rsid w:val="00292F96"/>
    <w:rsid w:val="00294EA6"/>
    <w:rsid w:val="00295137"/>
    <w:rsid w:val="002955F8"/>
    <w:rsid w:val="002A519C"/>
    <w:rsid w:val="002A7221"/>
    <w:rsid w:val="002B3D8D"/>
    <w:rsid w:val="002B5756"/>
    <w:rsid w:val="002B6942"/>
    <w:rsid w:val="002C431F"/>
    <w:rsid w:val="002D129B"/>
    <w:rsid w:val="002D33E7"/>
    <w:rsid w:val="002D4148"/>
    <w:rsid w:val="002D636B"/>
    <w:rsid w:val="002E0F2B"/>
    <w:rsid w:val="002E2A24"/>
    <w:rsid w:val="002E6514"/>
    <w:rsid w:val="002E661F"/>
    <w:rsid w:val="002E7790"/>
    <w:rsid w:val="002F14A4"/>
    <w:rsid w:val="002F4566"/>
    <w:rsid w:val="00300726"/>
    <w:rsid w:val="0030161B"/>
    <w:rsid w:val="00304117"/>
    <w:rsid w:val="003057D9"/>
    <w:rsid w:val="003107A0"/>
    <w:rsid w:val="003111A5"/>
    <w:rsid w:val="0031573F"/>
    <w:rsid w:val="00321D78"/>
    <w:rsid w:val="0032222B"/>
    <w:rsid w:val="00325FCC"/>
    <w:rsid w:val="003307E1"/>
    <w:rsid w:val="003318AD"/>
    <w:rsid w:val="003327EE"/>
    <w:rsid w:val="00333A3E"/>
    <w:rsid w:val="003341AC"/>
    <w:rsid w:val="00337152"/>
    <w:rsid w:val="00337479"/>
    <w:rsid w:val="00340A4C"/>
    <w:rsid w:val="00341AB2"/>
    <w:rsid w:val="003440C5"/>
    <w:rsid w:val="00346ECF"/>
    <w:rsid w:val="00347D22"/>
    <w:rsid w:val="003507B1"/>
    <w:rsid w:val="003556B8"/>
    <w:rsid w:val="00363AB6"/>
    <w:rsid w:val="00373203"/>
    <w:rsid w:val="00374E15"/>
    <w:rsid w:val="0037592F"/>
    <w:rsid w:val="00375E95"/>
    <w:rsid w:val="003779D4"/>
    <w:rsid w:val="0038029E"/>
    <w:rsid w:val="00390CBD"/>
    <w:rsid w:val="00396D08"/>
    <w:rsid w:val="003A0E25"/>
    <w:rsid w:val="003A1C9F"/>
    <w:rsid w:val="003A51D8"/>
    <w:rsid w:val="003A793C"/>
    <w:rsid w:val="003B0C91"/>
    <w:rsid w:val="003B1119"/>
    <w:rsid w:val="003B3C45"/>
    <w:rsid w:val="003B4BD8"/>
    <w:rsid w:val="003C5904"/>
    <w:rsid w:val="003C70A5"/>
    <w:rsid w:val="003D0CAA"/>
    <w:rsid w:val="003E3196"/>
    <w:rsid w:val="003E7D6C"/>
    <w:rsid w:val="003F0DC1"/>
    <w:rsid w:val="003F731A"/>
    <w:rsid w:val="004112B0"/>
    <w:rsid w:val="00411B6B"/>
    <w:rsid w:val="00412CAC"/>
    <w:rsid w:val="00412DC6"/>
    <w:rsid w:val="00417450"/>
    <w:rsid w:val="00417508"/>
    <w:rsid w:val="00427348"/>
    <w:rsid w:val="004277EE"/>
    <w:rsid w:val="00432A19"/>
    <w:rsid w:val="00432C09"/>
    <w:rsid w:val="00436374"/>
    <w:rsid w:val="00441139"/>
    <w:rsid w:val="00443B5C"/>
    <w:rsid w:val="00450551"/>
    <w:rsid w:val="004506C7"/>
    <w:rsid w:val="004536F5"/>
    <w:rsid w:val="00454280"/>
    <w:rsid w:val="00461A1B"/>
    <w:rsid w:val="00461A2D"/>
    <w:rsid w:val="0046265A"/>
    <w:rsid w:val="00462E22"/>
    <w:rsid w:val="004645BB"/>
    <w:rsid w:val="00472007"/>
    <w:rsid w:val="004727A3"/>
    <w:rsid w:val="0047297C"/>
    <w:rsid w:val="00476A03"/>
    <w:rsid w:val="00482355"/>
    <w:rsid w:val="00490EB3"/>
    <w:rsid w:val="004A216D"/>
    <w:rsid w:val="004A25F8"/>
    <w:rsid w:val="004B0F92"/>
    <w:rsid w:val="004B1809"/>
    <w:rsid w:val="004B2315"/>
    <w:rsid w:val="004B5B7B"/>
    <w:rsid w:val="004C6DCC"/>
    <w:rsid w:val="004C7D80"/>
    <w:rsid w:val="004D6975"/>
    <w:rsid w:val="004D7E9B"/>
    <w:rsid w:val="004E055C"/>
    <w:rsid w:val="004F0312"/>
    <w:rsid w:val="004F3ECA"/>
    <w:rsid w:val="004F61B8"/>
    <w:rsid w:val="004F6A9A"/>
    <w:rsid w:val="00501E57"/>
    <w:rsid w:val="00503F24"/>
    <w:rsid w:val="00504A3F"/>
    <w:rsid w:val="0052313B"/>
    <w:rsid w:val="00523964"/>
    <w:rsid w:val="00530786"/>
    <w:rsid w:val="005307C9"/>
    <w:rsid w:val="00532D21"/>
    <w:rsid w:val="00534B03"/>
    <w:rsid w:val="00536E09"/>
    <w:rsid w:val="0053756C"/>
    <w:rsid w:val="0054100A"/>
    <w:rsid w:val="0054474D"/>
    <w:rsid w:val="00547585"/>
    <w:rsid w:val="00551393"/>
    <w:rsid w:val="00554607"/>
    <w:rsid w:val="00554805"/>
    <w:rsid w:val="00554CC0"/>
    <w:rsid w:val="00556320"/>
    <w:rsid w:val="00561D6F"/>
    <w:rsid w:val="00572A96"/>
    <w:rsid w:val="005751CA"/>
    <w:rsid w:val="00580DB2"/>
    <w:rsid w:val="00582830"/>
    <w:rsid w:val="00596BA7"/>
    <w:rsid w:val="005A05DF"/>
    <w:rsid w:val="005A0779"/>
    <w:rsid w:val="005A29E6"/>
    <w:rsid w:val="005B7E7F"/>
    <w:rsid w:val="005C11BC"/>
    <w:rsid w:val="005C4A74"/>
    <w:rsid w:val="005D0973"/>
    <w:rsid w:val="005D1C91"/>
    <w:rsid w:val="005D33BC"/>
    <w:rsid w:val="005D3400"/>
    <w:rsid w:val="005D34B1"/>
    <w:rsid w:val="005E2453"/>
    <w:rsid w:val="005E2FFB"/>
    <w:rsid w:val="005E62FD"/>
    <w:rsid w:val="005E7BD6"/>
    <w:rsid w:val="005E7C1E"/>
    <w:rsid w:val="005F1BE6"/>
    <w:rsid w:val="005F48EB"/>
    <w:rsid w:val="005F75D4"/>
    <w:rsid w:val="00602756"/>
    <w:rsid w:val="00603AC7"/>
    <w:rsid w:val="00604AC5"/>
    <w:rsid w:val="00606AC8"/>
    <w:rsid w:val="00607B1F"/>
    <w:rsid w:val="006110C8"/>
    <w:rsid w:val="00615A23"/>
    <w:rsid w:val="00617935"/>
    <w:rsid w:val="00617BE8"/>
    <w:rsid w:val="00620039"/>
    <w:rsid w:val="0063090C"/>
    <w:rsid w:val="00632281"/>
    <w:rsid w:val="00632BE3"/>
    <w:rsid w:val="00632E21"/>
    <w:rsid w:val="006413D4"/>
    <w:rsid w:val="006441D7"/>
    <w:rsid w:val="006477E0"/>
    <w:rsid w:val="00652933"/>
    <w:rsid w:val="00662D5B"/>
    <w:rsid w:val="00663332"/>
    <w:rsid w:val="0066349C"/>
    <w:rsid w:val="006649A9"/>
    <w:rsid w:val="00672D55"/>
    <w:rsid w:val="00672F17"/>
    <w:rsid w:val="00675783"/>
    <w:rsid w:val="00676FCD"/>
    <w:rsid w:val="00680F7D"/>
    <w:rsid w:val="00683E96"/>
    <w:rsid w:val="00693432"/>
    <w:rsid w:val="00697249"/>
    <w:rsid w:val="006A6360"/>
    <w:rsid w:val="006A6AC6"/>
    <w:rsid w:val="006B14D1"/>
    <w:rsid w:val="006B36E8"/>
    <w:rsid w:val="006B44EE"/>
    <w:rsid w:val="006B5865"/>
    <w:rsid w:val="006B5EF6"/>
    <w:rsid w:val="006B6B99"/>
    <w:rsid w:val="006C13D3"/>
    <w:rsid w:val="006C2A64"/>
    <w:rsid w:val="006D03E8"/>
    <w:rsid w:val="006D0D39"/>
    <w:rsid w:val="006D1562"/>
    <w:rsid w:val="006D1A5A"/>
    <w:rsid w:val="006D5C38"/>
    <w:rsid w:val="006D705E"/>
    <w:rsid w:val="006E02B1"/>
    <w:rsid w:val="006E1BB6"/>
    <w:rsid w:val="006E285D"/>
    <w:rsid w:val="006E681C"/>
    <w:rsid w:val="006F0135"/>
    <w:rsid w:val="006F04D3"/>
    <w:rsid w:val="006F3D61"/>
    <w:rsid w:val="006F67DD"/>
    <w:rsid w:val="00701704"/>
    <w:rsid w:val="00703E92"/>
    <w:rsid w:val="0070426E"/>
    <w:rsid w:val="00705220"/>
    <w:rsid w:val="007056DC"/>
    <w:rsid w:val="007059F8"/>
    <w:rsid w:val="00705F1A"/>
    <w:rsid w:val="00712DD4"/>
    <w:rsid w:val="0072090A"/>
    <w:rsid w:val="007269B8"/>
    <w:rsid w:val="007278FB"/>
    <w:rsid w:val="00730AB7"/>
    <w:rsid w:val="00731A71"/>
    <w:rsid w:val="00733002"/>
    <w:rsid w:val="00734D2A"/>
    <w:rsid w:val="00740257"/>
    <w:rsid w:val="00744377"/>
    <w:rsid w:val="007455F9"/>
    <w:rsid w:val="00745AB8"/>
    <w:rsid w:val="007475C8"/>
    <w:rsid w:val="00751757"/>
    <w:rsid w:val="00751EDC"/>
    <w:rsid w:val="00753CEE"/>
    <w:rsid w:val="00753EED"/>
    <w:rsid w:val="00754022"/>
    <w:rsid w:val="00761994"/>
    <w:rsid w:val="00761F77"/>
    <w:rsid w:val="00763145"/>
    <w:rsid w:val="007648D5"/>
    <w:rsid w:val="00767CBF"/>
    <w:rsid w:val="0077012F"/>
    <w:rsid w:val="007747B5"/>
    <w:rsid w:val="00780620"/>
    <w:rsid w:val="00780C09"/>
    <w:rsid w:val="007832A0"/>
    <w:rsid w:val="00787338"/>
    <w:rsid w:val="00791F7C"/>
    <w:rsid w:val="007940AF"/>
    <w:rsid w:val="0079712F"/>
    <w:rsid w:val="007A267C"/>
    <w:rsid w:val="007A6A5A"/>
    <w:rsid w:val="007B2485"/>
    <w:rsid w:val="007B388D"/>
    <w:rsid w:val="007B7547"/>
    <w:rsid w:val="007C0FD5"/>
    <w:rsid w:val="007C18A5"/>
    <w:rsid w:val="007C378E"/>
    <w:rsid w:val="007C3FCC"/>
    <w:rsid w:val="007C5307"/>
    <w:rsid w:val="007C7CC2"/>
    <w:rsid w:val="007D377B"/>
    <w:rsid w:val="007D3937"/>
    <w:rsid w:val="007D413C"/>
    <w:rsid w:val="007D4BFE"/>
    <w:rsid w:val="007D4CCE"/>
    <w:rsid w:val="007D590A"/>
    <w:rsid w:val="007D5EEA"/>
    <w:rsid w:val="007E0DAF"/>
    <w:rsid w:val="007E14A8"/>
    <w:rsid w:val="007E66AD"/>
    <w:rsid w:val="007E786D"/>
    <w:rsid w:val="007E7DD3"/>
    <w:rsid w:val="007F2BFD"/>
    <w:rsid w:val="007F5017"/>
    <w:rsid w:val="00800DD2"/>
    <w:rsid w:val="00806BF8"/>
    <w:rsid w:val="008137A4"/>
    <w:rsid w:val="00815650"/>
    <w:rsid w:val="00817A42"/>
    <w:rsid w:val="00817B91"/>
    <w:rsid w:val="0082438C"/>
    <w:rsid w:val="0082520E"/>
    <w:rsid w:val="00825905"/>
    <w:rsid w:val="00826A2B"/>
    <w:rsid w:val="008337AC"/>
    <w:rsid w:val="008433E0"/>
    <w:rsid w:val="008444A5"/>
    <w:rsid w:val="00844769"/>
    <w:rsid w:val="00850F8F"/>
    <w:rsid w:val="00852046"/>
    <w:rsid w:val="008523BE"/>
    <w:rsid w:val="00852BE2"/>
    <w:rsid w:val="00855DD8"/>
    <w:rsid w:val="008575A2"/>
    <w:rsid w:val="00861258"/>
    <w:rsid w:val="00863098"/>
    <w:rsid w:val="00864411"/>
    <w:rsid w:val="008678A9"/>
    <w:rsid w:val="00873E98"/>
    <w:rsid w:val="00881415"/>
    <w:rsid w:val="00885644"/>
    <w:rsid w:val="008861F4"/>
    <w:rsid w:val="00892893"/>
    <w:rsid w:val="00894D52"/>
    <w:rsid w:val="008A1EB4"/>
    <w:rsid w:val="008A5507"/>
    <w:rsid w:val="008A58C1"/>
    <w:rsid w:val="008A776B"/>
    <w:rsid w:val="008B0A18"/>
    <w:rsid w:val="008B4727"/>
    <w:rsid w:val="008B4DBF"/>
    <w:rsid w:val="008B6FC9"/>
    <w:rsid w:val="008B7C5A"/>
    <w:rsid w:val="008C3843"/>
    <w:rsid w:val="008D06FD"/>
    <w:rsid w:val="008D147D"/>
    <w:rsid w:val="008D3864"/>
    <w:rsid w:val="008D4BB7"/>
    <w:rsid w:val="008D5615"/>
    <w:rsid w:val="008D6DC8"/>
    <w:rsid w:val="008E1A47"/>
    <w:rsid w:val="008E3337"/>
    <w:rsid w:val="008E4134"/>
    <w:rsid w:val="008E4CA7"/>
    <w:rsid w:val="008F6A8F"/>
    <w:rsid w:val="00900D9C"/>
    <w:rsid w:val="00904794"/>
    <w:rsid w:val="00907557"/>
    <w:rsid w:val="00910168"/>
    <w:rsid w:val="00926CD9"/>
    <w:rsid w:val="00926E08"/>
    <w:rsid w:val="00930BF4"/>
    <w:rsid w:val="00930E03"/>
    <w:rsid w:val="00931A00"/>
    <w:rsid w:val="0093282C"/>
    <w:rsid w:val="0093484A"/>
    <w:rsid w:val="00937AC9"/>
    <w:rsid w:val="009409A4"/>
    <w:rsid w:val="009421DF"/>
    <w:rsid w:val="009521BA"/>
    <w:rsid w:val="00957E6B"/>
    <w:rsid w:val="009604C3"/>
    <w:rsid w:val="00962FE9"/>
    <w:rsid w:val="00966A7B"/>
    <w:rsid w:val="00970EE6"/>
    <w:rsid w:val="00971E85"/>
    <w:rsid w:val="009727F8"/>
    <w:rsid w:val="00972995"/>
    <w:rsid w:val="00973AD0"/>
    <w:rsid w:val="00977088"/>
    <w:rsid w:val="00980198"/>
    <w:rsid w:val="009807FF"/>
    <w:rsid w:val="0098165D"/>
    <w:rsid w:val="00981A2D"/>
    <w:rsid w:val="00982B29"/>
    <w:rsid w:val="009A2C8B"/>
    <w:rsid w:val="009A3064"/>
    <w:rsid w:val="009A353A"/>
    <w:rsid w:val="009B08B0"/>
    <w:rsid w:val="009B6AD7"/>
    <w:rsid w:val="009B7EA1"/>
    <w:rsid w:val="009C78DA"/>
    <w:rsid w:val="009D54B0"/>
    <w:rsid w:val="009E31C0"/>
    <w:rsid w:val="009E6D0F"/>
    <w:rsid w:val="009F18ED"/>
    <w:rsid w:val="009F4267"/>
    <w:rsid w:val="009F435A"/>
    <w:rsid w:val="009F5867"/>
    <w:rsid w:val="00A05FCC"/>
    <w:rsid w:val="00A060A1"/>
    <w:rsid w:val="00A065C7"/>
    <w:rsid w:val="00A12632"/>
    <w:rsid w:val="00A1736D"/>
    <w:rsid w:val="00A2591F"/>
    <w:rsid w:val="00A27759"/>
    <w:rsid w:val="00A3214C"/>
    <w:rsid w:val="00A35C9D"/>
    <w:rsid w:val="00A4226F"/>
    <w:rsid w:val="00A50EC2"/>
    <w:rsid w:val="00A526FF"/>
    <w:rsid w:val="00A5536D"/>
    <w:rsid w:val="00A55FCB"/>
    <w:rsid w:val="00A609BB"/>
    <w:rsid w:val="00A773E6"/>
    <w:rsid w:val="00A7745C"/>
    <w:rsid w:val="00A835F2"/>
    <w:rsid w:val="00A8391D"/>
    <w:rsid w:val="00A83F01"/>
    <w:rsid w:val="00A871C2"/>
    <w:rsid w:val="00A87B6B"/>
    <w:rsid w:val="00A905CA"/>
    <w:rsid w:val="00A97318"/>
    <w:rsid w:val="00A97B80"/>
    <w:rsid w:val="00AA3A4A"/>
    <w:rsid w:val="00AA4065"/>
    <w:rsid w:val="00AA62B9"/>
    <w:rsid w:val="00AA7FC9"/>
    <w:rsid w:val="00AB1BE7"/>
    <w:rsid w:val="00AC1F99"/>
    <w:rsid w:val="00AC65B3"/>
    <w:rsid w:val="00AC7279"/>
    <w:rsid w:val="00AD036C"/>
    <w:rsid w:val="00AD2D2C"/>
    <w:rsid w:val="00AD2ED3"/>
    <w:rsid w:val="00AD5804"/>
    <w:rsid w:val="00AD5E07"/>
    <w:rsid w:val="00AD63F8"/>
    <w:rsid w:val="00AD6B62"/>
    <w:rsid w:val="00AE244F"/>
    <w:rsid w:val="00AE397C"/>
    <w:rsid w:val="00AE4240"/>
    <w:rsid w:val="00AF0B6D"/>
    <w:rsid w:val="00B01FFA"/>
    <w:rsid w:val="00B026BB"/>
    <w:rsid w:val="00B03F30"/>
    <w:rsid w:val="00B17E76"/>
    <w:rsid w:val="00B228FF"/>
    <w:rsid w:val="00B24E58"/>
    <w:rsid w:val="00B30074"/>
    <w:rsid w:val="00B3127D"/>
    <w:rsid w:val="00B42450"/>
    <w:rsid w:val="00B42874"/>
    <w:rsid w:val="00B44A0C"/>
    <w:rsid w:val="00B45CFB"/>
    <w:rsid w:val="00B4740F"/>
    <w:rsid w:val="00B51149"/>
    <w:rsid w:val="00B51314"/>
    <w:rsid w:val="00B524F9"/>
    <w:rsid w:val="00B5337F"/>
    <w:rsid w:val="00B55D03"/>
    <w:rsid w:val="00B56E9C"/>
    <w:rsid w:val="00B63C20"/>
    <w:rsid w:val="00B6718B"/>
    <w:rsid w:val="00B71824"/>
    <w:rsid w:val="00B7460F"/>
    <w:rsid w:val="00B75A62"/>
    <w:rsid w:val="00B825BE"/>
    <w:rsid w:val="00B86089"/>
    <w:rsid w:val="00B920C3"/>
    <w:rsid w:val="00B935DE"/>
    <w:rsid w:val="00BA57BD"/>
    <w:rsid w:val="00BB07C0"/>
    <w:rsid w:val="00BB1B42"/>
    <w:rsid w:val="00BB1B86"/>
    <w:rsid w:val="00BB428A"/>
    <w:rsid w:val="00BB6AED"/>
    <w:rsid w:val="00BB7892"/>
    <w:rsid w:val="00BB7AC4"/>
    <w:rsid w:val="00BC3916"/>
    <w:rsid w:val="00BD1291"/>
    <w:rsid w:val="00BD1F06"/>
    <w:rsid w:val="00BD514E"/>
    <w:rsid w:val="00BD6430"/>
    <w:rsid w:val="00BD6E91"/>
    <w:rsid w:val="00BD7BC4"/>
    <w:rsid w:val="00BE14FA"/>
    <w:rsid w:val="00BE18F7"/>
    <w:rsid w:val="00BE2E25"/>
    <w:rsid w:val="00BE5C53"/>
    <w:rsid w:val="00BE701C"/>
    <w:rsid w:val="00BF0F9F"/>
    <w:rsid w:val="00BF16FE"/>
    <w:rsid w:val="00BF1A45"/>
    <w:rsid w:val="00BF2377"/>
    <w:rsid w:val="00BF7DCD"/>
    <w:rsid w:val="00C01AD3"/>
    <w:rsid w:val="00C04B03"/>
    <w:rsid w:val="00C07DE5"/>
    <w:rsid w:val="00C13E16"/>
    <w:rsid w:val="00C22B00"/>
    <w:rsid w:val="00C24655"/>
    <w:rsid w:val="00C2539B"/>
    <w:rsid w:val="00C262DD"/>
    <w:rsid w:val="00C4102C"/>
    <w:rsid w:val="00C4176D"/>
    <w:rsid w:val="00C42798"/>
    <w:rsid w:val="00C43B25"/>
    <w:rsid w:val="00C50BEB"/>
    <w:rsid w:val="00C5238A"/>
    <w:rsid w:val="00C534D2"/>
    <w:rsid w:val="00C53A59"/>
    <w:rsid w:val="00C53C17"/>
    <w:rsid w:val="00C56E34"/>
    <w:rsid w:val="00C578B8"/>
    <w:rsid w:val="00C60F01"/>
    <w:rsid w:val="00C61B5E"/>
    <w:rsid w:val="00C67E14"/>
    <w:rsid w:val="00C727A2"/>
    <w:rsid w:val="00C727AC"/>
    <w:rsid w:val="00C75986"/>
    <w:rsid w:val="00C7669E"/>
    <w:rsid w:val="00C76D6C"/>
    <w:rsid w:val="00C811FA"/>
    <w:rsid w:val="00C851E2"/>
    <w:rsid w:val="00C96E74"/>
    <w:rsid w:val="00C976D8"/>
    <w:rsid w:val="00CA1BE5"/>
    <w:rsid w:val="00CA5332"/>
    <w:rsid w:val="00CA57EA"/>
    <w:rsid w:val="00CB3048"/>
    <w:rsid w:val="00CC0935"/>
    <w:rsid w:val="00CC4067"/>
    <w:rsid w:val="00CD1189"/>
    <w:rsid w:val="00CD17F8"/>
    <w:rsid w:val="00CD6BC7"/>
    <w:rsid w:val="00CD7359"/>
    <w:rsid w:val="00CE144C"/>
    <w:rsid w:val="00CE7332"/>
    <w:rsid w:val="00D00618"/>
    <w:rsid w:val="00D10238"/>
    <w:rsid w:val="00D13D2C"/>
    <w:rsid w:val="00D143F0"/>
    <w:rsid w:val="00D16A9E"/>
    <w:rsid w:val="00D25220"/>
    <w:rsid w:val="00D30E3E"/>
    <w:rsid w:val="00D325DE"/>
    <w:rsid w:val="00D33062"/>
    <w:rsid w:val="00D33815"/>
    <w:rsid w:val="00D37077"/>
    <w:rsid w:val="00D44C75"/>
    <w:rsid w:val="00D45F8D"/>
    <w:rsid w:val="00D47CAD"/>
    <w:rsid w:val="00D500B8"/>
    <w:rsid w:val="00D5011A"/>
    <w:rsid w:val="00D52EDE"/>
    <w:rsid w:val="00D537EC"/>
    <w:rsid w:val="00D537EE"/>
    <w:rsid w:val="00D606DF"/>
    <w:rsid w:val="00D63B98"/>
    <w:rsid w:val="00D67853"/>
    <w:rsid w:val="00D70FF2"/>
    <w:rsid w:val="00D72730"/>
    <w:rsid w:val="00D75BCC"/>
    <w:rsid w:val="00D7786D"/>
    <w:rsid w:val="00D85B3A"/>
    <w:rsid w:val="00D878F6"/>
    <w:rsid w:val="00D905C2"/>
    <w:rsid w:val="00D91E39"/>
    <w:rsid w:val="00D92D18"/>
    <w:rsid w:val="00D974A7"/>
    <w:rsid w:val="00DA32C9"/>
    <w:rsid w:val="00DA494E"/>
    <w:rsid w:val="00DA5F2D"/>
    <w:rsid w:val="00DA6C08"/>
    <w:rsid w:val="00DB5E9A"/>
    <w:rsid w:val="00DB6FB9"/>
    <w:rsid w:val="00DB7AB6"/>
    <w:rsid w:val="00DC082E"/>
    <w:rsid w:val="00DC5406"/>
    <w:rsid w:val="00DC7427"/>
    <w:rsid w:val="00DD0C54"/>
    <w:rsid w:val="00DD2C34"/>
    <w:rsid w:val="00DD4599"/>
    <w:rsid w:val="00DE2A07"/>
    <w:rsid w:val="00DE7448"/>
    <w:rsid w:val="00DF6D95"/>
    <w:rsid w:val="00DF71A8"/>
    <w:rsid w:val="00E003EF"/>
    <w:rsid w:val="00E00D00"/>
    <w:rsid w:val="00E05059"/>
    <w:rsid w:val="00E066AC"/>
    <w:rsid w:val="00E06DE2"/>
    <w:rsid w:val="00E1000A"/>
    <w:rsid w:val="00E10513"/>
    <w:rsid w:val="00E11DC8"/>
    <w:rsid w:val="00E14E8F"/>
    <w:rsid w:val="00E16B89"/>
    <w:rsid w:val="00E17564"/>
    <w:rsid w:val="00E17A82"/>
    <w:rsid w:val="00E225DE"/>
    <w:rsid w:val="00E22BB8"/>
    <w:rsid w:val="00E23675"/>
    <w:rsid w:val="00E25F9E"/>
    <w:rsid w:val="00E26B90"/>
    <w:rsid w:val="00E31254"/>
    <w:rsid w:val="00E3192B"/>
    <w:rsid w:val="00E34FC8"/>
    <w:rsid w:val="00E35119"/>
    <w:rsid w:val="00E3786D"/>
    <w:rsid w:val="00E50413"/>
    <w:rsid w:val="00E505A8"/>
    <w:rsid w:val="00E51A0E"/>
    <w:rsid w:val="00E71410"/>
    <w:rsid w:val="00E76B08"/>
    <w:rsid w:val="00E77954"/>
    <w:rsid w:val="00E77EF8"/>
    <w:rsid w:val="00E81049"/>
    <w:rsid w:val="00E81B0F"/>
    <w:rsid w:val="00E833C2"/>
    <w:rsid w:val="00E83841"/>
    <w:rsid w:val="00E845CD"/>
    <w:rsid w:val="00E85C22"/>
    <w:rsid w:val="00E905D5"/>
    <w:rsid w:val="00E91627"/>
    <w:rsid w:val="00EA1441"/>
    <w:rsid w:val="00EA40FE"/>
    <w:rsid w:val="00EA7D5D"/>
    <w:rsid w:val="00EB18D9"/>
    <w:rsid w:val="00EB3124"/>
    <w:rsid w:val="00EB4B37"/>
    <w:rsid w:val="00EB686E"/>
    <w:rsid w:val="00EC2B46"/>
    <w:rsid w:val="00EC43A4"/>
    <w:rsid w:val="00EC5FC9"/>
    <w:rsid w:val="00ED2A6E"/>
    <w:rsid w:val="00ED6CDF"/>
    <w:rsid w:val="00EE28DA"/>
    <w:rsid w:val="00EE334D"/>
    <w:rsid w:val="00EE45BE"/>
    <w:rsid w:val="00EE4C1A"/>
    <w:rsid w:val="00EF24C7"/>
    <w:rsid w:val="00EF60A0"/>
    <w:rsid w:val="00EF70CC"/>
    <w:rsid w:val="00EF7F63"/>
    <w:rsid w:val="00F0087E"/>
    <w:rsid w:val="00F01F52"/>
    <w:rsid w:val="00F03778"/>
    <w:rsid w:val="00F03861"/>
    <w:rsid w:val="00F03A62"/>
    <w:rsid w:val="00F076A3"/>
    <w:rsid w:val="00F07B8B"/>
    <w:rsid w:val="00F14726"/>
    <w:rsid w:val="00F248F6"/>
    <w:rsid w:val="00F27747"/>
    <w:rsid w:val="00F32B69"/>
    <w:rsid w:val="00F34128"/>
    <w:rsid w:val="00F34F11"/>
    <w:rsid w:val="00F41281"/>
    <w:rsid w:val="00F41487"/>
    <w:rsid w:val="00F43DBE"/>
    <w:rsid w:val="00F6514B"/>
    <w:rsid w:val="00F765B8"/>
    <w:rsid w:val="00F7663A"/>
    <w:rsid w:val="00F82CC9"/>
    <w:rsid w:val="00F8543C"/>
    <w:rsid w:val="00F92C92"/>
    <w:rsid w:val="00F94591"/>
    <w:rsid w:val="00FA646B"/>
    <w:rsid w:val="00FA6FE7"/>
    <w:rsid w:val="00FC0D9E"/>
    <w:rsid w:val="00FC228D"/>
    <w:rsid w:val="00FC3580"/>
    <w:rsid w:val="00FC5902"/>
    <w:rsid w:val="00FD4E63"/>
    <w:rsid w:val="00FD4EF7"/>
    <w:rsid w:val="00FE06EC"/>
    <w:rsid w:val="00FE2954"/>
    <w:rsid w:val="00FE584C"/>
    <w:rsid w:val="00FE5934"/>
    <w:rsid w:val="00FE79A9"/>
    <w:rsid w:val="00FF3D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D11C238"/>
  <w15:chartTrackingRefBased/>
  <w15:docId w15:val="{48F034E7-602D-2544-9368-AF16B5A2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972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13624">
      <w:bodyDiv w:val="1"/>
      <w:marLeft w:val="0"/>
      <w:marRight w:val="0"/>
      <w:marTop w:val="0"/>
      <w:marBottom w:val="0"/>
      <w:divBdr>
        <w:top w:val="none" w:sz="0" w:space="0" w:color="auto"/>
        <w:left w:val="none" w:sz="0" w:space="0" w:color="auto"/>
        <w:bottom w:val="none" w:sz="0" w:space="0" w:color="auto"/>
        <w:right w:val="none" w:sz="0" w:space="0" w:color="auto"/>
      </w:divBdr>
    </w:div>
    <w:div w:id="155407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4065</Words>
  <Characters>23174</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2</cp:revision>
  <dcterms:created xsi:type="dcterms:W3CDTF">2023-09-12T11:04:00Z</dcterms:created>
  <dcterms:modified xsi:type="dcterms:W3CDTF">2023-09-12T11:04:00Z</dcterms:modified>
</cp:coreProperties>
</file>