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AF16" w14:textId="14BF66A9" w:rsidR="008174C1" w:rsidRPr="008174C1" w:rsidRDefault="008174C1" w:rsidP="008174C1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sz w:val="28"/>
        </w:rPr>
      </w:pPr>
      <w:r w:rsidRPr="008174C1">
        <w:rPr>
          <w:rFonts w:ascii="Times New Roman" w:hAnsi="Times New Roman"/>
          <w:b/>
          <w:sz w:val="28"/>
        </w:rPr>
        <w:t>MESURES PRÉCÉDANT LA COMPARUTION</w:t>
      </w:r>
      <w:r w:rsidR="006D3F83">
        <w:rPr>
          <w:rFonts w:ascii="Times New Roman" w:hAnsi="Times New Roman"/>
          <w:b/>
          <w:sz w:val="28"/>
        </w:rPr>
        <w:t xml:space="preserve"> - CORRIGÉ</w:t>
      </w:r>
    </w:p>
    <w:p w14:paraId="1A3AAE32" w14:textId="77777777" w:rsidR="008174C1" w:rsidRDefault="008174C1" w:rsidP="008174C1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</w:p>
    <w:p w14:paraId="5839676A" w14:textId="77777777" w:rsidR="008174C1" w:rsidRPr="0075320C" w:rsidRDefault="008174C1" w:rsidP="008174C1">
      <w:pPr>
        <w:suppressAutoHyphens/>
        <w:rPr>
          <w:rFonts w:ascii="Times New Roman" w:hAnsi="Times New Roman"/>
          <w:sz w:val="18"/>
          <w:szCs w:val="18"/>
        </w:rPr>
      </w:pPr>
    </w:p>
    <w:p w14:paraId="0272433E" w14:textId="77777777" w:rsidR="005C3F04" w:rsidRDefault="005C3F04" w:rsidP="00520DF1">
      <w:pPr>
        <w:pStyle w:val="marge0"/>
        <w:suppressAutoHyphens/>
        <w:spacing w:line="240" w:lineRule="auto"/>
      </w:pPr>
    </w:p>
    <w:p w14:paraId="6FBDA7E8" w14:textId="69F41882" w:rsidR="00EB1D2F" w:rsidRDefault="00EB1D2F" w:rsidP="00520DF1">
      <w:pPr>
        <w:pStyle w:val="marge0"/>
        <w:suppressAutoHyphens/>
        <w:spacing w:line="240" w:lineRule="auto"/>
      </w:pPr>
      <w:r>
        <w:rPr>
          <w:noProof/>
        </w:rPr>
        <w:drawing>
          <wp:inline distT="0" distB="0" distL="0" distR="0" wp14:anchorId="545D2B56" wp14:editId="41092005">
            <wp:extent cx="5943600" cy="1632585"/>
            <wp:effectExtent l="0" t="0" r="0" b="5715"/>
            <wp:docPr id="141418748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87484" name="Picture 1" descr="A close-up of a docume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268A" w14:textId="77777777" w:rsidR="00EB1D2F" w:rsidRDefault="00EB1D2F" w:rsidP="00520DF1">
      <w:pPr>
        <w:pStyle w:val="marge0"/>
        <w:suppressAutoHyphens/>
        <w:spacing w:line="240" w:lineRule="auto"/>
      </w:pPr>
    </w:p>
    <w:p w14:paraId="52F94CC1" w14:textId="77777777" w:rsidR="00EB1D2F" w:rsidRPr="00543A6F" w:rsidRDefault="00EB1D2F" w:rsidP="00520DF1">
      <w:pPr>
        <w:pStyle w:val="marge0"/>
        <w:suppressAutoHyphens/>
        <w:spacing w:line="240" w:lineRule="auto"/>
      </w:pPr>
    </w:p>
    <w:p w14:paraId="748A60E9" w14:textId="5C57B6E0" w:rsidR="00C45BE8" w:rsidRPr="00543A6F" w:rsidRDefault="00833E19" w:rsidP="00520DF1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1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</w:r>
      <w:r w:rsidR="00C46740" w:rsidRPr="00543A6F">
        <w:rPr>
          <w:b/>
          <w:bCs/>
        </w:rPr>
        <w:t xml:space="preserve">Est-ce que </w:t>
      </w:r>
      <w:r w:rsidR="00C45BE8" w:rsidRPr="00543A6F">
        <w:rPr>
          <w:b/>
          <w:bCs/>
        </w:rPr>
        <w:t>Patrick Maillé au magasin</w:t>
      </w:r>
      <w:r w:rsidR="00C46740" w:rsidRPr="00543A6F">
        <w:rPr>
          <w:b/>
          <w:bCs/>
        </w:rPr>
        <w:t>,</w:t>
      </w:r>
      <w:r w:rsidR="00C45BE8" w:rsidRPr="00543A6F">
        <w:rPr>
          <w:b/>
          <w:bCs/>
        </w:rPr>
        <w:t xml:space="preserve"> convaincu de l’exactitude des renseignements fo</w:t>
      </w:r>
      <w:r w:rsidR="00C46740" w:rsidRPr="00543A6F">
        <w:rPr>
          <w:b/>
          <w:bCs/>
        </w:rPr>
        <w:t>urnis par Pierre Hurtubise et,</w:t>
      </w:r>
      <w:r w:rsidR="0075320C">
        <w:rPr>
          <w:b/>
          <w:bCs/>
        </w:rPr>
        <w:t xml:space="preserve"> si</w:t>
      </w:r>
      <w:r w:rsidR="00C45BE8" w:rsidRPr="00543A6F">
        <w:rPr>
          <w:b/>
          <w:bCs/>
        </w:rPr>
        <w:t xml:space="preserve"> les vérifications du poste s’avèrent négatives</w:t>
      </w:r>
      <w:r w:rsidR="00C46740" w:rsidRPr="00543A6F">
        <w:rPr>
          <w:b/>
          <w:bCs/>
        </w:rPr>
        <w:t>, doit remettre Pierre Hurtubise en liberté?</w:t>
      </w:r>
    </w:p>
    <w:p w14:paraId="7BB4BE1C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5FEE257E" w14:textId="4FD036CA" w:rsidR="00C45BE8" w:rsidRPr="00543A6F" w:rsidRDefault="00C46740" w:rsidP="00520DF1">
      <w:pPr>
        <w:pStyle w:val="marge025"/>
        <w:suppressAutoHyphens/>
        <w:spacing w:line="276" w:lineRule="auto"/>
      </w:pPr>
      <w:r w:rsidRPr="00543A6F">
        <w:t xml:space="preserve">Oui. </w:t>
      </w:r>
      <w:r w:rsidR="00191143" w:rsidRPr="00543A6F">
        <w:t>Puisqu’il s’agit d’un cas d’application de l’article 498 (1.01) C.cr. et n</w:t>
      </w:r>
      <w:r w:rsidR="00C45BE8" w:rsidRPr="00543A6F">
        <w:t>’ayant pas de motifs raisonnables de croire à l’existence</w:t>
      </w:r>
      <w:r w:rsidR="0037472A" w:rsidRPr="00543A6F">
        <w:t xml:space="preserve"> des circonstances de l’article </w:t>
      </w:r>
      <w:r w:rsidR="00191143" w:rsidRPr="00543A6F">
        <w:t>49</w:t>
      </w:r>
      <w:r w:rsidR="0075320C">
        <w:t>8</w:t>
      </w:r>
      <w:r w:rsidR="00191143" w:rsidRPr="00543A6F">
        <w:t xml:space="preserve"> (</w:t>
      </w:r>
      <w:r w:rsidR="0075320C">
        <w:t>1.1</w:t>
      </w:r>
      <w:r w:rsidR="00C45BE8" w:rsidRPr="00543A6F">
        <w:t>) C.cr., il doit remettre Pi</w:t>
      </w:r>
      <w:r w:rsidR="00E14A6F" w:rsidRPr="00543A6F">
        <w:t>err</w:t>
      </w:r>
      <w:r w:rsidR="00191143" w:rsidRPr="00543A6F">
        <w:t>e Hurtubise en liberté (art. 498 (1) C.cr.)</w:t>
      </w:r>
      <w:r w:rsidR="0075320C">
        <w:t xml:space="preserve"> dès que cela est matériellement possible</w:t>
      </w:r>
      <w:r w:rsidR="00191143" w:rsidRPr="00543A6F">
        <w:t>.</w:t>
      </w:r>
    </w:p>
    <w:p w14:paraId="4E212D36" w14:textId="77777777" w:rsidR="00C45BE8" w:rsidRPr="00543A6F" w:rsidRDefault="00C45BE8" w:rsidP="00520DF1">
      <w:pPr>
        <w:pStyle w:val="tabimp025"/>
        <w:suppressAutoHyphens/>
        <w:spacing w:line="240" w:lineRule="exact"/>
        <w:ind w:left="0" w:firstLine="0"/>
        <w:rPr>
          <w:b/>
          <w:bCs/>
        </w:rPr>
      </w:pPr>
    </w:p>
    <w:p w14:paraId="69D053AC" w14:textId="77777777" w:rsidR="00C45BE8" w:rsidRPr="00543A6F" w:rsidRDefault="00C45BE8" w:rsidP="00520DF1">
      <w:pPr>
        <w:pStyle w:val="tabimp025"/>
        <w:suppressAutoHyphens/>
        <w:spacing w:line="240" w:lineRule="exact"/>
        <w:ind w:left="0" w:firstLine="0"/>
        <w:rPr>
          <w:b/>
          <w:bCs/>
        </w:rPr>
      </w:pPr>
    </w:p>
    <w:p w14:paraId="7826CC44" w14:textId="678055CE" w:rsidR="00C45BE8" w:rsidRPr="00543A6F" w:rsidRDefault="00833E19" w:rsidP="00520DF1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2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  <w:t xml:space="preserve">N’étant pas convaincu de l’exactitude des renseignements que Pierre Hurtubise lui a fournis, Patrick Maillé conduit Pierre Hurtubise au poste de police. À cet endroit, l’agent de la paix peut-il </w:t>
      </w:r>
      <w:r w:rsidR="0075320C">
        <w:rPr>
          <w:b/>
          <w:bCs/>
        </w:rPr>
        <w:t xml:space="preserve">réviser sa décision après avoir </w:t>
      </w:r>
      <w:proofErr w:type="gramStart"/>
      <w:r w:rsidR="0075320C">
        <w:rPr>
          <w:b/>
          <w:bCs/>
        </w:rPr>
        <w:t>fait</w:t>
      </w:r>
      <w:proofErr w:type="gramEnd"/>
      <w:r w:rsidR="00C45BE8" w:rsidRPr="00543A6F">
        <w:rPr>
          <w:b/>
          <w:bCs/>
        </w:rPr>
        <w:t xml:space="preserve"> des recherches sur son identité et </w:t>
      </w:r>
      <w:r w:rsidR="0075320C">
        <w:rPr>
          <w:b/>
          <w:bCs/>
        </w:rPr>
        <w:t>sur s</w:t>
      </w:r>
      <w:r w:rsidR="00C45BE8" w:rsidRPr="00543A6F">
        <w:rPr>
          <w:b/>
          <w:bCs/>
        </w:rPr>
        <w:t>es antécédents judiciaires, le cas</w:t>
      </w:r>
      <w:r w:rsidR="00C46740" w:rsidRPr="00543A6F">
        <w:rPr>
          <w:b/>
          <w:bCs/>
        </w:rPr>
        <w:t xml:space="preserve"> échéant?</w:t>
      </w:r>
    </w:p>
    <w:p w14:paraId="0377444B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1183A0D4" w14:textId="74AEF74A" w:rsidR="00C45BE8" w:rsidRPr="00543A6F" w:rsidRDefault="00C46740" w:rsidP="00520DF1">
      <w:pPr>
        <w:pStyle w:val="marge025"/>
        <w:suppressAutoHyphens/>
        <w:spacing w:line="276" w:lineRule="auto"/>
      </w:pPr>
      <w:r w:rsidRPr="00543A6F">
        <w:t>Oui. En vertu de l’article</w:t>
      </w:r>
      <w:r w:rsidR="00E14A6F" w:rsidRPr="00543A6F">
        <w:t> </w:t>
      </w:r>
      <w:r w:rsidR="00C45BE8" w:rsidRPr="00543A6F">
        <w:t xml:space="preserve">498 </w:t>
      </w:r>
      <w:r w:rsidR="00191143" w:rsidRPr="00543A6F">
        <w:t>(1</w:t>
      </w:r>
      <w:r w:rsidR="00F116F6">
        <w:t>.1</w:t>
      </w:r>
      <w:r w:rsidR="00191143" w:rsidRPr="00543A6F">
        <w:t xml:space="preserve">) </w:t>
      </w:r>
      <w:r w:rsidR="00F116F6">
        <w:t xml:space="preserve">a) </w:t>
      </w:r>
      <w:r w:rsidR="0075320C">
        <w:t xml:space="preserve">(i) et (iii) </w:t>
      </w:r>
      <w:r w:rsidR="00C45BE8" w:rsidRPr="00543A6F">
        <w:t xml:space="preserve">C.cr., il pourra faire de plus amples recherches sur </w:t>
      </w:r>
      <w:r w:rsidR="0075320C">
        <w:t>son identité</w:t>
      </w:r>
      <w:r w:rsidR="00C45BE8" w:rsidRPr="00543A6F">
        <w:t xml:space="preserve"> (en téléphonant aux parents ou à la conjointe de Pierre Hurtubise par exemple)</w:t>
      </w:r>
      <w:r w:rsidR="0075320C">
        <w:t>, et sur ses antécédents judiciaires</w:t>
      </w:r>
      <w:r w:rsidR="00C45BE8" w:rsidRPr="00543A6F">
        <w:t>.</w:t>
      </w:r>
    </w:p>
    <w:p w14:paraId="01BDA59C" w14:textId="77777777" w:rsidR="00C45BE8" w:rsidRPr="00543A6F" w:rsidRDefault="00C45BE8" w:rsidP="00520DF1">
      <w:pPr>
        <w:pStyle w:val="marge025"/>
        <w:suppressAutoHyphens/>
        <w:spacing w:line="240" w:lineRule="auto"/>
      </w:pPr>
    </w:p>
    <w:p w14:paraId="6386F4D0" w14:textId="10698923" w:rsidR="00C45BE8" w:rsidRPr="00543A6F" w:rsidRDefault="00C45BE8" w:rsidP="00520DF1">
      <w:pPr>
        <w:pStyle w:val="marge025"/>
        <w:suppressAutoHyphens/>
        <w:spacing w:line="276" w:lineRule="auto"/>
      </w:pPr>
      <w:r w:rsidRPr="00543A6F">
        <w:t>Les vérifications faites au poste permettent au policier de s’assurer de l’identité de Pierre Hurtubise</w:t>
      </w:r>
      <w:r w:rsidR="0075320C">
        <w:t>, et d’évaluer si la continuation de sa détention est toujours nécessaire (voir également l’article 503 (1.1) C.cr.)</w:t>
      </w:r>
      <w:r w:rsidRPr="00543A6F">
        <w:t>.</w:t>
      </w:r>
    </w:p>
    <w:p w14:paraId="4B6AB0AC" w14:textId="77777777" w:rsidR="00C45BE8" w:rsidRPr="00543A6F" w:rsidRDefault="00C45BE8" w:rsidP="00520DF1">
      <w:pPr>
        <w:pStyle w:val="tabimp025"/>
        <w:suppressAutoHyphens/>
        <w:spacing w:line="240" w:lineRule="exact"/>
        <w:ind w:left="0" w:firstLine="0"/>
        <w:rPr>
          <w:b/>
          <w:bCs/>
        </w:rPr>
      </w:pPr>
    </w:p>
    <w:p w14:paraId="5708908C" w14:textId="77777777" w:rsidR="00C45BE8" w:rsidRPr="00543A6F" w:rsidRDefault="00C45BE8" w:rsidP="00520DF1">
      <w:pPr>
        <w:pStyle w:val="tabimp025"/>
        <w:suppressAutoHyphens/>
        <w:spacing w:line="240" w:lineRule="exact"/>
        <w:ind w:left="0" w:firstLine="0"/>
        <w:rPr>
          <w:b/>
          <w:bCs/>
        </w:rPr>
      </w:pPr>
    </w:p>
    <w:p w14:paraId="7E9E316F" w14:textId="77777777" w:rsidR="00C45BE8" w:rsidRPr="00543A6F" w:rsidRDefault="00833E19" w:rsidP="00520DF1">
      <w:pPr>
        <w:pStyle w:val="tabimp025"/>
        <w:keepNext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3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</w:r>
      <w:r w:rsidR="00C46740" w:rsidRPr="00543A6F">
        <w:rPr>
          <w:b/>
          <w:bCs/>
        </w:rPr>
        <w:t>Est-ce que tout agent de la paix, au poste de police</w:t>
      </w:r>
      <w:r w:rsidR="00C45BE8" w:rsidRPr="00543A6F">
        <w:rPr>
          <w:b/>
          <w:bCs/>
        </w:rPr>
        <w:t>, pourra mettre Pierre</w:t>
      </w:r>
      <w:r w:rsidR="00C46740" w:rsidRPr="00543A6F">
        <w:rPr>
          <w:b/>
          <w:bCs/>
        </w:rPr>
        <w:t xml:space="preserve"> Hurtubise en liberté?</w:t>
      </w:r>
    </w:p>
    <w:p w14:paraId="15DB62B7" w14:textId="77777777" w:rsidR="00C45BE8" w:rsidRPr="00543A6F" w:rsidRDefault="00C45BE8" w:rsidP="00520DF1">
      <w:pPr>
        <w:pStyle w:val="tabimp025"/>
        <w:keepNext/>
        <w:suppressAutoHyphens/>
        <w:spacing w:line="240" w:lineRule="exact"/>
        <w:ind w:left="0" w:firstLine="0"/>
        <w:rPr>
          <w:b/>
          <w:bCs/>
        </w:rPr>
      </w:pPr>
    </w:p>
    <w:p w14:paraId="1C66D5D5" w14:textId="77777777" w:rsidR="00C45BE8" w:rsidRPr="00543A6F" w:rsidRDefault="00C46740" w:rsidP="00520DF1">
      <w:pPr>
        <w:pStyle w:val="marge025"/>
        <w:suppressAutoHyphens/>
        <w:spacing w:line="276" w:lineRule="auto"/>
      </w:pPr>
      <w:r w:rsidRPr="00543A6F">
        <w:t xml:space="preserve">Oui. </w:t>
      </w:r>
      <w:r w:rsidR="00E14A6F" w:rsidRPr="00543A6F">
        <w:t>En vertu de l’article </w:t>
      </w:r>
      <w:r w:rsidR="00C45BE8" w:rsidRPr="00543A6F">
        <w:t xml:space="preserve">498 C.cr., ce sera </w:t>
      </w:r>
      <w:r w:rsidR="00191143" w:rsidRPr="00543A6F">
        <w:t>tout</w:t>
      </w:r>
      <w:r w:rsidR="00C45BE8" w:rsidRPr="00543A6F">
        <w:t xml:space="preserve"> </w:t>
      </w:r>
      <w:r w:rsidR="00CF2EE9" w:rsidRPr="00543A6F">
        <w:t>agent de la paix</w:t>
      </w:r>
      <w:r w:rsidR="00191143" w:rsidRPr="00543A6F">
        <w:t>, au sens de la définition de l’art</w:t>
      </w:r>
      <w:r w:rsidR="00B07DDD" w:rsidRPr="00543A6F">
        <w:t>icle</w:t>
      </w:r>
      <w:r w:rsidR="00191143" w:rsidRPr="00543A6F">
        <w:t> 2 C.cr. (</w:t>
      </w:r>
      <w:proofErr w:type="gramStart"/>
      <w:r w:rsidR="00191143" w:rsidRPr="00543A6F">
        <w:t>tout</w:t>
      </w:r>
      <w:proofErr w:type="gramEnd"/>
      <w:r w:rsidR="00191143" w:rsidRPr="00543A6F">
        <w:t xml:space="preserve"> officier de police).</w:t>
      </w:r>
    </w:p>
    <w:p w14:paraId="30260D91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3EE34E90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3149D0D1" w14:textId="2C98C864" w:rsidR="00C45BE8" w:rsidRPr="00543A6F" w:rsidRDefault="00833E19" w:rsidP="00520DF1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lastRenderedPageBreak/>
        <w:t>4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</w:r>
      <w:r w:rsidR="00C46740" w:rsidRPr="00543A6F">
        <w:rPr>
          <w:b/>
          <w:bCs/>
        </w:rPr>
        <w:t xml:space="preserve">Est-ce que le policier pourra le mettre en liberté dans le but de </w:t>
      </w:r>
      <w:r w:rsidR="0075320C">
        <w:rPr>
          <w:b/>
          <w:bCs/>
        </w:rPr>
        <w:t xml:space="preserve">le </w:t>
      </w:r>
      <w:r w:rsidR="00C46740" w:rsidRPr="00543A6F">
        <w:rPr>
          <w:b/>
          <w:bCs/>
        </w:rPr>
        <w:t>faire comparaître par voie de sommation?</w:t>
      </w:r>
    </w:p>
    <w:p w14:paraId="77DCA7FB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67254204" w14:textId="3C74C524" w:rsidR="00C45BE8" w:rsidRPr="00543A6F" w:rsidRDefault="00C46740" w:rsidP="00520DF1">
      <w:pPr>
        <w:pStyle w:val="marge025"/>
        <w:suppressAutoHyphens/>
        <w:spacing w:line="276" w:lineRule="auto"/>
      </w:pPr>
      <w:r w:rsidRPr="00543A6F">
        <w:t xml:space="preserve">Oui. </w:t>
      </w:r>
      <w:r w:rsidR="00E14A6F" w:rsidRPr="00543A6F">
        <w:t>En vertu de l’article </w:t>
      </w:r>
      <w:r w:rsidR="00C45BE8" w:rsidRPr="00543A6F">
        <w:t xml:space="preserve">498 </w:t>
      </w:r>
      <w:r w:rsidR="00191143" w:rsidRPr="00543A6F">
        <w:t xml:space="preserve">(1) </w:t>
      </w:r>
      <w:r w:rsidR="00C45BE8" w:rsidRPr="00543A6F">
        <w:t xml:space="preserve">C.cr., </w:t>
      </w:r>
      <w:r w:rsidRPr="00543A6F">
        <w:t>La</w:t>
      </w:r>
      <w:r w:rsidR="00C45BE8" w:rsidRPr="00543A6F">
        <w:t xml:space="preserve"> sommation</w:t>
      </w:r>
      <w:r w:rsidRPr="00543A6F">
        <w:t xml:space="preserve"> sera émise </w:t>
      </w:r>
      <w:r w:rsidR="0075320C">
        <w:t xml:space="preserve">par un juge de paix </w:t>
      </w:r>
      <w:r w:rsidRPr="00543A6F">
        <w:t xml:space="preserve">à la suite du dépôt d’une dénonciation après une pré-autorisation </w:t>
      </w:r>
      <w:r w:rsidR="0075320C">
        <w:t>du</w:t>
      </w:r>
      <w:r w:rsidRPr="00543A6F">
        <w:t xml:space="preserve"> procureur de la poursuite </w:t>
      </w:r>
      <w:r w:rsidR="00191143" w:rsidRPr="00543A6F">
        <w:t>(art. 498 (1) a)</w:t>
      </w:r>
      <w:r w:rsidRPr="00543A6F">
        <w:t xml:space="preserve"> et 507 (4) </w:t>
      </w:r>
      <w:r w:rsidR="00191143" w:rsidRPr="00543A6F">
        <w:t>C.cr.)</w:t>
      </w:r>
      <w:r w:rsidRPr="00543A6F">
        <w:t>.</w:t>
      </w:r>
    </w:p>
    <w:p w14:paraId="2C0D10A4" w14:textId="77777777" w:rsidR="00BE1CFD" w:rsidRPr="00543A6F" w:rsidRDefault="00BE1CFD" w:rsidP="006D3F83">
      <w:pPr>
        <w:pStyle w:val="tabimp025"/>
        <w:suppressAutoHyphens/>
        <w:spacing w:line="276" w:lineRule="auto"/>
        <w:ind w:left="0" w:firstLine="0"/>
        <w:rPr>
          <w:b/>
          <w:bCs/>
        </w:rPr>
      </w:pPr>
    </w:p>
    <w:p w14:paraId="0C443015" w14:textId="77777777" w:rsidR="00BE1CFD" w:rsidRPr="00543A6F" w:rsidRDefault="00BE1CFD" w:rsidP="00BE1CFD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5.</w:t>
      </w:r>
      <w:r w:rsidRPr="00543A6F">
        <w:rPr>
          <w:b/>
          <w:bCs/>
        </w:rPr>
        <w:tab/>
        <w:t>Est-ce que le policier pourrait émettre une promesse?</w:t>
      </w:r>
    </w:p>
    <w:p w14:paraId="2EF55A90" w14:textId="77777777" w:rsidR="00BE1CFD" w:rsidRPr="00543A6F" w:rsidRDefault="00BE1CFD" w:rsidP="00BE1CFD">
      <w:pPr>
        <w:pStyle w:val="tabimp025"/>
        <w:suppressAutoHyphens/>
        <w:spacing w:line="240" w:lineRule="auto"/>
        <w:rPr>
          <w:b/>
          <w:bCs/>
        </w:rPr>
      </w:pPr>
    </w:p>
    <w:p w14:paraId="3B9F4299" w14:textId="7551C2BE" w:rsidR="00C45BE8" w:rsidRPr="006D3F83" w:rsidRDefault="00BE1CFD" w:rsidP="006D3F83">
      <w:pPr>
        <w:pStyle w:val="marge025"/>
      </w:pPr>
      <w:r w:rsidRPr="00543A6F">
        <w:t>Oui. Le policier pourrait faire signer au prévenu</w:t>
      </w:r>
      <w:r w:rsidR="00C45BE8" w:rsidRPr="00543A6F">
        <w:t xml:space="preserve"> une promesse </w:t>
      </w:r>
      <w:r w:rsidR="00191143" w:rsidRPr="00543A6F">
        <w:t xml:space="preserve">(art. 498 (1) c) C.cr.) </w:t>
      </w:r>
      <w:r w:rsidR="00C0103A" w:rsidRPr="00543A6F">
        <w:t xml:space="preserve">avec </w:t>
      </w:r>
      <w:r w:rsidR="00B07DDD" w:rsidRPr="00543A6F">
        <w:t xml:space="preserve">conditions (art. 501 (2) et (3) C.cr.) </w:t>
      </w:r>
      <w:r w:rsidR="00191143" w:rsidRPr="00543A6F">
        <w:t>ou sans</w:t>
      </w:r>
      <w:r w:rsidR="00B07DDD" w:rsidRPr="00543A6F">
        <w:t xml:space="preserve"> les conditions prévues à l’article</w:t>
      </w:r>
      <w:r w:rsidR="00191143" w:rsidRPr="00543A6F">
        <w:t xml:space="preserve"> 501 (3) C.cr. </w:t>
      </w:r>
      <w:proofErr w:type="gramStart"/>
      <w:r w:rsidR="00C45BE8" w:rsidRPr="00543A6F">
        <w:t>et</w:t>
      </w:r>
      <w:proofErr w:type="gramEnd"/>
      <w:r w:rsidR="00C45BE8" w:rsidRPr="00543A6F">
        <w:t xml:space="preserve"> faire confirmer ce document par un jug</w:t>
      </w:r>
      <w:r w:rsidR="00E05851" w:rsidRPr="00543A6F">
        <w:t>e de paix en vertu de l’article </w:t>
      </w:r>
      <w:r w:rsidR="00C45BE8" w:rsidRPr="00543A6F">
        <w:t>508</w:t>
      </w:r>
      <w:r w:rsidR="0075320C">
        <w:t> (1) b) (i)</w:t>
      </w:r>
      <w:r w:rsidR="00C45BE8" w:rsidRPr="00543A6F">
        <w:t xml:space="preserve"> C.cr.</w:t>
      </w:r>
      <w:r w:rsidR="00E05851" w:rsidRPr="00543A6F">
        <w:t>,</w:t>
      </w:r>
      <w:r w:rsidR="00C45BE8" w:rsidRPr="00543A6F">
        <w:t xml:space="preserve"> et ce, après pré-autorisation du procureur de la poursuite</w:t>
      </w:r>
      <w:r w:rsidR="0075320C">
        <w:t xml:space="preserve"> (une dénonciation avec confirmation du juge de paix) d’une promesse ou d’une citation à comparaître</w:t>
      </w:r>
      <w:r w:rsidR="00C45BE8" w:rsidRPr="00543A6F">
        <w:t>.</w:t>
      </w:r>
    </w:p>
    <w:p w14:paraId="67CAC05F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6842DFB7" w14:textId="77777777" w:rsidR="00C45BE8" w:rsidRPr="00543A6F" w:rsidRDefault="00F55B9A" w:rsidP="00520DF1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6</w:t>
      </w:r>
      <w:r w:rsidR="00BE1CFD" w:rsidRPr="00543A6F">
        <w:rPr>
          <w:b/>
          <w:bCs/>
        </w:rPr>
        <w:t>.</w:t>
      </w:r>
      <w:r w:rsidR="00BE1CFD" w:rsidRPr="00543A6F">
        <w:rPr>
          <w:b/>
          <w:bCs/>
        </w:rPr>
        <w:tab/>
        <w:t>Est-ce que le policier peut</w:t>
      </w:r>
      <w:r w:rsidR="00C45BE8" w:rsidRPr="00543A6F">
        <w:rPr>
          <w:b/>
          <w:bCs/>
        </w:rPr>
        <w:t xml:space="preserve"> exiger de Pierre Hurtubise qu’il dépose au poste de police une somme d’argent pour assurer sa présence à la cour? </w:t>
      </w:r>
    </w:p>
    <w:p w14:paraId="688D5C33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1762E4B5" w14:textId="5EFEF033" w:rsidR="00C45BE8" w:rsidRPr="006D3F83" w:rsidRDefault="00BE1CFD" w:rsidP="006D3F83">
      <w:pPr>
        <w:pStyle w:val="marge025"/>
        <w:suppressAutoHyphens/>
        <w:spacing w:line="276" w:lineRule="auto"/>
      </w:pPr>
      <w:r w:rsidRPr="00543A6F">
        <w:t xml:space="preserve">Oui. </w:t>
      </w:r>
      <w:r w:rsidR="00D615BA">
        <w:t>Dans la mesure où</w:t>
      </w:r>
      <w:r w:rsidR="00C45BE8" w:rsidRPr="00543A6F">
        <w:t xml:space="preserve"> Pierre Hurtubise ne réside pas ordinairement dans la province où il est sous garde ou dans un ray</w:t>
      </w:r>
      <w:r w:rsidR="00E05851" w:rsidRPr="00543A6F">
        <w:t>on de 200 </w:t>
      </w:r>
      <w:r w:rsidR="00C45BE8" w:rsidRPr="00543A6F">
        <w:t>km du lieu</w:t>
      </w:r>
      <w:r w:rsidR="00191143" w:rsidRPr="00543A6F">
        <w:t xml:space="preserve"> où il est sous garde (art. 501</w:t>
      </w:r>
      <w:r w:rsidR="0037472A" w:rsidRPr="00543A6F">
        <w:t> (</w:t>
      </w:r>
      <w:r w:rsidR="0030050F">
        <w:t>3</w:t>
      </w:r>
      <w:r w:rsidR="0037472A" w:rsidRPr="00543A6F">
        <w:t>) </w:t>
      </w:r>
      <w:r w:rsidR="00191143" w:rsidRPr="00543A6F">
        <w:t>j</w:t>
      </w:r>
      <w:r w:rsidR="00C45BE8" w:rsidRPr="00543A6F">
        <w:t>) C.cr.).</w:t>
      </w:r>
    </w:p>
    <w:p w14:paraId="47ECAD4C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5DC129A1" w14:textId="77777777" w:rsidR="00C45BE8" w:rsidRPr="00543A6F" w:rsidRDefault="00F55B9A" w:rsidP="00520DF1">
      <w:pPr>
        <w:pStyle w:val="tabimp025"/>
        <w:keepNext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7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</w:r>
      <w:r w:rsidR="00BE1CFD" w:rsidRPr="00543A6F">
        <w:rPr>
          <w:b/>
          <w:bCs/>
        </w:rPr>
        <w:t>Est-ce que Patrick Maillé peut</w:t>
      </w:r>
      <w:r w:rsidR="00C45BE8" w:rsidRPr="00543A6F">
        <w:rPr>
          <w:b/>
          <w:bCs/>
        </w:rPr>
        <w:t xml:space="preserve"> exiger de Pierre Hurtubise qu’il fournisse ses empreintes digitales?</w:t>
      </w:r>
    </w:p>
    <w:p w14:paraId="5666EA57" w14:textId="77777777" w:rsidR="00C45BE8" w:rsidRPr="00543A6F" w:rsidRDefault="00C45BE8" w:rsidP="00520DF1">
      <w:pPr>
        <w:pStyle w:val="marge0"/>
        <w:keepNext/>
        <w:suppressAutoHyphens/>
        <w:spacing w:line="240" w:lineRule="auto"/>
      </w:pPr>
    </w:p>
    <w:p w14:paraId="4538F82D" w14:textId="0D477EA8" w:rsidR="002C359F" w:rsidRDefault="00D2654C" w:rsidP="00D2654C">
      <w:pPr>
        <w:pStyle w:val="marge025"/>
        <w:suppressAutoHyphens/>
        <w:spacing w:line="276" w:lineRule="auto"/>
      </w:pPr>
      <w:r>
        <w:t>Oui</w:t>
      </w:r>
      <w:r w:rsidR="006438FD">
        <w:t>.</w:t>
      </w:r>
      <w:r>
        <w:t xml:space="preserve"> </w:t>
      </w:r>
      <w:r w:rsidR="00D615BA">
        <w:t>Puisqu’il est allégué que Patrick a commis un acte criminel, l’arrêt</w:t>
      </w:r>
      <w:r>
        <w:t xml:space="preserve"> </w:t>
      </w:r>
      <w:r w:rsidRPr="00D2654C">
        <w:rPr>
          <w:i/>
        </w:rPr>
        <w:t>R. c. Lapointe et al.</w:t>
      </w:r>
      <w:r>
        <w:t xml:space="preserve">, 2021 QCCA 360, </w:t>
      </w:r>
      <w:r w:rsidR="00D615BA">
        <w:t xml:space="preserve">s’applique. Ainsi, </w:t>
      </w:r>
      <w:r>
        <w:t xml:space="preserve">l’article 34 (1) a) de la </w:t>
      </w:r>
      <w:r w:rsidRPr="00D2654C">
        <w:rPr>
          <w:i/>
        </w:rPr>
        <w:t>Loi d’interprétation</w:t>
      </w:r>
      <w:r>
        <w:t xml:space="preserve"> </w:t>
      </w:r>
      <w:r w:rsidR="00D615BA">
        <w:t>crée</w:t>
      </w:r>
      <w:r>
        <w:t xml:space="preserve"> l’obligation de se soumettre à la prise des empreintes digitales prévue à l’article 2 de la </w:t>
      </w:r>
      <w:r w:rsidRPr="00D2654C">
        <w:rPr>
          <w:i/>
        </w:rPr>
        <w:t>Loi sur l’identification des criminels</w:t>
      </w:r>
      <w:r>
        <w:t xml:space="preserve">, </w:t>
      </w:r>
      <w:r w:rsidR="00D615BA">
        <w:t>pour</w:t>
      </w:r>
      <w:r>
        <w:t xml:space="preserve"> toute personne inculpée d’un acte criminel, bien que la dénonciation lui reproche d’avoir commis une infraction poursuivie par </w:t>
      </w:r>
      <w:r w:rsidR="00D615BA">
        <w:t>déclaration</w:t>
      </w:r>
      <w:r>
        <w:t xml:space="preserve"> sommaire (voir art. 501 (4) et 509 (5) C.cr.).</w:t>
      </w:r>
    </w:p>
    <w:p w14:paraId="5EB80C88" w14:textId="77777777" w:rsidR="00C45BE8" w:rsidRPr="00543A6F" w:rsidRDefault="00C45BE8" w:rsidP="00520DF1">
      <w:pPr>
        <w:pStyle w:val="marge0"/>
        <w:suppressAutoHyphens/>
        <w:spacing w:line="240" w:lineRule="auto"/>
      </w:pPr>
    </w:p>
    <w:p w14:paraId="55C5AA93" w14:textId="77777777" w:rsidR="00C45BE8" w:rsidRPr="00543A6F" w:rsidRDefault="00F55B9A" w:rsidP="00520DF1">
      <w:pPr>
        <w:pStyle w:val="tabimp025"/>
        <w:suppressAutoHyphens/>
        <w:spacing w:line="240" w:lineRule="auto"/>
        <w:rPr>
          <w:b/>
          <w:bCs/>
        </w:rPr>
      </w:pPr>
      <w:r w:rsidRPr="00543A6F">
        <w:rPr>
          <w:b/>
          <w:bCs/>
        </w:rPr>
        <w:t>8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</w:r>
      <w:r w:rsidR="003738F4">
        <w:rPr>
          <w:b/>
          <w:bCs/>
        </w:rPr>
        <w:t>Le</w:t>
      </w:r>
      <w:r w:rsidR="00C45BE8" w:rsidRPr="00543A6F">
        <w:rPr>
          <w:b/>
          <w:bCs/>
        </w:rPr>
        <w:t xml:space="preserve"> mandat visé</w:t>
      </w:r>
      <w:r w:rsidR="003738F4">
        <w:rPr>
          <w:b/>
          <w:bCs/>
        </w:rPr>
        <w:t xml:space="preserve"> permet-il aux policiers de mettre François Lapierre en liberté</w:t>
      </w:r>
      <w:r w:rsidR="00C45BE8" w:rsidRPr="00543A6F">
        <w:rPr>
          <w:b/>
          <w:bCs/>
        </w:rPr>
        <w:t>? Motivez votre réponse.</w:t>
      </w:r>
    </w:p>
    <w:p w14:paraId="1B2DBC32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44998821" w14:textId="4346A87B" w:rsidR="00C45BE8" w:rsidRPr="00543A6F" w:rsidRDefault="00C46740" w:rsidP="00520DF1">
      <w:pPr>
        <w:pStyle w:val="marge025"/>
        <w:suppressAutoHyphens/>
        <w:spacing w:line="276" w:lineRule="auto"/>
      </w:pPr>
      <w:r w:rsidRPr="00543A6F">
        <w:t xml:space="preserve">Oui. </w:t>
      </w:r>
      <w:r w:rsidR="00C45BE8" w:rsidRPr="00543A6F">
        <w:t>Il s’agit d’une autorisation faite aux policiers qui procéderont à l’arrestation de François Lapierre de le mettre en liberté</w:t>
      </w:r>
      <w:r w:rsidR="00E05851" w:rsidRPr="00543A6F">
        <w:t>, et ce, en vertu de l’article </w:t>
      </w:r>
      <w:r w:rsidR="00C45BE8" w:rsidRPr="00543A6F">
        <w:t>507 (6) C.cr.</w:t>
      </w:r>
      <w:r w:rsidR="00D615BA">
        <w:t xml:space="preserve"> Cette disposition accorde aux policiers un pouvoir discrétionnaire de remettre la personne en liberté selon l’article 499 C.cr. (</w:t>
      </w:r>
      <w:proofErr w:type="gramStart"/>
      <w:r w:rsidR="00D615BA">
        <w:t>formule</w:t>
      </w:r>
      <w:proofErr w:type="gramEnd"/>
      <w:r w:rsidR="00D615BA">
        <w:t> 29).</w:t>
      </w:r>
    </w:p>
    <w:p w14:paraId="51083C25" w14:textId="77777777" w:rsidR="00C45BE8" w:rsidRPr="00543A6F" w:rsidRDefault="00C45BE8" w:rsidP="00520DF1">
      <w:pPr>
        <w:pStyle w:val="marge025"/>
        <w:suppressAutoHyphens/>
        <w:spacing w:line="276" w:lineRule="auto"/>
      </w:pPr>
    </w:p>
    <w:p w14:paraId="43F82F55" w14:textId="77777777" w:rsidR="00C45BE8" w:rsidRPr="00543A6F" w:rsidRDefault="00C45BE8" w:rsidP="00520DF1">
      <w:pPr>
        <w:pStyle w:val="marge025"/>
        <w:suppressAutoHyphens/>
        <w:spacing w:line="276" w:lineRule="auto"/>
      </w:pPr>
      <w:r w:rsidRPr="00543A6F">
        <w:t>Cette autorisation se trouve à l’endos du mandat d’arrestation.</w:t>
      </w:r>
    </w:p>
    <w:p w14:paraId="69A6A53F" w14:textId="77777777" w:rsidR="00C45BE8" w:rsidRPr="00543A6F" w:rsidRDefault="00C45BE8" w:rsidP="006D3F83">
      <w:pPr>
        <w:pStyle w:val="tabimp025"/>
        <w:suppressAutoHyphens/>
        <w:spacing w:line="240" w:lineRule="auto"/>
        <w:ind w:left="0" w:firstLine="0"/>
        <w:rPr>
          <w:b/>
          <w:bCs/>
        </w:rPr>
      </w:pPr>
    </w:p>
    <w:p w14:paraId="391E4CBC" w14:textId="509AD740" w:rsidR="00C45BE8" w:rsidRPr="00543A6F" w:rsidRDefault="00F55B9A" w:rsidP="00C46740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9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</w:r>
      <w:r w:rsidR="003738F4">
        <w:rPr>
          <w:b/>
          <w:bCs/>
        </w:rPr>
        <w:t>L</w:t>
      </w:r>
      <w:r w:rsidR="00C45BE8" w:rsidRPr="00543A6F">
        <w:rPr>
          <w:b/>
          <w:bCs/>
        </w:rPr>
        <w:t>’avo</w:t>
      </w:r>
      <w:r w:rsidR="003738F4">
        <w:rPr>
          <w:b/>
          <w:bCs/>
        </w:rPr>
        <w:t>cat de François Lapierre peu</w:t>
      </w:r>
      <w:r w:rsidR="00C45BE8" w:rsidRPr="00543A6F">
        <w:rPr>
          <w:b/>
          <w:bCs/>
        </w:rPr>
        <w:t>t</w:t>
      </w:r>
      <w:r w:rsidR="005301A4" w:rsidRPr="00543A6F">
        <w:rPr>
          <w:b/>
          <w:bCs/>
        </w:rPr>
        <w:t>-il</w:t>
      </w:r>
      <w:r w:rsidR="00C45BE8" w:rsidRPr="00543A6F">
        <w:rPr>
          <w:b/>
          <w:bCs/>
        </w:rPr>
        <w:t xml:space="preserve"> </w:t>
      </w:r>
      <w:r w:rsidR="006438FD">
        <w:rPr>
          <w:b/>
          <w:bCs/>
        </w:rPr>
        <w:t>demander</w:t>
      </w:r>
      <w:r w:rsidR="00B110EC">
        <w:rPr>
          <w:b/>
          <w:bCs/>
        </w:rPr>
        <w:t xml:space="preserve"> que l’exécuti</w:t>
      </w:r>
      <w:r w:rsidR="00C46740" w:rsidRPr="00543A6F">
        <w:rPr>
          <w:b/>
          <w:bCs/>
        </w:rPr>
        <w:t>on du mandat soit suspendue jusqu’à une prochaine date?</w:t>
      </w:r>
    </w:p>
    <w:p w14:paraId="5A72A2E2" w14:textId="77777777" w:rsidR="00C46740" w:rsidRPr="00543A6F" w:rsidRDefault="00C46740" w:rsidP="00C46740">
      <w:pPr>
        <w:pStyle w:val="tabimp025"/>
        <w:suppressAutoHyphens/>
        <w:spacing w:line="276" w:lineRule="auto"/>
        <w:rPr>
          <w:b/>
          <w:bCs/>
        </w:rPr>
      </w:pPr>
    </w:p>
    <w:p w14:paraId="7ADFA917" w14:textId="47282BFA" w:rsidR="00C45BE8" w:rsidRPr="00543A6F" w:rsidRDefault="00C46740" w:rsidP="00520DF1">
      <w:pPr>
        <w:pStyle w:val="marge025"/>
        <w:suppressAutoHyphens/>
        <w:spacing w:line="276" w:lineRule="auto"/>
      </w:pPr>
      <w:r w:rsidRPr="00543A6F">
        <w:lastRenderedPageBreak/>
        <w:t>Oui. Pour</w:t>
      </w:r>
      <w:r w:rsidR="00C45BE8" w:rsidRPr="00543A6F">
        <w:t xml:space="preserve"> permettre la comparution volontaire de François Lapierre</w:t>
      </w:r>
      <w:r w:rsidR="00E05851" w:rsidRPr="00543A6F">
        <w:t>,</w:t>
      </w:r>
      <w:r w:rsidR="00A420E6" w:rsidRPr="00543A6F">
        <w:t xml:space="preserve"> et ce, en vertu de l’article </w:t>
      </w:r>
      <w:r w:rsidR="00C45BE8" w:rsidRPr="00543A6F">
        <w:t>511 (3) C.cr.</w:t>
      </w:r>
      <w:r w:rsidR="00D615BA">
        <w:t>, le juge pourrait émettre le mandat d’arrestation et en suspendre l’exécution jusqu’à une prochaine date.</w:t>
      </w:r>
    </w:p>
    <w:p w14:paraId="10E9E064" w14:textId="77777777" w:rsidR="00C45BE8" w:rsidRPr="00543A6F" w:rsidRDefault="00C45BE8" w:rsidP="006D3F83">
      <w:pPr>
        <w:pStyle w:val="tabimp025"/>
        <w:suppressAutoHyphens/>
        <w:spacing w:line="240" w:lineRule="auto"/>
        <w:ind w:left="0" w:firstLine="0"/>
        <w:rPr>
          <w:b/>
          <w:bCs/>
        </w:rPr>
      </w:pPr>
    </w:p>
    <w:p w14:paraId="77520BE8" w14:textId="77777777" w:rsidR="00C45BE8" w:rsidRPr="00543A6F" w:rsidRDefault="00F55B9A" w:rsidP="00520DF1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10</w:t>
      </w:r>
      <w:r w:rsidR="00C45BE8" w:rsidRPr="00543A6F">
        <w:rPr>
          <w:b/>
          <w:bCs/>
        </w:rPr>
        <w:t>.</w:t>
      </w:r>
      <w:r w:rsidR="00C45BE8" w:rsidRPr="00543A6F">
        <w:rPr>
          <w:b/>
          <w:bCs/>
        </w:rPr>
        <w:tab/>
        <w:t>Advenant l’arrestation de François Lapierre sur un mandat visé, pou</w:t>
      </w:r>
      <w:r w:rsidR="00C46740" w:rsidRPr="00543A6F">
        <w:rPr>
          <w:b/>
          <w:bCs/>
        </w:rPr>
        <w:t>rra-t-il être remis en liberté?</w:t>
      </w:r>
    </w:p>
    <w:p w14:paraId="219FAA3C" w14:textId="77777777" w:rsidR="00C45BE8" w:rsidRPr="00543A6F" w:rsidRDefault="00C45BE8" w:rsidP="00520DF1">
      <w:pPr>
        <w:pStyle w:val="tabimp025"/>
        <w:suppressAutoHyphens/>
        <w:spacing w:line="240" w:lineRule="auto"/>
        <w:rPr>
          <w:b/>
          <w:bCs/>
        </w:rPr>
      </w:pPr>
    </w:p>
    <w:p w14:paraId="05528975" w14:textId="6CBC51D3" w:rsidR="00C45BE8" w:rsidRPr="00543A6F" w:rsidRDefault="00C46740" w:rsidP="00520DF1">
      <w:pPr>
        <w:pStyle w:val="marge025"/>
        <w:suppressAutoHyphens/>
        <w:spacing w:line="276" w:lineRule="auto"/>
      </w:pPr>
      <w:r w:rsidRPr="00543A6F">
        <w:t xml:space="preserve">Oui. </w:t>
      </w:r>
      <w:r w:rsidR="00C45BE8" w:rsidRPr="00543A6F">
        <w:t xml:space="preserve">Par </w:t>
      </w:r>
      <w:r w:rsidR="002C359F" w:rsidRPr="00543A6F">
        <w:t>un agent de la paix (art. 499</w:t>
      </w:r>
      <w:r w:rsidR="00C45BE8" w:rsidRPr="00543A6F">
        <w:t xml:space="preserve"> C.cr.) qui </w:t>
      </w:r>
      <w:r w:rsidR="002C359F" w:rsidRPr="00543A6F">
        <w:t>remet</w:t>
      </w:r>
      <w:r w:rsidR="00E05851" w:rsidRPr="00543A6F">
        <w:t xml:space="preserve"> aux prévenus</w:t>
      </w:r>
      <w:r w:rsidR="002C359F" w:rsidRPr="00543A6F">
        <w:t xml:space="preserve"> </w:t>
      </w:r>
      <w:r w:rsidR="00C45BE8" w:rsidRPr="00543A6F">
        <w:t>une promesse</w:t>
      </w:r>
      <w:r w:rsidR="00083BD6" w:rsidRPr="00543A6F">
        <w:t xml:space="preserve"> </w:t>
      </w:r>
      <w:r w:rsidR="00D615BA">
        <w:t xml:space="preserve">(formule 10) </w:t>
      </w:r>
      <w:r w:rsidR="00083BD6" w:rsidRPr="00543A6F">
        <w:t>ou lui délivrer une citation</w:t>
      </w:r>
      <w:r w:rsidR="00C45BE8" w:rsidRPr="00543A6F">
        <w:t xml:space="preserve"> à comparaître</w:t>
      </w:r>
      <w:r w:rsidR="00D615BA">
        <w:t xml:space="preserve"> (formule 9)</w:t>
      </w:r>
      <w:r w:rsidR="00C45BE8" w:rsidRPr="00543A6F">
        <w:t>.</w:t>
      </w:r>
    </w:p>
    <w:p w14:paraId="43502C79" w14:textId="77777777" w:rsidR="00C45BE8" w:rsidRPr="00543A6F" w:rsidRDefault="00C45BE8" w:rsidP="006D3F83">
      <w:pPr>
        <w:pStyle w:val="tabimp025"/>
        <w:suppressAutoHyphens/>
        <w:spacing w:line="240" w:lineRule="auto"/>
        <w:ind w:left="0" w:firstLine="0"/>
        <w:rPr>
          <w:b/>
          <w:bCs/>
        </w:rPr>
      </w:pPr>
    </w:p>
    <w:p w14:paraId="75C6E7FC" w14:textId="77777777" w:rsidR="00C45BE8" w:rsidRPr="00543A6F" w:rsidRDefault="00C45BE8" w:rsidP="00520DF1">
      <w:pPr>
        <w:pStyle w:val="tabimp025"/>
        <w:keepNext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1</w:t>
      </w:r>
      <w:r w:rsidR="00F55B9A" w:rsidRPr="00543A6F">
        <w:rPr>
          <w:b/>
          <w:bCs/>
        </w:rPr>
        <w:t>1</w:t>
      </w:r>
      <w:r w:rsidRPr="00543A6F">
        <w:rPr>
          <w:b/>
          <w:bCs/>
        </w:rPr>
        <w:t>.</w:t>
      </w:r>
      <w:r w:rsidRPr="00543A6F">
        <w:rPr>
          <w:b/>
          <w:bCs/>
        </w:rPr>
        <w:tab/>
        <w:t xml:space="preserve">Est-ce que des conditions pourraient être imposées lors de cette mise en liberté? </w:t>
      </w:r>
    </w:p>
    <w:p w14:paraId="6ABE9A11" w14:textId="77777777" w:rsidR="00C45BE8" w:rsidRPr="00543A6F" w:rsidRDefault="00C45BE8" w:rsidP="00520DF1">
      <w:pPr>
        <w:pStyle w:val="marge0"/>
        <w:keepNext/>
        <w:suppressAutoHyphens/>
        <w:spacing w:line="240" w:lineRule="auto"/>
      </w:pPr>
    </w:p>
    <w:p w14:paraId="2D297131" w14:textId="74D9CA60" w:rsidR="00C45BE8" w:rsidRPr="00543A6F" w:rsidRDefault="00C46740" w:rsidP="00520DF1">
      <w:pPr>
        <w:pStyle w:val="marge025"/>
        <w:keepNext/>
        <w:suppressAutoHyphens/>
        <w:spacing w:line="240" w:lineRule="auto"/>
      </w:pPr>
      <w:r w:rsidRPr="00543A6F">
        <w:t>Oui. A</w:t>
      </w:r>
      <w:r w:rsidR="00E05851" w:rsidRPr="00543A6F">
        <w:t>rt. </w:t>
      </w:r>
      <w:r w:rsidR="00083BD6" w:rsidRPr="00543A6F">
        <w:t>501 (1</w:t>
      </w:r>
      <w:r w:rsidR="00C45BE8" w:rsidRPr="00543A6F">
        <w:t>)</w:t>
      </w:r>
      <w:r w:rsidR="00D615BA">
        <w:t xml:space="preserve"> (conditions obligatoires)</w:t>
      </w:r>
      <w:r w:rsidR="00083BD6" w:rsidRPr="00543A6F">
        <w:t>, (2) et (3)</w:t>
      </w:r>
      <w:r w:rsidR="00D615BA">
        <w:t xml:space="preserve"> (conditions facultatives)</w:t>
      </w:r>
      <w:r w:rsidR="00083BD6" w:rsidRPr="00543A6F">
        <w:t xml:space="preserve"> C.cr. (</w:t>
      </w:r>
      <w:proofErr w:type="gramStart"/>
      <w:r w:rsidR="00083BD6" w:rsidRPr="00543A6F">
        <w:t>voir</w:t>
      </w:r>
      <w:proofErr w:type="gramEnd"/>
      <w:r w:rsidR="00083BD6" w:rsidRPr="00543A6F">
        <w:t xml:space="preserve"> formule 10</w:t>
      </w:r>
      <w:r w:rsidR="00C45BE8" w:rsidRPr="00543A6F">
        <w:t>).</w:t>
      </w:r>
    </w:p>
    <w:p w14:paraId="7B1097E5" w14:textId="77777777" w:rsidR="00C45BE8" w:rsidRPr="00543A6F" w:rsidRDefault="00C45BE8" w:rsidP="00520DF1">
      <w:pPr>
        <w:pStyle w:val="marge0"/>
        <w:suppressAutoHyphens/>
        <w:spacing w:line="240" w:lineRule="auto"/>
      </w:pPr>
    </w:p>
    <w:p w14:paraId="46A01B03" w14:textId="77777777" w:rsidR="00C45BE8" w:rsidRPr="00543A6F" w:rsidRDefault="00C45BE8" w:rsidP="00520DF1">
      <w:pPr>
        <w:pStyle w:val="tabimp025"/>
        <w:keepNext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1</w:t>
      </w:r>
      <w:r w:rsidR="00F55B9A" w:rsidRPr="00543A6F">
        <w:rPr>
          <w:b/>
          <w:bCs/>
        </w:rPr>
        <w:t>2</w:t>
      </w:r>
      <w:r w:rsidRPr="00543A6F">
        <w:rPr>
          <w:b/>
          <w:bCs/>
        </w:rPr>
        <w:t>.</w:t>
      </w:r>
      <w:r w:rsidRPr="00543A6F">
        <w:rPr>
          <w:b/>
          <w:bCs/>
        </w:rPr>
        <w:tab/>
        <w:t xml:space="preserve">Luc Landry </w:t>
      </w:r>
      <w:r w:rsidR="00C46740" w:rsidRPr="00543A6F">
        <w:rPr>
          <w:b/>
          <w:bCs/>
        </w:rPr>
        <w:t>peut-il faire enlever le couvre-feu?</w:t>
      </w:r>
    </w:p>
    <w:p w14:paraId="07390E72" w14:textId="77777777" w:rsidR="00C45BE8" w:rsidRPr="00543A6F" w:rsidRDefault="00C45BE8" w:rsidP="00D2654C">
      <w:pPr>
        <w:pStyle w:val="marge0"/>
        <w:keepNext/>
        <w:suppressAutoHyphens/>
        <w:spacing w:line="240" w:lineRule="auto"/>
      </w:pPr>
    </w:p>
    <w:p w14:paraId="32EBE26A" w14:textId="3D2A605A" w:rsidR="00C45BE8" w:rsidRPr="00543A6F" w:rsidRDefault="00C46740" w:rsidP="00B07DDD">
      <w:pPr>
        <w:pStyle w:val="marge025"/>
        <w:suppressAutoHyphens/>
        <w:spacing w:line="276" w:lineRule="auto"/>
        <w:rPr>
          <w:spacing w:val="-2"/>
        </w:rPr>
      </w:pPr>
      <w:r w:rsidRPr="00543A6F">
        <w:rPr>
          <w:spacing w:val="-2"/>
        </w:rPr>
        <w:t xml:space="preserve">Oui. </w:t>
      </w:r>
      <w:r w:rsidR="00B07DDD" w:rsidRPr="00543A6F">
        <w:rPr>
          <w:spacing w:val="-2"/>
        </w:rPr>
        <w:t>Même si</w:t>
      </w:r>
      <w:r w:rsidR="003C7172" w:rsidRPr="00543A6F">
        <w:rPr>
          <w:spacing w:val="-2"/>
        </w:rPr>
        <w:t xml:space="preserve"> l’</w:t>
      </w:r>
      <w:r w:rsidR="00B076FE" w:rsidRPr="00543A6F">
        <w:rPr>
          <w:spacing w:val="-2"/>
        </w:rPr>
        <w:t xml:space="preserve">agent de la paix </w:t>
      </w:r>
      <w:r w:rsidR="00B07DDD" w:rsidRPr="00543A6F">
        <w:rPr>
          <w:spacing w:val="-2"/>
        </w:rPr>
        <w:t>a</w:t>
      </w:r>
      <w:r w:rsidR="003C7172" w:rsidRPr="00543A6F">
        <w:rPr>
          <w:spacing w:val="-2"/>
        </w:rPr>
        <w:t xml:space="preserve"> le pouvoir d’imposer un couvre-feu en vertu de l’article 50</w:t>
      </w:r>
      <w:r w:rsidR="00B07DDD" w:rsidRPr="00543A6F">
        <w:rPr>
          <w:spacing w:val="-2"/>
        </w:rPr>
        <w:t>1 (3) g</w:t>
      </w:r>
      <w:r w:rsidR="003C7172" w:rsidRPr="00543A6F">
        <w:rPr>
          <w:spacing w:val="-2"/>
        </w:rPr>
        <w:t xml:space="preserve">) C.cr., Luc Landry </w:t>
      </w:r>
      <w:r w:rsidR="00B07DDD" w:rsidRPr="00543A6F">
        <w:rPr>
          <w:spacing w:val="-2"/>
        </w:rPr>
        <w:t>pourra présenter</w:t>
      </w:r>
      <w:r w:rsidR="00C45BE8" w:rsidRPr="00543A6F">
        <w:rPr>
          <w:spacing w:val="-2"/>
        </w:rPr>
        <w:t xml:space="preserve"> </w:t>
      </w:r>
      <w:r w:rsidR="0097565D" w:rsidRPr="00543A6F">
        <w:rPr>
          <w:spacing w:val="-2"/>
        </w:rPr>
        <w:t>en vertu de l’article 50</w:t>
      </w:r>
      <w:r w:rsidR="00B07DDD" w:rsidRPr="00543A6F">
        <w:rPr>
          <w:spacing w:val="-2"/>
        </w:rPr>
        <w:t>2 (2</w:t>
      </w:r>
      <w:r w:rsidR="0097565D" w:rsidRPr="00543A6F">
        <w:rPr>
          <w:spacing w:val="-2"/>
        </w:rPr>
        <w:t xml:space="preserve">) C.cr. </w:t>
      </w:r>
      <w:proofErr w:type="gramStart"/>
      <w:r w:rsidR="00C45BE8" w:rsidRPr="00543A6F">
        <w:rPr>
          <w:spacing w:val="-2"/>
        </w:rPr>
        <w:t>une</w:t>
      </w:r>
      <w:proofErr w:type="gramEnd"/>
      <w:r w:rsidR="00C45BE8" w:rsidRPr="00543A6F">
        <w:rPr>
          <w:spacing w:val="-2"/>
        </w:rPr>
        <w:t xml:space="preserve"> requête devant un juge de paix afin de faire enlever le couvre-feu ou de le faire modifier</w:t>
      </w:r>
      <w:r w:rsidR="00D615BA">
        <w:rPr>
          <w:spacing w:val="-2"/>
        </w:rPr>
        <w:t>, en alléguant, par exemple, qu’il travaille de nuit</w:t>
      </w:r>
      <w:r w:rsidR="00C45BE8" w:rsidRPr="00543A6F">
        <w:rPr>
          <w:spacing w:val="-2"/>
        </w:rPr>
        <w:t>.</w:t>
      </w:r>
    </w:p>
    <w:p w14:paraId="1E59BC6D" w14:textId="77777777" w:rsidR="00C45BE8" w:rsidRPr="00543A6F" w:rsidRDefault="00C45BE8" w:rsidP="00520DF1">
      <w:pPr>
        <w:pStyle w:val="marge025"/>
        <w:suppressAutoHyphens/>
        <w:spacing w:line="240" w:lineRule="auto"/>
      </w:pPr>
    </w:p>
    <w:p w14:paraId="16398864" w14:textId="1269B6B5" w:rsidR="00E775CC" w:rsidRDefault="00C45BE8" w:rsidP="00520DF1">
      <w:pPr>
        <w:pStyle w:val="marge025"/>
        <w:keepNext/>
        <w:suppressAutoHyphens/>
        <w:spacing w:line="276" w:lineRule="auto"/>
      </w:pPr>
      <w:r w:rsidRPr="00543A6F">
        <w:t>Il pourra aussi négocier avec le procureur de la pour</w:t>
      </w:r>
      <w:r w:rsidR="00116C9F" w:rsidRPr="00543A6F">
        <w:t>suite afin d’obtenir son consen</w:t>
      </w:r>
      <w:r w:rsidRPr="00543A6F">
        <w:t>tement à une modif</w:t>
      </w:r>
      <w:r w:rsidR="00A420E6" w:rsidRPr="00543A6F">
        <w:t>ication à cette condition (art. </w:t>
      </w:r>
      <w:r w:rsidRPr="00543A6F">
        <w:t>5</w:t>
      </w:r>
      <w:r w:rsidR="00B07DDD" w:rsidRPr="00543A6F">
        <w:t>02 (</w:t>
      </w:r>
      <w:r w:rsidRPr="00543A6F">
        <w:t>1</w:t>
      </w:r>
      <w:r w:rsidR="00B07DDD" w:rsidRPr="00543A6F">
        <w:t>)</w:t>
      </w:r>
      <w:r w:rsidRPr="00543A6F">
        <w:t xml:space="preserve"> C.cr.)</w:t>
      </w:r>
      <w:r w:rsidR="00D615BA">
        <w:t>, et ce, sans avoir à demander à un juge de rendre une ordonnance en vertu</w:t>
      </w:r>
      <w:r w:rsidR="00E775CC">
        <w:t xml:space="preserve"> </w:t>
      </w:r>
      <w:r w:rsidR="00D615BA">
        <w:t>de l’article</w:t>
      </w:r>
      <w:r w:rsidR="00E775CC">
        <w:t> 515 C.cr.</w:t>
      </w:r>
    </w:p>
    <w:p w14:paraId="181FB415" w14:textId="77777777" w:rsidR="00E775CC" w:rsidRDefault="00E775CC" w:rsidP="00520DF1">
      <w:pPr>
        <w:pStyle w:val="marge025"/>
        <w:keepNext/>
        <w:suppressAutoHyphens/>
        <w:spacing w:line="276" w:lineRule="auto"/>
      </w:pPr>
    </w:p>
    <w:p w14:paraId="739E52BF" w14:textId="14E9433B" w:rsidR="00C45BE8" w:rsidRPr="00543A6F" w:rsidRDefault="00E775CC" w:rsidP="00E775CC">
      <w:pPr>
        <w:pStyle w:val="A-NOTA"/>
        <w:ind w:left="1440"/>
      </w:pPr>
      <w:r>
        <w:t xml:space="preserve">NOTA : </w:t>
      </w:r>
      <w:r>
        <w:tab/>
        <w:t xml:space="preserve">l’article 519.1 C.cr. </w:t>
      </w:r>
      <w:proofErr w:type="gramStart"/>
      <w:r>
        <w:t>ne</w:t>
      </w:r>
      <w:proofErr w:type="gramEnd"/>
      <w:r>
        <w:t xml:space="preserve"> s’applique pas ici car il ne s’agit pas de demander la modification d’une ordonnance rendue par un juge en vertu de l’article 515 C.cr.</w:t>
      </w:r>
    </w:p>
    <w:p w14:paraId="5A409706" w14:textId="77777777" w:rsidR="00C45BE8" w:rsidRPr="00543A6F" w:rsidRDefault="00C45BE8" w:rsidP="00520DF1">
      <w:pPr>
        <w:pStyle w:val="marge0"/>
        <w:suppressAutoHyphens/>
        <w:spacing w:line="240" w:lineRule="auto"/>
      </w:pPr>
    </w:p>
    <w:p w14:paraId="7AEEB76A" w14:textId="77777777" w:rsidR="00C45BE8" w:rsidRPr="00543A6F" w:rsidRDefault="00C45BE8" w:rsidP="00520DF1">
      <w:pPr>
        <w:pStyle w:val="tabimp025"/>
        <w:suppressAutoHyphens/>
        <w:spacing w:line="276" w:lineRule="auto"/>
        <w:rPr>
          <w:b/>
          <w:bCs/>
        </w:rPr>
      </w:pPr>
      <w:r w:rsidRPr="00543A6F">
        <w:rPr>
          <w:b/>
          <w:bCs/>
        </w:rPr>
        <w:t>1</w:t>
      </w:r>
      <w:r w:rsidR="00E946EB">
        <w:rPr>
          <w:b/>
          <w:bCs/>
        </w:rPr>
        <w:t>3</w:t>
      </w:r>
      <w:r w:rsidRPr="00543A6F">
        <w:rPr>
          <w:b/>
          <w:bCs/>
        </w:rPr>
        <w:t>.</w:t>
      </w:r>
      <w:r w:rsidRPr="00543A6F">
        <w:rPr>
          <w:b/>
          <w:bCs/>
        </w:rPr>
        <w:tab/>
        <w:t xml:space="preserve">L’enquêteur peut-il remettre Arthur Lamarre en liberté malgré le mandat d’arrestation </w:t>
      </w:r>
      <w:r w:rsidR="00B110EC">
        <w:rPr>
          <w:b/>
          <w:bCs/>
        </w:rPr>
        <w:t xml:space="preserve">non visé </w:t>
      </w:r>
      <w:r w:rsidRPr="00543A6F">
        <w:rPr>
          <w:b/>
          <w:bCs/>
        </w:rPr>
        <w:t>émis par le juge de paix?</w:t>
      </w:r>
    </w:p>
    <w:p w14:paraId="32FF4F7A" w14:textId="77777777" w:rsidR="00C45BE8" w:rsidRPr="00543A6F" w:rsidRDefault="00C45BE8" w:rsidP="00520DF1">
      <w:pPr>
        <w:pStyle w:val="marge0"/>
        <w:suppressAutoHyphens/>
        <w:spacing w:line="240" w:lineRule="auto"/>
      </w:pPr>
    </w:p>
    <w:p w14:paraId="0798B971" w14:textId="7FEA88D8" w:rsidR="001F3D5A" w:rsidRDefault="00543A6F" w:rsidP="00520DF1">
      <w:pPr>
        <w:pStyle w:val="marge025"/>
        <w:suppressAutoHyphens/>
        <w:spacing w:line="240" w:lineRule="auto"/>
      </w:pPr>
      <w:r>
        <w:t>Oui.</w:t>
      </w:r>
      <w:r w:rsidR="001F3D5A" w:rsidRPr="00543A6F">
        <w:t xml:space="preserve"> </w:t>
      </w:r>
      <w:r w:rsidR="00E775CC">
        <w:t>L’enquêteur pourra le remettre en liberté puisqu’il const</w:t>
      </w:r>
      <w:r w:rsidR="006438FD">
        <w:t>a</w:t>
      </w:r>
      <w:r w:rsidR="00E775CC">
        <w:t>t</w:t>
      </w:r>
      <w:r w:rsidR="006438FD">
        <w:t>e</w:t>
      </w:r>
      <w:r w:rsidR="00E775CC">
        <w:t>ra alors que la « continuation de la détention de la personne sous garde » n’est plus nécessaire (a</w:t>
      </w:r>
      <w:r w:rsidR="00E05851" w:rsidRPr="00543A6F">
        <w:t>rt. </w:t>
      </w:r>
      <w:r w:rsidR="00C45BE8" w:rsidRPr="00543A6F">
        <w:t>503 (1</w:t>
      </w:r>
      <w:r w:rsidR="00B07DDD" w:rsidRPr="00543A6F">
        <w:t>.1</w:t>
      </w:r>
      <w:r w:rsidR="00C45BE8" w:rsidRPr="00543A6F">
        <w:t>)</w:t>
      </w:r>
      <w:r w:rsidR="00B07DDD" w:rsidRPr="00543A6F">
        <w:t xml:space="preserve"> C.cr</w:t>
      </w:r>
      <w:r w:rsidR="00C45BE8" w:rsidRPr="00543A6F">
        <w:t>.</w:t>
      </w:r>
      <w:r w:rsidR="00E775CC">
        <w:t>).</w:t>
      </w:r>
    </w:p>
    <w:p w14:paraId="090EC76C" w14:textId="77777777" w:rsidR="001F3D5A" w:rsidRDefault="001F3D5A" w:rsidP="00520DF1">
      <w:pPr>
        <w:pStyle w:val="marge025"/>
        <w:suppressAutoHyphens/>
        <w:spacing w:line="240" w:lineRule="auto"/>
      </w:pPr>
    </w:p>
    <w:p w14:paraId="17052386" w14:textId="77777777" w:rsidR="00C45BE8" w:rsidRPr="00831FF7" w:rsidRDefault="00C45BE8" w:rsidP="00D56CA6">
      <w:pPr>
        <w:pStyle w:val="marge025"/>
        <w:suppressAutoHyphens/>
        <w:ind w:left="0"/>
      </w:pPr>
    </w:p>
    <w:sectPr w:rsidR="00C45BE8" w:rsidRPr="00831FF7" w:rsidSect="00116C9F">
      <w:headerReference w:type="even" r:id="rId8"/>
      <w:headerReference w:type="default" r:id="rId9"/>
      <w:footerReference w:type="even" r:id="rId10"/>
      <w:pgSz w:w="12240" w:h="15840" w:code="1"/>
      <w:pgMar w:top="1296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2840" w14:textId="77777777" w:rsidR="00B92867" w:rsidRDefault="00B92867">
      <w:r>
        <w:separator/>
      </w:r>
    </w:p>
  </w:endnote>
  <w:endnote w:type="continuationSeparator" w:id="0">
    <w:p w14:paraId="234CD811" w14:textId="77777777" w:rsidR="00B92867" w:rsidRDefault="00B9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altName w:val="Times New Roman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64560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B84AB40" w14:textId="77777777" w:rsidR="008174C1" w:rsidRPr="008174C1" w:rsidRDefault="008174C1" w:rsidP="008174C1">
        <w:pPr>
          <w:pStyle w:val="Footer"/>
          <w:jc w:val="right"/>
          <w:rPr>
            <w:rFonts w:ascii="Times New Roman" w:hAnsi="Times New Roman"/>
          </w:rPr>
        </w:pPr>
        <w:r w:rsidRPr="008174C1">
          <w:rPr>
            <w:rFonts w:ascii="Times New Roman" w:hAnsi="Times New Roman"/>
          </w:rPr>
          <w:fldChar w:fldCharType="begin"/>
        </w:r>
        <w:r w:rsidRPr="008174C1">
          <w:rPr>
            <w:rFonts w:ascii="Times New Roman" w:hAnsi="Times New Roman"/>
          </w:rPr>
          <w:instrText>PAGE   \* MERGEFORMAT</w:instrText>
        </w:r>
        <w:r w:rsidRPr="008174C1">
          <w:rPr>
            <w:rFonts w:ascii="Times New Roman" w:hAnsi="Times New Roman"/>
          </w:rPr>
          <w:fldChar w:fldCharType="separate"/>
        </w:r>
        <w:r w:rsidR="00D6168B" w:rsidRPr="00D6168B">
          <w:rPr>
            <w:rFonts w:ascii="Times New Roman" w:hAnsi="Times New Roman"/>
            <w:noProof/>
            <w:lang w:val="fr-FR"/>
          </w:rPr>
          <w:t>2</w:t>
        </w:r>
        <w:r w:rsidRPr="008174C1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E801" w14:textId="77777777" w:rsidR="00B92867" w:rsidRPr="00A832ED" w:rsidRDefault="00B92867">
      <w:r w:rsidRPr="00A832ED">
        <w:separator/>
      </w:r>
    </w:p>
  </w:footnote>
  <w:footnote w:type="continuationSeparator" w:id="0">
    <w:p w14:paraId="01456C75" w14:textId="77777777" w:rsidR="00B92867" w:rsidRDefault="00B9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15F7" w14:textId="77777777" w:rsidR="00A420E6" w:rsidRPr="00831FF7" w:rsidRDefault="00A420E6" w:rsidP="008174C1">
    <w:pPr>
      <w:pStyle w:val="Header"/>
      <w:tabs>
        <w:tab w:val="clear" w:pos="8640"/>
        <w:tab w:val="right" w:pos="9360"/>
      </w:tabs>
      <w:spacing w:after="120"/>
      <w:ind w:left="-720" w:right="-720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0C766" w14:textId="77777777" w:rsidR="00A420E6" w:rsidRPr="00831FF7" w:rsidRDefault="00A420E6" w:rsidP="008174C1">
    <w:pPr>
      <w:pStyle w:val="Header"/>
      <w:tabs>
        <w:tab w:val="clear" w:pos="8640"/>
        <w:tab w:val="right" w:pos="9360"/>
      </w:tabs>
      <w:spacing w:after="120"/>
      <w:ind w:left="-720" w:right="-72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FBB"/>
    <w:multiLevelType w:val="hybridMultilevel"/>
    <w:tmpl w:val="B08C7E2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227F0"/>
    <w:multiLevelType w:val="hybridMultilevel"/>
    <w:tmpl w:val="F878A2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800155"/>
    <w:multiLevelType w:val="hybridMultilevel"/>
    <w:tmpl w:val="89FE3C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300623">
    <w:abstractNumId w:val="0"/>
  </w:num>
  <w:num w:numId="2" w16cid:durableId="276790810">
    <w:abstractNumId w:val="1"/>
  </w:num>
  <w:num w:numId="3" w16cid:durableId="57994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mirrorMargins/>
  <w:proofState w:spelling="clean" w:grammar="clean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4D"/>
    <w:rsid w:val="0004649A"/>
    <w:rsid w:val="00052059"/>
    <w:rsid w:val="00064B78"/>
    <w:rsid w:val="00073A29"/>
    <w:rsid w:val="00076E92"/>
    <w:rsid w:val="00083BD6"/>
    <w:rsid w:val="0008494D"/>
    <w:rsid w:val="0008512D"/>
    <w:rsid w:val="000A4F78"/>
    <w:rsid w:val="000C559E"/>
    <w:rsid w:val="00106A9B"/>
    <w:rsid w:val="00116C31"/>
    <w:rsid w:val="00116C9F"/>
    <w:rsid w:val="001204BD"/>
    <w:rsid w:val="00133108"/>
    <w:rsid w:val="00141017"/>
    <w:rsid w:val="001561C2"/>
    <w:rsid w:val="0016157F"/>
    <w:rsid w:val="001622DC"/>
    <w:rsid w:val="0018301D"/>
    <w:rsid w:val="00191143"/>
    <w:rsid w:val="001B2884"/>
    <w:rsid w:val="001B4EC6"/>
    <w:rsid w:val="001B5CF9"/>
    <w:rsid w:val="001B6FBF"/>
    <w:rsid w:val="001C36B2"/>
    <w:rsid w:val="001C5F7F"/>
    <w:rsid w:val="001C678B"/>
    <w:rsid w:val="001C6DE8"/>
    <w:rsid w:val="001D22EF"/>
    <w:rsid w:val="001F3C08"/>
    <w:rsid w:val="001F3D5A"/>
    <w:rsid w:val="00233070"/>
    <w:rsid w:val="002554EB"/>
    <w:rsid w:val="002564EE"/>
    <w:rsid w:val="00263BB1"/>
    <w:rsid w:val="00264201"/>
    <w:rsid w:val="00273BDA"/>
    <w:rsid w:val="00274A8B"/>
    <w:rsid w:val="00292649"/>
    <w:rsid w:val="002A4EB1"/>
    <w:rsid w:val="002C359F"/>
    <w:rsid w:val="002E7ED8"/>
    <w:rsid w:val="0030050F"/>
    <w:rsid w:val="003126E0"/>
    <w:rsid w:val="0031531C"/>
    <w:rsid w:val="00316E6A"/>
    <w:rsid w:val="003217A2"/>
    <w:rsid w:val="00351AE1"/>
    <w:rsid w:val="00356C4D"/>
    <w:rsid w:val="003738F4"/>
    <w:rsid w:val="0037472A"/>
    <w:rsid w:val="003910CD"/>
    <w:rsid w:val="00392379"/>
    <w:rsid w:val="003C7172"/>
    <w:rsid w:val="003E5417"/>
    <w:rsid w:val="003F339D"/>
    <w:rsid w:val="004101D9"/>
    <w:rsid w:val="0042779E"/>
    <w:rsid w:val="004706F7"/>
    <w:rsid w:val="004830D6"/>
    <w:rsid w:val="004B6592"/>
    <w:rsid w:val="004C0691"/>
    <w:rsid w:val="004C127A"/>
    <w:rsid w:val="004C7737"/>
    <w:rsid w:val="004D28BA"/>
    <w:rsid w:val="00520DF1"/>
    <w:rsid w:val="00523317"/>
    <w:rsid w:val="00527882"/>
    <w:rsid w:val="005301A4"/>
    <w:rsid w:val="005344E2"/>
    <w:rsid w:val="00543A6F"/>
    <w:rsid w:val="00581C02"/>
    <w:rsid w:val="005B0ABE"/>
    <w:rsid w:val="005B0FC8"/>
    <w:rsid w:val="005C07AD"/>
    <w:rsid w:val="005C3F04"/>
    <w:rsid w:val="005E3F2B"/>
    <w:rsid w:val="006162AA"/>
    <w:rsid w:val="00627F81"/>
    <w:rsid w:val="00631623"/>
    <w:rsid w:val="006438FD"/>
    <w:rsid w:val="00650F44"/>
    <w:rsid w:val="0065429F"/>
    <w:rsid w:val="00683326"/>
    <w:rsid w:val="006864AF"/>
    <w:rsid w:val="00692ED9"/>
    <w:rsid w:val="006A24A3"/>
    <w:rsid w:val="006B2E49"/>
    <w:rsid w:val="006C2A82"/>
    <w:rsid w:val="006D3F83"/>
    <w:rsid w:val="006E5FA7"/>
    <w:rsid w:val="007138E9"/>
    <w:rsid w:val="007317FE"/>
    <w:rsid w:val="00746977"/>
    <w:rsid w:val="0075320C"/>
    <w:rsid w:val="00771985"/>
    <w:rsid w:val="007735DC"/>
    <w:rsid w:val="0079217F"/>
    <w:rsid w:val="007B7EE4"/>
    <w:rsid w:val="007C6F6E"/>
    <w:rsid w:val="007F4279"/>
    <w:rsid w:val="008143CC"/>
    <w:rsid w:val="008174C1"/>
    <w:rsid w:val="00831FF7"/>
    <w:rsid w:val="00832640"/>
    <w:rsid w:val="00833E19"/>
    <w:rsid w:val="00842094"/>
    <w:rsid w:val="008748FA"/>
    <w:rsid w:val="00896AAC"/>
    <w:rsid w:val="00897527"/>
    <w:rsid w:val="008B095A"/>
    <w:rsid w:val="008C3EEF"/>
    <w:rsid w:val="008E70F0"/>
    <w:rsid w:val="0090280E"/>
    <w:rsid w:val="00905926"/>
    <w:rsid w:val="00910429"/>
    <w:rsid w:val="009653EB"/>
    <w:rsid w:val="0097565D"/>
    <w:rsid w:val="009918F7"/>
    <w:rsid w:val="009B48A9"/>
    <w:rsid w:val="009E587F"/>
    <w:rsid w:val="009F2E5A"/>
    <w:rsid w:val="00A35A2C"/>
    <w:rsid w:val="00A420E6"/>
    <w:rsid w:val="00A7237A"/>
    <w:rsid w:val="00A832ED"/>
    <w:rsid w:val="00A83701"/>
    <w:rsid w:val="00A9507D"/>
    <w:rsid w:val="00AF219A"/>
    <w:rsid w:val="00B076FE"/>
    <w:rsid w:val="00B07DDD"/>
    <w:rsid w:val="00B110EC"/>
    <w:rsid w:val="00B11C5E"/>
    <w:rsid w:val="00B15066"/>
    <w:rsid w:val="00B155ED"/>
    <w:rsid w:val="00B2797C"/>
    <w:rsid w:val="00B42A3C"/>
    <w:rsid w:val="00B70B26"/>
    <w:rsid w:val="00B81397"/>
    <w:rsid w:val="00B85517"/>
    <w:rsid w:val="00B92867"/>
    <w:rsid w:val="00BA374C"/>
    <w:rsid w:val="00BB0781"/>
    <w:rsid w:val="00BC0B98"/>
    <w:rsid w:val="00BC2247"/>
    <w:rsid w:val="00BD225F"/>
    <w:rsid w:val="00BD50F3"/>
    <w:rsid w:val="00BE1CFD"/>
    <w:rsid w:val="00BE3285"/>
    <w:rsid w:val="00C0103A"/>
    <w:rsid w:val="00C06B30"/>
    <w:rsid w:val="00C21315"/>
    <w:rsid w:val="00C25450"/>
    <w:rsid w:val="00C36BE4"/>
    <w:rsid w:val="00C45BE8"/>
    <w:rsid w:val="00C46740"/>
    <w:rsid w:val="00C50AFD"/>
    <w:rsid w:val="00CA1E4D"/>
    <w:rsid w:val="00CC4FD3"/>
    <w:rsid w:val="00CF2EE9"/>
    <w:rsid w:val="00D2654C"/>
    <w:rsid w:val="00D448E5"/>
    <w:rsid w:val="00D56CA6"/>
    <w:rsid w:val="00D60188"/>
    <w:rsid w:val="00D615BA"/>
    <w:rsid w:val="00D6168B"/>
    <w:rsid w:val="00DE5248"/>
    <w:rsid w:val="00E05851"/>
    <w:rsid w:val="00E1037F"/>
    <w:rsid w:val="00E14A6F"/>
    <w:rsid w:val="00E328F8"/>
    <w:rsid w:val="00E62724"/>
    <w:rsid w:val="00E629C5"/>
    <w:rsid w:val="00E678D1"/>
    <w:rsid w:val="00E71145"/>
    <w:rsid w:val="00E775CC"/>
    <w:rsid w:val="00E946EB"/>
    <w:rsid w:val="00E95389"/>
    <w:rsid w:val="00EA69C0"/>
    <w:rsid w:val="00EB1D2F"/>
    <w:rsid w:val="00EC7102"/>
    <w:rsid w:val="00F01BA7"/>
    <w:rsid w:val="00F116F6"/>
    <w:rsid w:val="00F13F02"/>
    <w:rsid w:val="00F20485"/>
    <w:rsid w:val="00F30612"/>
    <w:rsid w:val="00F352C4"/>
    <w:rsid w:val="00F51E32"/>
    <w:rsid w:val="00F55B9A"/>
    <w:rsid w:val="00F56640"/>
    <w:rsid w:val="00F636F8"/>
    <w:rsid w:val="00F70AF6"/>
    <w:rsid w:val="00F75469"/>
    <w:rsid w:val="00F83791"/>
    <w:rsid w:val="00F87719"/>
    <w:rsid w:val="00FA5721"/>
    <w:rsid w:val="00FC18B1"/>
    <w:rsid w:val="00FD0E3C"/>
    <w:rsid w:val="00F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5597ED"/>
  <w15:docId w15:val="{BD8E326C-1ADF-4485-9934-21A28AD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F3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tabs>
        <w:tab w:val="left" w:pos="2880"/>
      </w:tabs>
      <w:spacing w:before="120" w:after="120"/>
      <w:ind w:right="288"/>
      <w:jc w:val="left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tabs>
        <w:tab w:val="left" w:pos="2520"/>
      </w:tabs>
      <w:ind w:right="470"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vanish/>
      <w:sz w:val="22"/>
    </w:rPr>
  </w:style>
  <w:style w:type="paragraph" w:styleId="Heading5">
    <w:name w:val="heading 5"/>
    <w:basedOn w:val="Normal"/>
    <w:next w:val="Normal"/>
    <w:qFormat/>
    <w:pPr>
      <w:keepNext/>
      <w:ind w:left="113" w:right="-36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3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A-Citation025">
    <w:name w:val="A-Citation 0.25"/>
    <w:basedOn w:val="marge0"/>
    <w:pPr>
      <w:ind w:left="360" w:right="360"/>
    </w:pPr>
  </w:style>
  <w:style w:type="paragraph" w:customStyle="1" w:styleId="marge0">
    <w:name w:val="marge 0."/>
    <w:basedOn w:val="Normal"/>
    <w:rsid w:val="00BD50F3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BodyTextIndent">
    <w:name w:val="Body Text Indent"/>
    <w:basedOn w:val="Normal"/>
    <w:semiHidden/>
    <w:pPr>
      <w:ind w:left="2160" w:hanging="360"/>
    </w:pPr>
    <w:rPr>
      <w:b/>
      <w:bCs/>
    </w:rPr>
  </w:style>
  <w:style w:type="paragraph" w:styleId="BodyTextIndent2">
    <w:name w:val="Body Text Indent 2"/>
    <w:basedOn w:val="Normal"/>
    <w:semiHidden/>
    <w:pPr>
      <w:ind w:left="2520" w:hanging="360"/>
    </w:pPr>
    <w:rPr>
      <w:b/>
      <w:bCs/>
    </w:rPr>
  </w:style>
  <w:style w:type="paragraph" w:styleId="BodyTextIndent3">
    <w:name w:val="Body Text Indent 3"/>
    <w:basedOn w:val="Normal"/>
    <w:semiHidden/>
    <w:pPr>
      <w:ind w:left="1440"/>
    </w:pPr>
    <w:rPr>
      <w:b/>
      <w:bCs/>
    </w:rPr>
  </w:style>
  <w:style w:type="paragraph" w:styleId="BodyText">
    <w:name w:val="Body Text"/>
    <w:basedOn w:val="Normal"/>
    <w:semiHidden/>
    <w:rPr>
      <w:rFonts w:ascii="Trebuchet MS" w:hAnsi="Trebuchet MS"/>
      <w:szCs w:val="20"/>
    </w:rPr>
  </w:style>
  <w:style w:type="paragraph" w:styleId="BlockText">
    <w:name w:val="Block Text"/>
    <w:basedOn w:val="Normal"/>
    <w:semiHidden/>
    <w:pPr>
      <w:ind w:left="475" w:right="115" w:hanging="360"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5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7527"/>
    <w:rPr>
      <w:rFonts w:ascii="Tahoma" w:hAnsi="Tahoma" w:cs="Tahoma"/>
      <w:sz w:val="16"/>
      <w:szCs w:val="16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191143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2094"/>
    <w:pPr>
      <w:jc w:val="left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2094"/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74C1"/>
    <w:rPr>
      <w:rFonts w:ascii="Times LT Std" w:hAnsi="Times LT Std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semiHidden/>
    <w:rsid w:val="008174C1"/>
    <w:rPr>
      <w:rFonts w:ascii="Times LT Std" w:hAnsi="Times LT Std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JOUR 1</vt:lpstr>
      <vt:lpstr>JOUR 1</vt:lpstr>
    </vt:vector>
  </TitlesOfParts>
  <Company>Barreau du Québec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 1</dc:title>
  <dc:creator>Jacinthe Caron</dc:creator>
  <cp:lastModifiedBy>Francois Tremblay</cp:lastModifiedBy>
  <cp:revision>2</cp:revision>
  <cp:lastPrinted>2019-10-10T15:23:00Z</cp:lastPrinted>
  <dcterms:created xsi:type="dcterms:W3CDTF">2023-10-03T22:46:00Z</dcterms:created>
  <dcterms:modified xsi:type="dcterms:W3CDTF">2023-10-03T22:46:00Z</dcterms:modified>
</cp:coreProperties>
</file>