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9D22" w14:textId="3671B6EC" w:rsidR="000A5BDD" w:rsidRDefault="000A5BDD" w:rsidP="000A5BDD">
      <w:pPr>
        <w:jc w:val="center"/>
      </w:pPr>
      <w:r w:rsidRPr="000A5BDD">
        <w:t>LA MISE EN LIBERTÉ PROVISOIRE PAR VOIE JUDICIAIRE, L’ENQUÊTE PRÉLIMINAIRE, LES REQUÊTES ET LES PLAIDOYERS</w:t>
      </w:r>
    </w:p>
    <w:p w14:paraId="43835ECA" w14:textId="16D6530E" w:rsidR="000A5BDD" w:rsidRDefault="000A5BDD" w:rsidP="000A5BDD"/>
    <w:p w14:paraId="4CD95E3E" w14:textId="66B5D55A" w:rsidR="00B85E59" w:rsidRDefault="00B85E59" w:rsidP="00B85E59">
      <w:pPr>
        <w:pStyle w:val="Heading1"/>
      </w:pPr>
      <w:r>
        <w:t>Section 1 : La tenue de l’enquête pour mise en liberté</w:t>
      </w:r>
    </w:p>
    <w:p w14:paraId="4A014797" w14:textId="3D29925C" w:rsidR="00B85E59" w:rsidRDefault="00B85E59" w:rsidP="00B85E59"/>
    <w:p w14:paraId="7EE09FD8" w14:textId="7372D841" w:rsidR="00B90516" w:rsidRDefault="00346EDA" w:rsidP="00B85E59">
      <w:r w:rsidRPr="00346EDA">
        <w:t>Lorsqu’un prévenu est arrêté avec ou sans mandat et qu’il n’a pas été remis en liberté, l’agent de la paix doit le faire comparaître, devant un juge de paix. En principe, l’accusé doit être remis en liberté. Le juge de paix devra évaluer la possibilité d’une mise en liberté.</w:t>
      </w:r>
    </w:p>
    <w:p w14:paraId="4CE80320" w14:textId="5B7A23E7" w:rsidR="00B90516" w:rsidRDefault="00B90516" w:rsidP="00B85E59"/>
    <w:p w14:paraId="77C04921" w14:textId="28D7C499" w:rsidR="005D1C1E" w:rsidRDefault="00AD302B" w:rsidP="00AD302B">
      <w:pPr>
        <w:pStyle w:val="Heading2"/>
      </w:pPr>
      <w:r>
        <w:t xml:space="preserve">Mise en liberté par voie judiciaire – Remarques préliminaires </w:t>
      </w:r>
    </w:p>
    <w:p w14:paraId="0BCE16DC" w14:textId="789DEE4E" w:rsidR="005D1C1E" w:rsidRDefault="005D1C1E" w:rsidP="00B85E59"/>
    <w:p w14:paraId="5DCC2689" w14:textId="2D943A59" w:rsidR="00AD302B" w:rsidRDefault="00AD302B" w:rsidP="00B85E59">
      <w:r>
        <w:t>2 éléments sont importants quand le juge s’apprête à prendre une décision judiciaire</w:t>
      </w:r>
      <w:r w:rsidR="00C13A22">
        <w:t xml:space="preserve"> pour remettre une personne en liberté </w:t>
      </w:r>
      <w:r>
        <w:t xml:space="preserve">: </w:t>
      </w:r>
    </w:p>
    <w:p w14:paraId="1907A40D" w14:textId="552D3D7F" w:rsidR="00AD302B" w:rsidRDefault="00AD302B" w:rsidP="00B85E59"/>
    <w:p w14:paraId="439D0282" w14:textId="2952EF58" w:rsidR="00AD302B" w:rsidRDefault="00C13A22" w:rsidP="00AD302B">
      <w:pPr>
        <w:pStyle w:val="ListParagraph"/>
        <w:numPr>
          <w:ilvl w:val="0"/>
          <w:numId w:val="1"/>
        </w:numPr>
      </w:pPr>
      <w:r>
        <w:t>La personne doit être détenue (</w:t>
      </w:r>
      <w:r w:rsidRPr="00002926">
        <w:rPr>
          <w:shd w:val="clear" w:color="auto" w:fill="00B0F0"/>
        </w:rPr>
        <w:t>art. 515 C.cr</w:t>
      </w:r>
      <w:r>
        <w:t>.)</w:t>
      </w:r>
    </w:p>
    <w:p w14:paraId="368E6853" w14:textId="15C86C59" w:rsidR="00C13A22" w:rsidRDefault="00002926" w:rsidP="00AD302B">
      <w:pPr>
        <w:pStyle w:val="ListParagraph"/>
        <w:numPr>
          <w:ilvl w:val="0"/>
          <w:numId w:val="1"/>
        </w:numPr>
      </w:pPr>
      <w:r>
        <w:t xml:space="preserve">Le </w:t>
      </w:r>
      <w:r w:rsidR="00AB2BD8">
        <w:t>D</w:t>
      </w:r>
      <w:r>
        <w:t xml:space="preserve">PCP doit s’objecter à la remise en liberté sinon le juge est tenu de remettre en liberté l’individu par le biais d’une promesse à comparaitre </w:t>
      </w:r>
    </w:p>
    <w:p w14:paraId="39CBC9CB" w14:textId="61664B87" w:rsidR="00C80EC5" w:rsidRDefault="00C80EC5" w:rsidP="00C80EC5"/>
    <w:p w14:paraId="2E61E35F" w14:textId="3C971D32" w:rsidR="00B36B37" w:rsidRDefault="00E16315" w:rsidP="002A6C74">
      <w:r>
        <w:t xml:space="preserve">Les deux parties peuvent </w:t>
      </w:r>
      <w:proofErr w:type="gramStart"/>
      <w:r>
        <w:t>demander à ce</w:t>
      </w:r>
      <w:proofErr w:type="gramEnd"/>
      <w:r>
        <w:t xml:space="preserve"> que l’enquête soit remise</w:t>
      </w:r>
      <w:r w:rsidR="006276AD">
        <w:t xml:space="preserve"> </w:t>
      </w:r>
      <w:r w:rsidR="006276AD" w:rsidRPr="00EC5E67">
        <w:t>(</w:t>
      </w:r>
      <w:r w:rsidR="006276AD" w:rsidRPr="00EC5E67">
        <w:rPr>
          <w:shd w:val="clear" w:color="auto" w:fill="00B0F0"/>
        </w:rPr>
        <w:t xml:space="preserve">art. </w:t>
      </w:r>
      <w:r w:rsidR="006276AD">
        <w:rPr>
          <w:shd w:val="clear" w:color="auto" w:fill="00B0F0"/>
        </w:rPr>
        <w:t>516 (1)</w:t>
      </w:r>
      <w:r w:rsidR="006276AD" w:rsidRPr="00EC5E67">
        <w:rPr>
          <w:shd w:val="clear" w:color="auto" w:fill="00B0F0"/>
        </w:rPr>
        <w:t xml:space="preserve"> C.cr</w:t>
      </w:r>
      <w:r w:rsidR="006276AD" w:rsidRPr="00EC5E67">
        <w:t>.)</w:t>
      </w:r>
      <w:r w:rsidR="00D566BE">
        <w:t xml:space="preserve">. Lorsque c’est le poursuivant qui demande la remise, il doit respecter </w:t>
      </w:r>
      <w:proofErr w:type="gramStart"/>
      <w:r w:rsidR="00D566BE">
        <w:t xml:space="preserve">un délai de </w:t>
      </w:r>
      <w:r w:rsidR="00D566BE" w:rsidRPr="00CA7444">
        <w:rPr>
          <w:b/>
          <w:bCs/>
        </w:rPr>
        <w:t>3 jours francs</w:t>
      </w:r>
      <w:proofErr w:type="gramEnd"/>
      <w:r w:rsidR="00EC5E67">
        <w:rPr>
          <w:b/>
          <w:bCs/>
        </w:rPr>
        <w:t xml:space="preserve"> </w:t>
      </w:r>
      <w:r w:rsidR="00EC5E67" w:rsidRPr="00EC5E67">
        <w:t>(</w:t>
      </w:r>
      <w:r w:rsidR="00EC5E67" w:rsidRPr="00EC5E67">
        <w:rPr>
          <w:shd w:val="clear" w:color="auto" w:fill="00B0F0"/>
        </w:rPr>
        <w:t xml:space="preserve">art. </w:t>
      </w:r>
      <w:r w:rsidR="00EC5E67">
        <w:rPr>
          <w:shd w:val="clear" w:color="auto" w:fill="00B0F0"/>
        </w:rPr>
        <w:t>516</w:t>
      </w:r>
      <w:r w:rsidR="00703E28">
        <w:rPr>
          <w:shd w:val="clear" w:color="auto" w:fill="00B0F0"/>
        </w:rPr>
        <w:t xml:space="preserve"> </w:t>
      </w:r>
      <w:r w:rsidR="00EC5E67">
        <w:rPr>
          <w:shd w:val="clear" w:color="auto" w:fill="00B0F0"/>
        </w:rPr>
        <w:t>(1)</w:t>
      </w:r>
      <w:r w:rsidR="00EC5E67" w:rsidRPr="00EC5E67">
        <w:rPr>
          <w:shd w:val="clear" w:color="auto" w:fill="00B0F0"/>
        </w:rPr>
        <w:t xml:space="preserve"> C.cr</w:t>
      </w:r>
      <w:r w:rsidR="00EC5E67" w:rsidRPr="00EC5E67">
        <w:t>.)</w:t>
      </w:r>
      <w:r w:rsidR="00E65AD2" w:rsidRPr="00CA7444">
        <w:rPr>
          <w:b/>
          <w:bCs/>
        </w:rPr>
        <w:t> = 5 jours</w:t>
      </w:r>
      <w:r w:rsidR="00E65AD2">
        <w:t xml:space="preserve"> puisque le premier jour </w:t>
      </w:r>
      <w:r w:rsidR="00C56270">
        <w:t xml:space="preserve">où l’on fait cette demande n’est pas compté </w:t>
      </w:r>
      <w:r w:rsidR="008F23B9">
        <w:t>et le jour à laquelle on remet cette requête n’est pas compté.</w:t>
      </w:r>
      <w:r w:rsidR="0046070F">
        <w:t xml:space="preserve"> L’obligation quant au délai ne s’applique pas au prévenu </w:t>
      </w:r>
      <w:proofErr w:type="gramStart"/>
      <w:r w:rsidR="0046070F">
        <w:t>par contre</w:t>
      </w:r>
      <w:proofErr w:type="gramEnd"/>
      <w:r w:rsidR="0046070F">
        <w:t>, il peut remettre en tout temps à un</w:t>
      </w:r>
      <w:r w:rsidR="004F3BAA">
        <w:t xml:space="preserve"> </w:t>
      </w:r>
      <w:r w:rsidR="0046070F">
        <w:t xml:space="preserve">délai plus long puisqu’il demeure détenu pendant cette période. </w:t>
      </w:r>
    </w:p>
    <w:p w14:paraId="03883FD0" w14:textId="77777777" w:rsidR="00B36B37" w:rsidRDefault="00B36B37" w:rsidP="002A6C74"/>
    <w:p w14:paraId="3EF878B2" w14:textId="36F94919" w:rsidR="00373417" w:rsidRDefault="0083266F" w:rsidP="002A6C74">
      <w:r>
        <w:t>Si pendant cette période</w:t>
      </w:r>
      <w:r w:rsidR="00692239">
        <w:t xml:space="preserve">, le juge peut imposer </w:t>
      </w:r>
      <w:r>
        <w:t>des conditions avant la tenue de l’enquête</w:t>
      </w:r>
      <w:r w:rsidR="00D5305C">
        <w:t xml:space="preserve"> à la demande de la poursuite</w:t>
      </w:r>
      <w:r>
        <w:t>, dont par exemple une interdiction de communiquer avec telle ou telle personne</w:t>
      </w:r>
      <w:r w:rsidR="0045424B">
        <w:t xml:space="preserve"> </w:t>
      </w:r>
      <w:r w:rsidR="0045424B" w:rsidRPr="00EC5E67">
        <w:t>(</w:t>
      </w:r>
      <w:r w:rsidR="0045424B" w:rsidRPr="00EC5E67">
        <w:rPr>
          <w:shd w:val="clear" w:color="auto" w:fill="00B0F0"/>
        </w:rPr>
        <w:t xml:space="preserve">art. </w:t>
      </w:r>
      <w:r w:rsidR="0045424B">
        <w:rPr>
          <w:shd w:val="clear" w:color="auto" w:fill="00B0F0"/>
        </w:rPr>
        <w:t>516 (2)</w:t>
      </w:r>
      <w:r w:rsidR="0045424B" w:rsidRPr="00EC5E67">
        <w:rPr>
          <w:shd w:val="clear" w:color="auto" w:fill="00B0F0"/>
        </w:rPr>
        <w:t xml:space="preserve"> C.cr</w:t>
      </w:r>
      <w:r w:rsidR="0045424B" w:rsidRPr="00EC5E67">
        <w:t>.)</w:t>
      </w:r>
      <w:r w:rsidR="0045424B">
        <w:rPr>
          <w:b/>
          <w:bCs/>
        </w:rPr>
        <w:t xml:space="preserve">. </w:t>
      </w:r>
      <w:r w:rsidR="001B7E2B">
        <w:t>C’est le cas aussi en matière de détention ordonnée en vertu de l’</w:t>
      </w:r>
      <w:r w:rsidR="001B7E2B" w:rsidRPr="00EC5E67">
        <w:rPr>
          <w:shd w:val="clear" w:color="auto" w:fill="00B0F0"/>
        </w:rPr>
        <w:t xml:space="preserve">art. </w:t>
      </w:r>
      <w:r w:rsidR="001B7E2B">
        <w:rPr>
          <w:shd w:val="clear" w:color="auto" w:fill="00B0F0"/>
        </w:rPr>
        <w:t>515 (11)</w:t>
      </w:r>
      <w:r w:rsidR="001B7E2B" w:rsidRPr="00EC5E67">
        <w:rPr>
          <w:shd w:val="clear" w:color="auto" w:fill="00B0F0"/>
        </w:rPr>
        <w:t xml:space="preserve"> C.cr</w:t>
      </w:r>
      <w:r w:rsidR="001B7E2B">
        <w:t>., soit pour une infraction de l’</w:t>
      </w:r>
      <w:r w:rsidR="001B7E2B" w:rsidRPr="00EC5E67">
        <w:rPr>
          <w:shd w:val="clear" w:color="auto" w:fill="00B0F0"/>
        </w:rPr>
        <w:t xml:space="preserve">art. </w:t>
      </w:r>
      <w:r w:rsidR="001B7E2B">
        <w:rPr>
          <w:shd w:val="clear" w:color="auto" w:fill="00B0F0"/>
        </w:rPr>
        <w:t xml:space="preserve">469 </w:t>
      </w:r>
      <w:r w:rsidR="001B7E2B" w:rsidRPr="00EC5E67">
        <w:rPr>
          <w:shd w:val="clear" w:color="auto" w:fill="00B0F0"/>
        </w:rPr>
        <w:t>C.cr</w:t>
      </w:r>
      <w:r w:rsidR="001B7E2B" w:rsidRPr="00EC5E67">
        <w:t>.</w:t>
      </w:r>
    </w:p>
    <w:p w14:paraId="40B1E52A" w14:textId="77777777" w:rsidR="00373417" w:rsidRDefault="00373417" w:rsidP="002A6C74"/>
    <w:p w14:paraId="5777995E" w14:textId="72499FE4" w:rsidR="00EB6CA7" w:rsidRDefault="00373417" w:rsidP="002A6C74">
      <w:r>
        <w:t xml:space="preserve">Les raisons pour reporter une enquête sur remise en liberté : </w:t>
      </w:r>
      <w:r w:rsidR="00B5051E">
        <w:t>L’</w:t>
      </w:r>
      <w:r w:rsidR="00B5051E" w:rsidRPr="00EC5E67">
        <w:rPr>
          <w:shd w:val="clear" w:color="auto" w:fill="00B0F0"/>
        </w:rPr>
        <w:t xml:space="preserve">art. </w:t>
      </w:r>
      <w:r w:rsidR="00B5051E">
        <w:rPr>
          <w:shd w:val="clear" w:color="auto" w:fill="00B0F0"/>
        </w:rPr>
        <w:t>518 (1)</w:t>
      </w:r>
      <w:r w:rsidR="00B5051E" w:rsidRPr="00EC5E67">
        <w:rPr>
          <w:shd w:val="clear" w:color="auto" w:fill="00B0F0"/>
        </w:rPr>
        <w:t xml:space="preserve"> C.cr</w:t>
      </w:r>
      <w:r w:rsidR="00B5051E" w:rsidRPr="00EC5E67">
        <w:t>.</w:t>
      </w:r>
      <w:r w:rsidR="00B5051E">
        <w:t xml:space="preserve"> </w:t>
      </w:r>
      <w:proofErr w:type="gramStart"/>
      <w:r w:rsidR="00B5051E">
        <w:t>fait</w:t>
      </w:r>
      <w:proofErr w:type="gramEnd"/>
      <w:r w:rsidR="00B5051E">
        <w:t xml:space="preserve"> part de quelques éléments pouvant être mis de l’avant lors de l’enquête</w:t>
      </w:r>
      <w:r w:rsidR="001675E7">
        <w:t xml:space="preserve"> et donc peuvent constituer des raisons de report</w:t>
      </w:r>
    </w:p>
    <w:p w14:paraId="1223DD2A" w14:textId="04E85201" w:rsidR="00EB6CA7" w:rsidRDefault="00EB6CA7" w:rsidP="002A6C74"/>
    <w:p w14:paraId="5F9E9740" w14:textId="2A0160FF" w:rsidR="00EB6CA7" w:rsidRDefault="00EB6CA7" w:rsidP="00EB6CA7">
      <w:pPr>
        <w:pStyle w:val="ListParagraph"/>
        <w:numPr>
          <w:ilvl w:val="0"/>
          <w:numId w:val="3"/>
        </w:numPr>
      </w:pPr>
      <w:r>
        <w:t>La poursuite</w:t>
      </w:r>
      <w:r w:rsidR="00635B49">
        <w:t xml:space="preserve"> : de nouvelles plaintes sont portés contre le même individu, </w:t>
      </w:r>
      <w:r>
        <w:t xml:space="preserve">veut entendre des témoins, </w:t>
      </w:r>
      <w:r w:rsidR="00AA4D0F">
        <w:t xml:space="preserve">pour des fins de </w:t>
      </w:r>
      <w:r>
        <w:t>vérification</w:t>
      </w:r>
      <w:r w:rsidR="00AA4D0F">
        <w:t>s</w:t>
      </w:r>
      <w:r>
        <w:t xml:space="preserve"> d’antécédents judiciaires</w:t>
      </w:r>
    </w:p>
    <w:p w14:paraId="29130D9D" w14:textId="087CBD74" w:rsidR="00EB6CA7" w:rsidRDefault="00EB6CA7" w:rsidP="00EB6CA7">
      <w:pPr>
        <w:pStyle w:val="ListParagraph"/>
        <w:numPr>
          <w:ilvl w:val="0"/>
          <w:numId w:val="3"/>
        </w:numPr>
      </w:pPr>
      <w:r>
        <w:t>La défense</w:t>
      </w:r>
      <w:r w:rsidR="00493382">
        <w:t xml:space="preserve"> : </w:t>
      </w:r>
      <w:r w:rsidR="00AA4D0F">
        <w:t xml:space="preserve">stratégiquement </w:t>
      </w:r>
      <w:r w:rsidR="00580223">
        <w:t xml:space="preserve">ses chances de succès </w:t>
      </w:r>
      <w:r w:rsidR="00402396">
        <w:t>sont faibles à l’égard du juge siégeant et report est avantageux, l’accusé</w:t>
      </w:r>
      <w:r w:rsidR="00F7022D">
        <w:t xml:space="preserve"> a un problème de consommation alors la remise serait avantageuse avec un suivi thérapeutique</w:t>
      </w:r>
    </w:p>
    <w:p w14:paraId="7FAF3425" w14:textId="77777777" w:rsidR="00385F45" w:rsidRDefault="00385F45" w:rsidP="002A6C74"/>
    <w:p w14:paraId="6589F026" w14:textId="75F7085E" w:rsidR="00C95546" w:rsidRDefault="00D11176" w:rsidP="002A6C74">
      <w:r>
        <w:t>Tel que mentionné, a</w:t>
      </w:r>
      <w:r w:rsidR="00DF5D2E">
        <w:t xml:space="preserve">vant que se tienne l’enquête sur remise en liberté, </w:t>
      </w:r>
      <w:r w:rsidR="007C7F3D">
        <w:t xml:space="preserve">le juge peut </w:t>
      </w:r>
      <w:r w:rsidR="00CD679F">
        <w:t>imposer de</w:t>
      </w:r>
      <w:r w:rsidR="00915B15">
        <w:t>s</w:t>
      </w:r>
      <w:r w:rsidR="002E3D2F">
        <w:t xml:space="preserve"> </w:t>
      </w:r>
      <w:r w:rsidR="0030473B">
        <w:t xml:space="preserve">conditions </w:t>
      </w:r>
      <w:r w:rsidR="003D6EB2">
        <w:t>à respecter lors de sa détention</w:t>
      </w:r>
      <w:r w:rsidR="003F19CB">
        <w:t xml:space="preserve"> </w:t>
      </w:r>
      <w:r w:rsidR="00E13137" w:rsidRPr="0046070F">
        <w:t>(</w:t>
      </w:r>
      <w:r w:rsidR="00E13137" w:rsidRPr="0046070F">
        <w:rPr>
          <w:shd w:val="clear" w:color="auto" w:fill="00B0F0"/>
        </w:rPr>
        <w:t xml:space="preserve">art.  </w:t>
      </w:r>
      <w:r w:rsidR="002E3D2F">
        <w:rPr>
          <w:shd w:val="clear" w:color="auto" w:fill="00B0F0"/>
        </w:rPr>
        <w:t>516</w:t>
      </w:r>
      <w:r w:rsidR="007F0185">
        <w:rPr>
          <w:shd w:val="clear" w:color="auto" w:fill="00B0F0"/>
        </w:rPr>
        <w:t> </w:t>
      </w:r>
      <w:r w:rsidR="002E3D2F">
        <w:rPr>
          <w:shd w:val="clear" w:color="auto" w:fill="00B0F0"/>
        </w:rPr>
        <w:t>(1) et</w:t>
      </w:r>
      <w:r w:rsidR="009663D0">
        <w:rPr>
          <w:shd w:val="clear" w:color="auto" w:fill="00B0F0"/>
        </w:rPr>
        <w:t xml:space="preserve"> </w:t>
      </w:r>
      <w:r w:rsidR="002E3D2F">
        <w:rPr>
          <w:shd w:val="clear" w:color="auto" w:fill="00B0F0"/>
        </w:rPr>
        <w:t>(2)</w:t>
      </w:r>
      <w:r w:rsidR="00E13137" w:rsidRPr="0046070F">
        <w:rPr>
          <w:shd w:val="clear" w:color="auto" w:fill="00B0F0"/>
        </w:rPr>
        <w:t xml:space="preserve"> </w:t>
      </w:r>
      <w:r w:rsidR="00E13137" w:rsidRPr="0025064E">
        <w:rPr>
          <w:shd w:val="clear" w:color="auto" w:fill="00B0F0"/>
        </w:rPr>
        <w:t>C.cr</w:t>
      </w:r>
      <w:r w:rsidR="00E13137" w:rsidRPr="0025064E">
        <w:t>.</w:t>
      </w:r>
      <w:proofErr w:type="gramStart"/>
      <w:r w:rsidR="00E13137" w:rsidRPr="0025064E">
        <w:t>)</w:t>
      </w:r>
      <w:r w:rsidR="00915B15">
        <w:t>.</w:t>
      </w:r>
      <w:r w:rsidR="007F0185">
        <w:t>L’</w:t>
      </w:r>
      <w:r w:rsidR="002A6C74" w:rsidRPr="00D11176">
        <w:rPr>
          <w:shd w:val="clear" w:color="auto" w:fill="00B0F0"/>
        </w:rPr>
        <w:t>art.</w:t>
      </w:r>
      <w:proofErr w:type="gramEnd"/>
      <w:r w:rsidR="002A6C74" w:rsidRPr="00D11176">
        <w:rPr>
          <w:shd w:val="clear" w:color="auto" w:fill="00B0F0"/>
        </w:rPr>
        <w:t xml:space="preserve">  </w:t>
      </w:r>
      <w:r w:rsidR="007F0185" w:rsidRPr="00D11176">
        <w:rPr>
          <w:shd w:val="clear" w:color="auto" w:fill="00B0F0"/>
        </w:rPr>
        <w:t>51</w:t>
      </w:r>
      <w:r w:rsidR="009663D0" w:rsidRPr="00D11176">
        <w:rPr>
          <w:shd w:val="clear" w:color="auto" w:fill="00B0F0"/>
        </w:rPr>
        <w:t>6</w:t>
      </w:r>
      <w:r w:rsidR="00152485">
        <w:rPr>
          <w:shd w:val="clear" w:color="auto" w:fill="00B0F0"/>
        </w:rPr>
        <w:t> (</w:t>
      </w:r>
      <w:r w:rsidR="007F0185" w:rsidRPr="00D11176">
        <w:rPr>
          <w:shd w:val="clear" w:color="auto" w:fill="00B0F0"/>
        </w:rPr>
        <w:t>3)</w:t>
      </w:r>
      <w:r w:rsidR="00152485">
        <w:rPr>
          <w:shd w:val="clear" w:color="auto" w:fill="00B0F0"/>
        </w:rPr>
        <w:t xml:space="preserve"> </w:t>
      </w:r>
      <w:r w:rsidR="002A6C74" w:rsidRPr="00D11176">
        <w:rPr>
          <w:shd w:val="clear" w:color="auto" w:fill="00B0F0"/>
        </w:rPr>
        <w:t>C.cr</w:t>
      </w:r>
      <w:r w:rsidR="002A6C74" w:rsidRPr="00D11176">
        <w:t>.</w:t>
      </w:r>
      <w:r w:rsidR="00C95546">
        <w:t xml:space="preserve"> </w:t>
      </w:r>
      <w:proofErr w:type="gramStart"/>
      <w:r w:rsidR="00C95546">
        <w:t>précise</w:t>
      </w:r>
      <w:proofErr w:type="gramEnd"/>
      <w:r w:rsidR="00C95546">
        <w:t xml:space="preserve"> la durée de l’ordonnance. </w:t>
      </w:r>
    </w:p>
    <w:p w14:paraId="54DE4E20" w14:textId="77777777" w:rsidR="00C95546" w:rsidRDefault="00C95546" w:rsidP="002A6C74"/>
    <w:p w14:paraId="42F0DFBA" w14:textId="2DCFF92A" w:rsidR="00651ADA" w:rsidRPr="00B71102" w:rsidRDefault="00651ADA" w:rsidP="002A6C74">
      <w:r w:rsidRPr="00651ADA">
        <w:rPr>
          <w:shd w:val="clear" w:color="auto" w:fill="00B0F0"/>
        </w:rPr>
        <w:t>Ar</w:t>
      </w:r>
      <w:r w:rsidR="002A6C74" w:rsidRPr="00651ADA">
        <w:rPr>
          <w:shd w:val="clear" w:color="auto" w:fill="00B0F0"/>
        </w:rPr>
        <w:t xml:space="preserve">t.  </w:t>
      </w:r>
      <w:r w:rsidRPr="00B71102">
        <w:rPr>
          <w:shd w:val="clear" w:color="auto" w:fill="00B0F0"/>
        </w:rPr>
        <w:t>516</w:t>
      </w:r>
      <w:r w:rsidR="00660067" w:rsidRPr="00B71102">
        <w:rPr>
          <w:shd w:val="clear" w:color="auto" w:fill="00B0F0"/>
        </w:rPr>
        <w:t xml:space="preserve"> </w:t>
      </w:r>
      <w:r w:rsidRPr="00B71102">
        <w:rPr>
          <w:shd w:val="clear" w:color="auto" w:fill="00B0F0"/>
        </w:rPr>
        <w:t>(3)</w:t>
      </w:r>
      <w:r w:rsidR="002A6C74" w:rsidRPr="00B71102">
        <w:rPr>
          <w:shd w:val="clear" w:color="auto" w:fill="00B0F0"/>
        </w:rPr>
        <w:t xml:space="preserve"> C.cr</w:t>
      </w:r>
      <w:r w:rsidRPr="00B71102">
        <w:t>:</w:t>
      </w:r>
    </w:p>
    <w:p w14:paraId="6E4C1508" w14:textId="058CF423" w:rsidR="00035676" w:rsidRPr="00035676" w:rsidRDefault="00035676" w:rsidP="00035676">
      <w:r w:rsidRPr="00035676">
        <w:t>Toute ordonnance rendue au titre du paragraphe (2) demeure en vigueur, selon le cas :</w:t>
      </w:r>
    </w:p>
    <w:p w14:paraId="7B34260D" w14:textId="298DE028" w:rsidR="00035676" w:rsidRPr="00035676" w:rsidRDefault="00035676" w:rsidP="00035676">
      <w:pPr>
        <w:pStyle w:val="ListParagraph"/>
        <w:numPr>
          <w:ilvl w:val="0"/>
          <w:numId w:val="4"/>
        </w:numPr>
      </w:pPr>
      <w:proofErr w:type="gramStart"/>
      <w:r w:rsidRPr="00035676">
        <w:t>jusqu’à</w:t>
      </w:r>
      <w:proofErr w:type="gramEnd"/>
      <w:r w:rsidRPr="00035676">
        <w:t xml:space="preserve"> sa modification ou sa révocation;</w:t>
      </w:r>
    </w:p>
    <w:p w14:paraId="3C0EA6EA" w14:textId="2F8434BE" w:rsidR="00035676" w:rsidRPr="00035676" w:rsidRDefault="00035676" w:rsidP="00035676">
      <w:pPr>
        <w:pStyle w:val="ListParagraph"/>
        <w:numPr>
          <w:ilvl w:val="0"/>
          <w:numId w:val="4"/>
        </w:numPr>
      </w:pPr>
      <w:proofErr w:type="gramStart"/>
      <w:r w:rsidRPr="00035676">
        <w:lastRenderedPageBreak/>
        <w:t>jusqu’à</w:t>
      </w:r>
      <w:proofErr w:type="gramEnd"/>
      <w:r w:rsidRPr="00035676">
        <w:t xml:space="preserve"> ce qu’une ordonnance soit rendue au titre de l’article 515 à l’égard du prévenu</w:t>
      </w:r>
      <w:r w:rsidR="008758DC">
        <w:t xml:space="preserve"> (deviendra caduque);</w:t>
      </w:r>
    </w:p>
    <w:p w14:paraId="6C62375A" w14:textId="7238E51A" w:rsidR="00035676" w:rsidRPr="002F2561" w:rsidRDefault="00035676" w:rsidP="00035676">
      <w:pPr>
        <w:pStyle w:val="ListParagraph"/>
        <w:numPr>
          <w:ilvl w:val="0"/>
          <w:numId w:val="4"/>
        </w:numPr>
      </w:pPr>
      <w:proofErr w:type="gramStart"/>
      <w:r w:rsidRPr="002F2561">
        <w:t>jusqu’à</w:t>
      </w:r>
      <w:proofErr w:type="gramEnd"/>
      <w:r w:rsidRPr="002F2561">
        <w:t xml:space="preserve"> l’acquittement du prévenu, le cas échéant;</w:t>
      </w:r>
    </w:p>
    <w:p w14:paraId="7317B4B8" w14:textId="2EE40BEB" w:rsidR="00035676" w:rsidRPr="002F2561" w:rsidRDefault="00035676" w:rsidP="00035676">
      <w:pPr>
        <w:pStyle w:val="ListParagraph"/>
        <w:numPr>
          <w:ilvl w:val="0"/>
          <w:numId w:val="4"/>
        </w:numPr>
      </w:pPr>
      <w:proofErr w:type="gramStart"/>
      <w:r w:rsidRPr="002F2561">
        <w:t>jusqu’au</w:t>
      </w:r>
      <w:proofErr w:type="gramEnd"/>
      <w:r w:rsidRPr="002F2561">
        <w:t xml:space="preserve"> prononcé de la peine du prévenu, le cas échéant.</w:t>
      </w:r>
    </w:p>
    <w:p w14:paraId="25B1750B" w14:textId="32083726" w:rsidR="00035676" w:rsidRDefault="00035676" w:rsidP="002A6C74"/>
    <w:p w14:paraId="6D228E07" w14:textId="4253CB98" w:rsidR="00871C3E" w:rsidRDefault="00C15C67" w:rsidP="00871C3E">
      <w:pPr>
        <w:pStyle w:val="Heading2"/>
      </w:pPr>
      <w:r>
        <w:t xml:space="preserve">Les règles de preuve </w:t>
      </w:r>
      <w:r w:rsidR="002A6C74" w:rsidRPr="00871C3E">
        <w:t>(</w:t>
      </w:r>
      <w:r w:rsidR="002A6C74" w:rsidRPr="00871C3E">
        <w:rPr>
          <w:shd w:val="clear" w:color="auto" w:fill="00B0F0"/>
        </w:rPr>
        <w:t xml:space="preserve">art.  </w:t>
      </w:r>
      <w:r w:rsidRPr="00871C3E">
        <w:rPr>
          <w:shd w:val="clear" w:color="auto" w:fill="00B0F0"/>
        </w:rPr>
        <w:t>518</w:t>
      </w:r>
      <w:r w:rsidR="001712B8">
        <w:rPr>
          <w:shd w:val="clear" w:color="auto" w:fill="00B0F0"/>
        </w:rPr>
        <w:t xml:space="preserve"> </w:t>
      </w:r>
      <w:r w:rsidR="002A6C74" w:rsidRPr="00871C3E">
        <w:rPr>
          <w:shd w:val="clear" w:color="auto" w:fill="00B0F0"/>
        </w:rPr>
        <w:t>C.cr</w:t>
      </w:r>
      <w:r w:rsidR="002A6C74" w:rsidRPr="00871C3E">
        <w:t xml:space="preserve">.) </w:t>
      </w:r>
    </w:p>
    <w:p w14:paraId="31E158B0" w14:textId="77777777" w:rsidR="00871C3E" w:rsidRDefault="00871C3E" w:rsidP="00885A22">
      <w:pPr>
        <w:pStyle w:val="NoSpacing"/>
        <w:spacing w:line="240" w:lineRule="auto"/>
      </w:pPr>
    </w:p>
    <w:p w14:paraId="3D762CAD" w14:textId="6DD9D332" w:rsidR="002A1438" w:rsidRDefault="00F62B36" w:rsidP="00885A22">
      <w:pPr>
        <w:pStyle w:val="NoSpacing"/>
        <w:spacing w:line="240" w:lineRule="auto"/>
      </w:pPr>
      <w:r>
        <w:t>Ces règles s’appliquent peu importe le forum à qui on adresse une demande de remise en liberté</w:t>
      </w:r>
      <w:r w:rsidR="00C0590D">
        <w:t xml:space="preserve">, soit en révision ou autrement. </w:t>
      </w:r>
      <w:r w:rsidR="001F1948">
        <w:t xml:space="preserve">Ce sont des règles plus souples que dans le cadre d’un procès. </w:t>
      </w:r>
      <w:r w:rsidR="00496F95">
        <w:t>La preuve par ouï-dire est accepté</w:t>
      </w:r>
      <w:r w:rsidR="00063942">
        <w:t>e</w:t>
      </w:r>
      <w:r w:rsidR="00C74CF7">
        <w:t xml:space="preserve">, les antécédents judiciaires sont acceptés, les causes en </w:t>
      </w:r>
      <w:r w:rsidR="003425A0">
        <w:t>suspens</w:t>
      </w:r>
      <w:r w:rsidR="00F15341">
        <w:t xml:space="preserve"> </w:t>
      </w:r>
      <w:r w:rsidR="00F15341" w:rsidRPr="00F15341">
        <w:t>(</w:t>
      </w:r>
      <w:r w:rsidR="00F15341" w:rsidRPr="00F15341">
        <w:rPr>
          <w:shd w:val="clear" w:color="auto" w:fill="00B0F0"/>
        </w:rPr>
        <w:t xml:space="preserve">art. </w:t>
      </w:r>
      <w:r w:rsidR="00F15341">
        <w:rPr>
          <w:shd w:val="clear" w:color="auto" w:fill="00B0F0"/>
        </w:rPr>
        <w:t>518 (1) c)</w:t>
      </w:r>
      <w:r w:rsidR="00F15341" w:rsidRPr="00F15341">
        <w:rPr>
          <w:shd w:val="clear" w:color="auto" w:fill="00B0F0"/>
        </w:rPr>
        <w:t xml:space="preserve"> </w:t>
      </w:r>
      <w:r w:rsidR="00F15341" w:rsidRPr="004B77C3">
        <w:rPr>
          <w:shd w:val="clear" w:color="auto" w:fill="00B0F0"/>
        </w:rPr>
        <w:t>C.cr</w:t>
      </w:r>
      <w:r w:rsidR="00F15341" w:rsidRPr="004B77C3">
        <w:t>.)</w:t>
      </w:r>
      <w:r w:rsidR="000E01C2">
        <w:t xml:space="preserve">. </w:t>
      </w:r>
      <w:r w:rsidR="00FF609F">
        <w:t>S’il remet l’individu en liberté</w:t>
      </w:r>
      <w:r w:rsidR="00200219">
        <w:t>, va-t-il respecter les conditions imposées</w:t>
      </w:r>
      <w:r w:rsidR="00BA55BD">
        <w:t> </w:t>
      </w:r>
      <w:r w:rsidR="00AE4C1D">
        <w:t>?</w:t>
      </w:r>
      <w:r w:rsidR="00200219">
        <w:t xml:space="preserve"> Le juge peut même contraindre le prévenu à témoigner</w:t>
      </w:r>
      <w:r w:rsidR="00FD24AF">
        <w:t xml:space="preserve"> et lui poser des questions relativement </w:t>
      </w:r>
      <w:r w:rsidR="00FD24AF" w:rsidRPr="00952381">
        <w:rPr>
          <w:strike/>
        </w:rPr>
        <w:t>aux faits</w:t>
      </w:r>
      <w:r w:rsidR="00544E9C" w:rsidRPr="00952381">
        <w:rPr>
          <w:strike/>
        </w:rPr>
        <w:t xml:space="preserve"> concernant l’infraction </w:t>
      </w:r>
      <w:r w:rsidR="00A40438" w:rsidRPr="00952381">
        <w:rPr>
          <w:strike/>
        </w:rPr>
        <w:t>commise</w:t>
      </w:r>
      <w:r w:rsidR="00580AB3" w:rsidRPr="00952381">
        <w:rPr>
          <w:strike/>
        </w:rPr>
        <w:t xml:space="preserve"> à l’origine de l’enquête</w:t>
      </w:r>
      <w:r w:rsidR="00952381">
        <w:t xml:space="preserve"> (non, il peut seulement poser des questions sur la relations sociale, travail, etc.)</w:t>
      </w:r>
      <w:r w:rsidR="00A2121D">
        <w:t>. Son avocat</w:t>
      </w:r>
      <w:r w:rsidR="00B668DC">
        <w:t xml:space="preserve"> </w:t>
      </w:r>
      <w:r w:rsidR="00A2121D">
        <w:t xml:space="preserve">lui posera alors </w:t>
      </w:r>
      <w:r w:rsidR="00B668DC">
        <w:t>des questions relativement à sa situation sociale</w:t>
      </w:r>
      <w:r w:rsidR="00D461F3">
        <w:t xml:space="preserve">, mais il ne pourra pas faire l’objet d’un contre-interrogatoire </w:t>
      </w:r>
      <w:r w:rsidR="00D461F3" w:rsidRPr="00D461F3">
        <w:t>(</w:t>
      </w:r>
      <w:r w:rsidR="00D461F3" w:rsidRPr="00D461F3">
        <w:rPr>
          <w:shd w:val="clear" w:color="auto" w:fill="00B0F0"/>
        </w:rPr>
        <w:t>art.</w:t>
      </w:r>
      <w:r w:rsidR="00917907">
        <w:rPr>
          <w:shd w:val="clear" w:color="auto" w:fill="00B0F0"/>
        </w:rPr>
        <w:t xml:space="preserve"> </w:t>
      </w:r>
      <w:r w:rsidR="00D461F3">
        <w:rPr>
          <w:shd w:val="clear" w:color="auto" w:fill="00B0F0"/>
        </w:rPr>
        <w:t>518</w:t>
      </w:r>
      <w:r w:rsidR="00CB4553">
        <w:rPr>
          <w:shd w:val="clear" w:color="auto" w:fill="00B0F0"/>
        </w:rPr>
        <w:t xml:space="preserve"> </w:t>
      </w:r>
      <w:r w:rsidR="00D461F3">
        <w:rPr>
          <w:shd w:val="clear" w:color="auto" w:fill="00B0F0"/>
        </w:rPr>
        <w:t>(1)</w:t>
      </w:r>
      <w:r w:rsidR="003949CA">
        <w:rPr>
          <w:shd w:val="clear" w:color="auto" w:fill="00B0F0"/>
        </w:rPr>
        <w:t xml:space="preserve"> </w:t>
      </w:r>
      <w:r w:rsidR="000E32F5">
        <w:rPr>
          <w:shd w:val="clear" w:color="auto" w:fill="00B0F0"/>
        </w:rPr>
        <w:t xml:space="preserve">a) et </w:t>
      </w:r>
      <w:r w:rsidR="00D461F3">
        <w:rPr>
          <w:shd w:val="clear" w:color="auto" w:fill="00B0F0"/>
        </w:rPr>
        <w:t>b)</w:t>
      </w:r>
      <w:r w:rsidR="00D461F3" w:rsidRPr="00D461F3">
        <w:rPr>
          <w:shd w:val="clear" w:color="auto" w:fill="00B0F0"/>
        </w:rPr>
        <w:t xml:space="preserve"> C.cr</w:t>
      </w:r>
      <w:r w:rsidR="00D461F3" w:rsidRPr="00D461F3">
        <w:t>.)</w:t>
      </w:r>
      <w:r w:rsidR="00D461F3">
        <w:t xml:space="preserve">. </w:t>
      </w:r>
      <w:r w:rsidR="007E520D">
        <w:t xml:space="preserve">C’est un cadre </w:t>
      </w:r>
      <w:r w:rsidR="00F52351">
        <w:t xml:space="preserve">exceptionnel puisqu’en droit criminel, l’accusé habituellement ne peut pas être contraint à témoigner à l’enquête préliminaire et à son procès. </w:t>
      </w:r>
    </w:p>
    <w:p w14:paraId="0D16B4ED" w14:textId="77777777" w:rsidR="002A1438" w:rsidRDefault="002A1438" w:rsidP="00885A22">
      <w:pPr>
        <w:pStyle w:val="NoSpacing"/>
        <w:spacing w:line="240" w:lineRule="auto"/>
      </w:pPr>
    </w:p>
    <w:p w14:paraId="2E7AA054" w14:textId="616BD403" w:rsidR="00CA4DD4" w:rsidRDefault="003E048A" w:rsidP="00885A22">
      <w:pPr>
        <w:pStyle w:val="NoSpacing"/>
        <w:spacing w:line="240" w:lineRule="auto"/>
      </w:pPr>
      <w:r>
        <w:t>L’</w:t>
      </w:r>
      <w:r w:rsidR="002A6C74" w:rsidRPr="00871C3E">
        <w:rPr>
          <w:shd w:val="clear" w:color="auto" w:fill="00B0F0"/>
        </w:rPr>
        <w:t xml:space="preserve">art. </w:t>
      </w:r>
      <w:r w:rsidR="003C65B4">
        <w:rPr>
          <w:shd w:val="clear" w:color="auto" w:fill="00B0F0"/>
        </w:rPr>
        <w:t>518</w:t>
      </w:r>
      <w:r w:rsidR="00CA4DD4">
        <w:rPr>
          <w:shd w:val="clear" w:color="auto" w:fill="00B0F0"/>
        </w:rPr>
        <w:t xml:space="preserve"> </w:t>
      </w:r>
      <w:r w:rsidR="003C65B4">
        <w:rPr>
          <w:shd w:val="clear" w:color="auto" w:fill="00B0F0"/>
        </w:rPr>
        <w:t>(1)</w:t>
      </w:r>
      <w:r w:rsidR="00CA4DD4">
        <w:rPr>
          <w:shd w:val="clear" w:color="auto" w:fill="00B0F0"/>
        </w:rPr>
        <w:t xml:space="preserve"> </w:t>
      </w:r>
      <w:r w:rsidR="003C65B4">
        <w:rPr>
          <w:shd w:val="clear" w:color="auto" w:fill="00B0F0"/>
        </w:rPr>
        <w:t>d)</w:t>
      </w:r>
      <w:r w:rsidR="002A6C74" w:rsidRPr="00871C3E">
        <w:rPr>
          <w:shd w:val="clear" w:color="auto" w:fill="00B0F0"/>
        </w:rPr>
        <w:t xml:space="preserve"> </w:t>
      </w:r>
      <w:r w:rsidR="002A6C74" w:rsidRPr="00CA4DD4">
        <w:rPr>
          <w:shd w:val="clear" w:color="auto" w:fill="00B0F0"/>
        </w:rPr>
        <w:t>C.cr</w:t>
      </w:r>
      <w:r w:rsidR="002A6C74" w:rsidRPr="00CA4DD4">
        <w:t>.</w:t>
      </w:r>
      <w:r w:rsidR="00CA4DD4" w:rsidRPr="00CA4DD4">
        <w:t>: le juge de paix peut prendre en considération toutes questions pertinentes sur lesquelles se sont entendus le poursuivant et le prévenu ou son avocat</w:t>
      </w:r>
      <w:r w:rsidR="00CA4DD4">
        <w:t xml:space="preserve">. Les parties avant l’audition se sont préalablement rencontrées </w:t>
      </w:r>
      <w:r w:rsidR="00CE5466">
        <w:t>pour savoir si le PPCP s’objecte</w:t>
      </w:r>
      <w:r w:rsidR="00082A63">
        <w:t xml:space="preserve"> et si oui, négocier avec lui une façon pour que le prévenu soit libéré</w:t>
      </w:r>
      <w:r w:rsidR="00E564AD">
        <w:t xml:space="preserve"> sous certaines conditions. </w:t>
      </w:r>
    </w:p>
    <w:p w14:paraId="25021463" w14:textId="77777777" w:rsidR="009E64DB" w:rsidRDefault="009E64DB" w:rsidP="00885A22"/>
    <w:p w14:paraId="7AF203C0" w14:textId="364B4AD4" w:rsidR="00A36F15" w:rsidRDefault="002F7880" w:rsidP="00885A22">
      <w:r>
        <w:t>Lors que l’audition, le juge doit être informé de la manière que le crime a été commis, de la peine et s’il y a une peine minimale</w:t>
      </w:r>
      <w:r w:rsidR="00891CED">
        <w:t>…</w:t>
      </w:r>
      <w:r w:rsidR="0080102E">
        <w:t xml:space="preserve"> </w:t>
      </w:r>
      <w:r w:rsidR="00134B84">
        <w:t>Cependant, le</w:t>
      </w:r>
      <w:r w:rsidR="002F58C8">
        <w:t>s seuls motifs</w:t>
      </w:r>
      <w:r w:rsidR="001F09C9">
        <w:t xml:space="preserve"> que le</w:t>
      </w:r>
      <w:r w:rsidR="00134B84">
        <w:t xml:space="preserve"> juge </w:t>
      </w:r>
      <w:r w:rsidR="001F09C9">
        <w:t>peut tenir compte pour décider de détenir sous garde se retrouvent à l’</w:t>
      </w:r>
      <w:r w:rsidR="001F09C9" w:rsidRPr="001F09C9">
        <w:rPr>
          <w:shd w:val="clear" w:color="auto" w:fill="00B0F0"/>
        </w:rPr>
        <w:t xml:space="preserve">art. </w:t>
      </w:r>
      <w:r w:rsidR="001F09C9">
        <w:rPr>
          <w:shd w:val="clear" w:color="auto" w:fill="00B0F0"/>
        </w:rPr>
        <w:t xml:space="preserve">515 (10) </w:t>
      </w:r>
      <w:r w:rsidR="001F09C9" w:rsidRPr="001F09C9">
        <w:rPr>
          <w:shd w:val="clear" w:color="auto" w:fill="00B0F0"/>
        </w:rPr>
        <w:t>C.cr</w:t>
      </w:r>
      <w:r w:rsidR="001F09C9" w:rsidRPr="001F09C9">
        <w:t>.</w:t>
      </w:r>
    </w:p>
    <w:p w14:paraId="1A92D3F3" w14:textId="4B6D6158" w:rsidR="00A36F15" w:rsidRDefault="00A36F15" w:rsidP="00885A22"/>
    <w:p w14:paraId="3E3C3B6B" w14:textId="568D4992" w:rsidR="007524B1" w:rsidRDefault="008661D2" w:rsidP="00885A22">
      <w:r>
        <w:t xml:space="preserve">À cette </w:t>
      </w:r>
      <w:r w:rsidR="00214BEE">
        <w:t xml:space="preserve">étape judiciaire, nous ne sommes pas </w:t>
      </w:r>
      <w:r w:rsidR="00762944">
        <w:t>tenus</w:t>
      </w:r>
      <w:r w:rsidR="00214BEE">
        <w:t xml:space="preserve"> de déposer une déclaration extrajudiciaire</w:t>
      </w:r>
      <w:r w:rsidR="00395486">
        <w:t xml:space="preserve"> et ainsi de faire un voir-dire </w:t>
      </w:r>
      <w:r w:rsidR="00341491">
        <w:t xml:space="preserve">comme c’est le cas par exemple à l’enquête préliminaire et </w:t>
      </w:r>
      <w:r w:rsidR="00891E4E">
        <w:t xml:space="preserve">au procès. </w:t>
      </w:r>
    </w:p>
    <w:p w14:paraId="19111906" w14:textId="0104FB02" w:rsidR="007524B1" w:rsidRDefault="007524B1" w:rsidP="00885A22"/>
    <w:p w14:paraId="371E32CD" w14:textId="1AB9A232" w:rsidR="00517C90" w:rsidRDefault="00517C90" w:rsidP="00885A22">
      <w:r>
        <w:t xml:space="preserve">Le fardeau de preuve repose </w:t>
      </w:r>
      <w:r w:rsidR="00D235DD">
        <w:t xml:space="preserve">majoritairement sur les épaules du poursuivant </w:t>
      </w:r>
      <w:r w:rsidR="00D235DD" w:rsidRPr="00D235DD">
        <w:t>(</w:t>
      </w:r>
      <w:r w:rsidR="00D235DD" w:rsidRPr="00D235DD">
        <w:rPr>
          <w:shd w:val="clear" w:color="auto" w:fill="00B0F0"/>
        </w:rPr>
        <w:t xml:space="preserve">art.  </w:t>
      </w:r>
      <w:r w:rsidR="00D235DD">
        <w:rPr>
          <w:shd w:val="clear" w:color="auto" w:fill="00B0F0"/>
        </w:rPr>
        <w:t>515 (1)</w:t>
      </w:r>
      <w:r w:rsidR="00D235DD" w:rsidRPr="00D235DD">
        <w:rPr>
          <w:shd w:val="clear" w:color="auto" w:fill="00B0F0"/>
        </w:rPr>
        <w:t xml:space="preserve"> </w:t>
      </w:r>
      <w:r w:rsidR="00D235DD" w:rsidRPr="00546B2F">
        <w:rPr>
          <w:shd w:val="clear" w:color="auto" w:fill="00B0F0"/>
        </w:rPr>
        <w:t>C.cr</w:t>
      </w:r>
      <w:r w:rsidR="00D235DD" w:rsidRPr="00546B2F">
        <w:t xml:space="preserve">.) </w:t>
      </w:r>
      <w:r w:rsidR="00C86CF4">
        <w:t xml:space="preserve">et de la balance des probabilités </w:t>
      </w:r>
      <w:r w:rsidR="00046FA0">
        <w:t xml:space="preserve">par prépondérance de preuve </w:t>
      </w:r>
      <w:r w:rsidR="00D235DD">
        <w:t>sauf quand</w:t>
      </w:r>
      <w:r w:rsidR="00546B2F">
        <w:t xml:space="preserve"> le fardeau est renversé et repos</w:t>
      </w:r>
      <w:r w:rsidR="000137CA">
        <w:t>e à la défense</w:t>
      </w:r>
      <w:r w:rsidR="00546B2F">
        <w:t xml:space="preserve"> </w:t>
      </w:r>
      <w:r w:rsidR="00546B2F" w:rsidRPr="00546B2F">
        <w:t>(</w:t>
      </w:r>
      <w:r w:rsidR="00546B2F" w:rsidRPr="00546B2F">
        <w:rPr>
          <w:shd w:val="clear" w:color="auto" w:fill="00B0F0"/>
        </w:rPr>
        <w:t xml:space="preserve">art.  </w:t>
      </w:r>
      <w:r w:rsidR="00546B2F">
        <w:rPr>
          <w:shd w:val="clear" w:color="auto" w:fill="00B0F0"/>
        </w:rPr>
        <w:t>515 (6)</w:t>
      </w:r>
      <w:r w:rsidR="00546B2F" w:rsidRPr="00546B2F">
        <w:rPr>
          <w:shd w:val="clear" w:color="auto" w:fill="00B0F0"/>
        </w:rPr>
        <w:t xml:space="preserve"> </w:t>
      </w:r>
      <w:r w:rsidR="00546B2F" w:rsidRPr="00C86CF4">
        <w:rPr>
          <w:shd w:val="clear" w:color="auto" w:fill="00B0F0"/>
        </w:rPr>
        <w:t>C.cr</w:t>
      </w:r>
      <w:r w:rsidR="00546B2F" w:rsidRPr="00C86CF4">
        <w:t>.)</w:t>
      </w:r>
      <w:r w:rsidR="00D17263" w:rsidRPr="00C86CF4">
        <w:t>.</w:t>
      </w:r>
    </w:p>
    <w:p w14:paraId="4E60E6EB" w14:textId="5F092645" w:rsidR="00517C90" w:rsidRDefault="00517C90" w:rsidP="00885A22"/>
    <w:p w14:paraId="0A414A87" w14:textId="5ADFD28B" w:rsidR="00DC700C" w:rsidRPr="009E6AC1" w:rsidRDefault="00DC700C" w:rsidP="00DC700C">
      <w:pPr>
        <w:rPr>
          <w:b/>
          <w:bCs/>
        </w:rPr>
      </w:pPr>
      <w:r w:rsidRPr="009E6AC1">
        <w:rPr>
          <w:b/>
          <w:bCs/>
        </w:rPr>
        <w:t>Vrai/Faux</w:t>
      </w:r>
    </w:p>
    <w:p w14:paraId="05D4D10C" w14:textId="77777777" w:rsidR="00DC700C" w:rsidRDefault="00DC700C" w:rsidP="00DC700C"/>
    <w:p w14:paraId="7D0E014D" w14:textId="50646F15" w:rsidR="00DC700C" w:rsidRDefault="00DC700C" w:rsidP="00DC700C">
      <w:r>
        <w:t>Puisque le prévenu est contraignable lors de l’enquête sur sa remise en liberté, le juge de paix a le pouvoir de lui poser toute question relative aux faits concernant l’infraction à l’égard de laquelle on tient présentement une enquête sur sa remise en liberté.</w:t>
      </w:r>
    </w:p>
    <w:p w14:paraId="5AE835AE" w14:textId="35919407" w:rsidR="00DC700C" w:rsidRDefault="00DC700C" w:rsidP="00885A22"/>
    <w:p w14:paraId="2CE899E6" w14:textId="5B228598" w:rsidR="009E6AC1" w:rsidRDefault="00BB28C6" w:rsidP="00885A22">
      <w:r>
        <w:t xml:space="preserve">Faux, </w:t>
      </w:r>
      <w:r w:rsidRPr="00BB28C6">
        <w:t>le juge de paix peut contraindre et interroger le prévenu. Cependant, il ne doit pas poser de question relativement aux faits concernant l’infraction à l’égard de laquelle on tient présentement une enquête sur la remise en liberté (</w:t>
      </w:r>
      <w:r w:rsidRPr="00986357">
        <w:rPr>
          <w:shd w:val="clear" w:color="auto" w:fill="00B0F0"/>
        </w:rPr>
        <w:t>art. 518 (1) a) et b) C.cr.</w:t>
      </w:r>
      <w:r w:rsidRPr="00BB28C6">
        <w:t>).</w:t>
      </w:r>
    </w:p>
    <w:p w14:paraId="22E7ADE0" w14:textId="77777777" w:rsidR="009E6AC1" w:rsidRDefault="009E6AC1" w:rsidP="00885A22"/>
    <w:p w14:paraId="75DB4943" w14:textId="77777777" w:rsidR="00952381" w:rsidRDefault="00952381" w:rsidP="00885A22"/>
    <w:p w14:paraId="1F45FF10" w14:textId="48B8B7CD" w:rsidR="00C8535E" w:rsidRDefault="000F117B" w:rsidP="000F117B">
      <w:pPr>
        <w:pStyle w:val="Heading2"/>
      </w:pPr>
      <w:r>
        <w:lastRenderedPageBreak/>
        <w:t>La décision</w:t>
      </w:r>
    </w:p>
    <w:p w14:paraId="288BF174" w14:textId="77777777" w:rsidR="006E7010" w:rsidRDefault="006E7010" w:rsidP="00885A22"/>
    <w:p w14:paraId="2379C5C3" w14:textId="741B8BD6" w:rsidR="00B618B5" w:rsidRDefault="00FD6416" w:rsidP="00885A22">
      <w:r>
        <w:t xml:space="preserve">Le juge présidant l’enquête </w:t>
      </w:r>
      <w:r w:rsidR="00066F31">
        <w:t xml:space="preserve">doit s’assurer que sa décision rencontre </w:t>
      </w:r>
      <w:r w:rsidR="00B7579C">
        <w:t>l</w:t>
      </w:r>
      <w:r w:rsidR="00D20DC7">
        <w:t>’un des</w:t>
      </w:r>
      <w:r w:rsidR="00066F31">
        <w:t xml:space="preserve"> motifs de l’</w:t>
      </w:r>
      <w:r w:rsidR="002A6C74" w:rsidRPr="00CA4DD4">
        <w:rPr>
          <w:shd w:val="clear" w:color="auto" w:fill="00B0F0"/>
        </w:rPr>
        <w:t>art.</w:t>
      </w:r>
      <w:r w:rsidR="00B618B5">
        <w:rPr>
          <w:shd w:val="clear" w:color="auto" w:fill="00B0F0"/>
        </w:rPr>
        <w:t xml:space="preserve"> 515 (1) </w:t>
      </w:r>
      <w:r w:rsidR="002A6C74" w:rsidRPr="00B618B5">
        <w:rPr>
          <w:shd w:val="clear" w:color="auto" w:fill="00B0F0"/>
        </w:rPr>
        <w:t>C.cr</w:t>
      </w:r>
      <w:r w:rsidR="002A6C74" w:rsidRPr="00B618B5">
        <w:t xml:space="preserve">. </w:t>
      </w:r>
    </w:p>
    <w:p w14:paraId="4FA8EB99" w14:textId="46C9302D" w:rsidR="008015FC" w:rsidRDefault="00660985" w:rsidP="00885A22">
      <w:r>
        <w:t xml:space="preserve">Par exemple, </w:t>
      </w:r>
      <w:r w:rsidR="007552F4">
        <w:t>l’</w:t>
      </w:r>
      <w:r w:rsidR="002A6C74" w:rsidRPr="00B618B5">
        <w:rPr>
          <w:shd w:val="clear" w:color="auto" w:fill="00B0F0"/>
        </w:rPr>
        <w:t xml:space="preserve">art.  </w:t>
      </w:r>
      <w:r w:rsidR="007552F4">
        <w:rPr>
          <w:shd w:val="clear" w:color="auto" w:fill="00B0F0"/>
        </w:rPr>
        <w:t>515 (10) c)</w:t>
      </w:r>
      <w:r w:rsidR="002A6C74" w:rsidRPr="00B618B5">
        <w:rPr>
          <w:shd w:val="clear" w:color="auto" w:fill="00B0F0"/>
        </w:rPr>
        <w:t xml:space="preserve"> </w:t>
      </w:r>
      <w:r w:rsidR="002A6C74" w:rsidRPr="00BC67DA">
        <w:rPr>
          <w:shd w:val="clear" w:color="auto" w:fill="00B0F0"/>
        </w:rPr>
        <w:t>C.cr</w:t>
      </w:r>
      <w:r w:rsidR="002A6C74" w:rsidRPr="00BC67DA">
        <w:t>.</w:t>
      </w:r>
      <w:r w:rsidR="00F61997">
        <w:t xml:space="preserve"> </w:t>
      </w:r>
      <w:proofErr w:type="gramStart"/>
      <w:r w:rsidR="00F61997">
        <w:t>quant</w:t>
      </w:r>
      <w:proofErr w:type="gramEnd"/>
      <w:r w:rsidR="00F61997">
        <w:t xml:space="preserve"> à la confiance du public envers l’administration de la justice a été une question importante lors de la décision de remettre en liberté le Dr Turcotte.</w:t>
      </w:r>
      <w:r w:rsidR="001A1F67">
        <w:t xml:space="preserve"> </w:t>
      </w:r>
      <w:r w:rsidR="00F61997">
        <w:t xml:space="preserve">Cette décision de la Cour supérieure a d’ailleurs été portée </w:t>
      </w:r>
      <w:r w:rsidR="00FF5771">
        <w:t>en appel et la Cour d’appel a affirmé que les sondages</w:t>
      </w:r>
      <w:r w:rsidR="00491FB3">
        <w:t xml:space="preserve">, </w:t>
      </w:r>
      <w:r w:rsidR="00FF5771">
        <w:t xml:space="preserve">les </w:t>
      </w:r>
      <w:r w:rsidR="00315C92">
        <w:t xml:space="preserve">opinions ou </w:t>
      </w:r>
      <w:r w:rsidR="00491FB3">
        <w:t xml:space="preserve">encore le </w:t>
      </w:r>
      <w:r w:rsidR="00315C92">
        <w:t xml:space="preserve">fait que certaines personnes se sentent inconfortables </w:t>
      </w:r>
      <w:r w:rsidR="00E02924">
        <w:t xml:space="preserve">ne doit pas être considérées </w:t>
      </w:r>
      <w:r w:rsidR="00315C92">
        <w:t xml:space="preserve">et la demande a été rejetée. </w:t>
      </w:r>
    </w:p>
    <w:p w14:paraId="5E5DFC8A" w14:textId="77777777" w:rsidR="008015FC" w:rsidRDefault="008015FC" w:rsidP="00885A22"/>
    <w:p w14:paraId="5076EC02" w14:textId="3CC746F4" w:rsidR="006D1F9E" w:rsidRDefault="003274C2" w:rsidP="00885A22">
      <w:r>
        <w:t xml:space="preserve">Lorsque le juge </w:t>
      </w:r>
      <w:r w:rsidR="00CF39F4">
        <w:t>décide de détenir l’individu, il devra déposer un mandat de dépôt</w:t>
      </w:r>
      <w:r w:rsidR="008B5296">
        <w:t xml:space="preserve"> </w:t>
      </w:r>
      <w:proofErr w:type="gramStart"/>
      <w:r w:rsidR="008B5296">
        <w:t>(</w:t>
      </w:r>
      <w:r w:rsidR="00F61997">
        <w:t xml:space="preserve"> </w:t>
      </w:r>
      <w:r w:rsidR="002A6C74" w:rsidRPr="00F61997">
        <w:rPr>
          <w:shd w:val="clear" w:color="auto" w:fill="00B0F0"/>
        </w:rPr>
        <w:t>art.</w:t>
      </w:r>
      <w:proofErr w:type="gramEnd"/>
      <w:r w:rsidR="002A6C74" w:rsidRPr="00F61997">
        <w:rPr>
          <w:shd w:val="clear" w:color="auto" w:fill="00B0F0"/>
        </w:rPr>
        <w:t xml:space="preserve"> </w:t>
      </w:r>
      <w:r w:rsidR="008B5296">
        <w:rPr>
          <w:shd w:val="clear" w:color="auto" w:fill="00B0F0"/>
        </w:rPr>
        <w:t>515</w:t>
      </w:r>
      <w:r w:rsidR="00972BEA">
        <w:rPr>
          <w:shd w:val="clear" w:color="auto" w:fill="00B0F0"/>
        </w:rPr>
        <w:t> </w:t>
      </w:r>
      <w:r w:rsidR="008B5296">
        <w:rPr>
          <w:shd w:val="clear" w:color="auto" w:fill="00B0F0"/>
        </w:rPr>
        <w:t>(11)</w:t>
      </w:r>
      <w:r w:rsidR="002A6C74" w:rsidRPr="00F61997">
        <w:rPr>
          <w:shd w:val="clear" w:color="auto" w:fill="00B0F0"/>
        </w:rPr>
        <w:t xml:space="preserve"> </w:t>
      </w:r>
      <w:r w:rsidR="002A6C74" w:rsidRPr="00C409C5">
        <w:rPr>
          <w:shd w:val="clear" w:color="auto" w:fill="00B0F0"/>
        </w:rPr>
        <w:t>C.cr</w:t>
      </w:r>
      <w:r w:rsidR="002A6C74" w:rsidRPr="00C409C5">
        <w:t>.)</w:t>
      </w:r>
      <w:r w:rsidR="00C409C5">
        <w:t xml:space="preserve">. </w:t>
      </w:r>
      <w:r w:rsidR="006522C1">
        <w:t xml:space="preserve">À la demande de la poursuite, le juge peut imposer des conditions </w:t>
      </w:r>
      <w:r w:rsidR="002A6C74" w:rsidRPr="006522C1">
        <w:t>(</w:t>
      </w:r>
      <w:r w:rsidR="002A6C74" w:rsidRPr="006522C1">
        <w:rPr>
          <w:shd w:val="clear" w:color="auto" w:fill="00B0F0"/>
        </w:rPr>
        <w:t xml:space="preserve">art. </w:t>
      </w:r>
      <w:r w:rsidR="00FB64E3">
        <w:rPr>
          <w:shd w:val="clear" w:color="auto" w:fill="00B0F0"/>
        </w:rPr>
        <w:t>516 (2)</w:t>
      </w:r>
      <w:r w:rsidR="002A6C74" w:rsidRPr="006522C1">
        <w:rPr>
          <w:shd w:val="clear" w:color="auto" w:fill="00B0F0"/>
        </w:rPr>
        <w:t xml:space="preserve"> </w:t>
      </w:r>
      <w:r w:rsidR="002A6C74" w:rsidRPr="00CF4C98">
        <w:rPr>
          <w:shd w:val="clear" w:color="auto" w:fill="00B0F0"/>
        </w:rPr>
        <w:t>C.cr</w:t>
      </w:r>
      <w:r w:rsidR="002A6C74" w:rsidRPr="00CF4C98">
        <w:t>.)</w:t>
      </w:r>
      <w:r w:rsidR="00CF4C98" w:rsidRPr="00CF4C98">
        <w:t>. Lorsqu’il y a eu la menace de violence</w:t>
      </w:r>
      <w:r w:rsidR="00C47A65">
        <w:t xml:space="preserve"> ou </w:t>
      </w:r>
      <w:r w:rsidR="00295F3D">
        <w:t xml:space="preserve">la commission de </w:t>
      </w:r>
      <w:r w:rsidR="00C47A65">
        <w:t>certains types d’infraction</w:t>
      </w:r>
      <w:r w:rsidR="003372DF">
        <w:t xml:space="preserve">, </w:t>
      </w:r>
      <w:r w:rsidR="00CF4C98" w:rsidRPr="00CF4C98">
        <w:t>l’</w:t>
      </w:r>
      <w:r w:rsidR="002A6C74" w:rsidRPr="00CF4C98">
        <w:rPr>
          <w:shd w:val="clear" w:color="auto" w:fill="00B0F0"/>
        </w:rPr>
        <w:t xml:space="preserve">art. </w:t>
      </w:r>
      <w:r w:rsidR="00CF4C98">
        <w:rPr>
          <w:shd w:val="clear" w:color="auto" w:fill="00B0F0"/>
        </w:rPr>
        <w:t>515 (4.1)</w:t>
      </w:r>
      <w:r w:rsidR="002A6C74" w:rsidRPr="00CF4C98">
        <w:rPr>
          <w:shd w:val="clear" w:color="auto" w:fill="00B0F0"/>
        </w:rPr>
        <w:t xml:space="preserve"> </w:t>
      </w:r>
      <w:r w:rsidR="002A6C74" w:rsidRPr="00C47A65">
        <w:rPr>
          <w:shd w:val="clear" w:color="auto" w:fill="00B0F0"/>
        </w:rPr>
        <w:t>C.cr</w:t>
      </w:r>
      <w:r w:rsidR="002A6C74" w:rsidRPr="00C47A65">
        <w:t>.</w:t>
      </w:r>
      <w:r w:rsidR="00DD1D59" w:rsidRPr="00C47A65">
        <w:t xml:space="preserve"> </w:t>
      </w:r>
      <w:proofErr w:type="gramStart"/>
      <w:r w:rsidR="00DD1D59" w:rsidRPr="00C47A65">
        <w:t>prévoit</w:t>
      </w:r>
      <w:proofErr w:type="gramEnd"/>
      <w:r w:rsidR="00DD1D59" w:rsidRPr="00C47A65">
        <w:t xml:space="preserve"> que</w:t>
      </w:r>
      <w:r w:rsidR="003372DF">
        <w:t xml:space="preserve"> le juge rend une ordonnance d’interdiction d’armes à feu</w:t>
      </w:r>
      <w:r w:rsidR="008B1095">
        <w:t xml:space="preserve"> et substances explosives. </w:t>
      </w:r>
      <w:r w:rsidR="00AC4E1A">
        <w:t>Si le juge ne la rendait pas, il doit donner des motifs</w:t>
      </w:r>
      <w:r w:rsidR="00230493">
        <w:t xml:space="preserve"> justifiant sa décision. </w:t>
      </w:r>
    </w:p>
    <w:p w14:paraId="6EB2F728" w14:textId="77777777" w:rsidR="006D1F9E" w:rsidRDefault="006D1F9E" w:rsidP="00885A22"/>
    <w:p w14:paraId="4ACF8ACA" w14:textId="77777777" w:rsidR="006D1F9E" w:rsidRPr="006D1F9E" w:rsidRDefault="006D1F9E" w:rsidP="006D1F9E">
      <w:pPr>
        <w:rPr>
          <w:b/>
          <w:bCs/>
        </w:rPr>
      </w:pPr>
      <w:r w:rsidRPr="006D1F9E">
        <w:rPr>
          <w:b/>
          <w:bCs/>
        </w:rPr>
        <w:t>Quiz - Trouvez l'intrus</w:t>
      </w:r>
    </w:p>
    <w:p w14:paraId="170C383C" w14:textId="77777777" w:rsidR="006D1F9E" w:rsidRDefault="006D1F9E" w:rsidP="006D1F9E"/>
    <w:p w14:paraId="4AD608E6" w14:textId="77777777" w:rsidR="006D1F9E" w:rsidRDefault="006D1F9E" w:rsidP="006D1F9E">
      <w:r>
        <w:t>Le juge de paix doit considérer les critères suivants afin de fonder sa décision sur la détention sous garde du prévenu :</w:t>
      </w:r>
    </w:p>
    <w:p w14:paraId="102034C0" w14:textId="77777777" w:rsidR="006D1F9E" w:rsidRDefault="006D1F9E" w:rsidP="006D1F9E"/>
    <w:p w14:paraId="5FCE88F4" w14:textId="0A69F046" w:rsidR="006D1F9E" w:rsidRDefault="006D1F9E" w:rsidP="006D1F9E">
      <w:pPr>
        <w:pStyle w:val="ListParagraph"/>
        <w:numPr>
          <w:ilvl w:val="0"/>
          <w:numId w:val="5"/>
        </w:numPr>
      </w:pPr>
      <w:r>
        <w:t>La détention est nécessaire, car le prévenu a des causes pendantes</w:t>
      </w:r>
    </w:p>
    <w:p w14:paraId="7DE6A446" w14:textId="5F90668F" w:rsidR="006D1F9E" w:rsidRDefault="006D1F9E" w:rsidP="006D1F9E">
      <w:pPr>
        <w:pStyle w:val="ListParagraph"/>
        <w:numPr>
          <w:ilvl w:val="0"/>
          <w:numId w:val="5"/>
        </w:numPr>
      </w:pPr>
      <w:r>
        <w:t>La détention est nécessaire pour assurer la présence du détenu</w:t>
      </w:r>
    </w:p>
    <w:p w14:paraId="1D4C323B" w14:textId="77777777" w:rsidR="006D1F9E" w:rsidRDefault="006D1F9E" w:rsidP="006D1F9E">
      <w:pPr>
        <w:pStyle w:val="ListParagraph"/>
        <w:numPr>
          <w:ilvl w:val="0"/>
          <w:numId w:val="5"/>
        </w:numPr>
      </w:pPr>
      <w:r>
        <w:t xml:space="preserve">La détention est nécessaire pour la protection et la sécurité du public, de la victime et des témoins de l’infraction  </w:t>
      </w:r>
    </w:p>
    <w:p w14:paraId="154B19C7" w14:textId="77777777" w:rsidR="006D1F9E" w:rsidRDefault="006D1F9E" w:rsidP="006D1F9E">
      <w:pPr>
        <w:pStyle w:val="ListParagraph"/>
        <w:numPr>
          <w:ilvl w:val="0"/>
          <w:numId w:val="5"/>
        </w:numPr>
      </w:pPr>
      <w:r>
        <w:t>La détention est nécessaire, car le prévenu a un casier judiciaire</w:t>
      </w:r>
    </w:p>
    <w:p w14:paraId="6198BF0D" w14:textId="77777777" w:rsidR="006D1F9E" w:rsidRDefault="006D1F9E" w:rsidP="006D1F9E">
      <w:pPr>
        <w:pStyle w:val="ListParagraph"/>
        <w:numPr>
          <w:ilvl w:val="0"/>
          <w:numId w:val="5"/>
        </w:numPr>
      </w:pPr>
      <w:r>
        <w:t>La détention est nécessaire pour ne pas miner la confiance du public envers l’administration de la justice</w:t>
      </w:r>
    </w:p>
    <w:p w14:paraId="72806774" w14:textId="011306D6" w:rsidR="006D1F9E" w:rsidRDefault="006D1F9E" w:rsidP="006D1F9E">
      <w:pPr>
        <w:pStyle w:val="ListParagraph"/>
        <w:numPr>
          <w:ilvl w:val="0"/>
          <w:numId w:val="5"/>
        </w:numPr>
      </w:pPr>
      <w:proofErr w:type="gramStart"/>
      <w:r>
        <w:t>b</w:t>
      </w:r>
      <w:proofErr w:type="gramEnd"/>
      <w:r>
        <w:t>), c) et e)</w:t>
      </w:r>
    </w:p>
    <w:p w14:paraId="165D3626" w14:textId="7D72F753" w:rsidR="006D1F9E" w:rsidRDefault="006D1F9E" w:rsidP="006D1F9E">
      <w:pPr>
        <w:pStyle w:val="ListParagraph"/>
        <w:numPr>
          <w:ilvl w:val="0"/>
          <w:numId w:val="5"/>
        </w:numPr>
      </w:pPr>
      <w:proofErr w:type="gramStart"/>
      <w:r>
        <w:t>a</w:t>
      </w:r>
      <w:proofErr w:type="gramEnd"/>
      <w:r>
        <w:t>), d) et e)</w:t>
      </w:r>
    </w:p>
    <w:p w14:paraId="5A1EA14C" w14:textId="6C2CB30C" w:rsidR="006D1F9E" w:rsidRDefault="006D1F9E" w:rsidP="00885A22"/>
    <w:p w14:paraId="322B68F1" w14:textId="032DE8D0" w:rsidR="00E06FBE" w:rsidRDefault="00E06FBE" w:rsidP="00E06FBE">
      <w:r>
        <w:t>g) a), d) et e), le législateur a prévu trois motifs sur lesquels le juge de paix peut se fonder pour déterminer si la détention sous garde est justifiée :</w:t>
      </w:r>
    </w:p>
    <w:p w14:paraId="4665C3CF" w14:textId="77777777" w:rsidR="00E06FBE" w:rsidRDefault="00E06FBE" w:rsidP="00E06FBE">
      <w:r>
        <w:t>• La détention est nécessaire pour assurer la présence du détenu</w:t>
      </w:r>
    </w:p>
    <w:p w14:paraId="4915C95F" w14:textId="77777777" w:rsidR="00E06FBE" w:rsidRDefault="00E06FBE" w:rsidP="00E06FBE">
      <w:r>
        <w:t>• La détention est nécessaire pour la protection et la sécurité du public, de la victime et des témoins de l’infraction</w:t>
      </w:r>
    </w:p>
    <w:p w14:paraId="09DDD630" w14:textId="63DB0DF0" w:rsidR="004F540B" w:rsidRDefault="00E06FBE" w:rsidP="00E06FBE">
      <w:r>
        <w:t>• La détention est nécessaire pour ne pas miner la confiance du public envers l’administration de la justice</w:t>
      </w:r>
    </w:p>
    <w:p w14:paraId="090089AB" w14:textId="3E871A7F" w:rsidR="006D1F9E" w:rsidRDefault="006D1F9E" w:rsidP="00885A22"/>
    <w:p w14:paraId="601050FA" w14:textId="106E5581" w:rsidR="00655439" w:rsidRDefault="00655439" w:rsidP="00655439">
      <w:pPr>
        <w:pStyle w:val="Heading2"/>
      </w:pPr>
      <w:r>
        <w:t xml:space="preserve">La révision formelle et la révision </w:t>
      </w:r>
      <w:r w:rsidR="00E77B70">
        <w:t>in</w:t>
      </w:r>
      <w:r>
        <w:t>formelle</w:t>
      </w:r>
    </w:p>
    <w:p w14:paraId="1F2B828A" w14:textId="77777777" w:rsidR="00655439" w:rsidRDefault="00655439" w:rsidP="00885A22"/>
    <w:p w14:paraId="3482646E" w14:textId="77777777" w:rsidR="00BD0730" w:rsidRDefault="00D16AA7" w:rsidP="002A6C74">
      <w:r>
        <w:t>Lorsqu</w:t>
      </w:r>
      <w:r w:rsidR="0016045E">
        <w:t xml:space="preserve">’une décision en première instance a été rendue et que </w:t>
      </w:r>
      <w:r>
        <w:t>l’on se retrouve devant un juge de la</w:t>
      </w:r>
      <w:r w:rsidR="00594F0A">
        <w:t xml:space="preserve"> cour du Québec ou de la cour supé</w:t>
      </w:r>
      <w:r w:rsidR="00C57305">
        <w:t xml:space="preserve">rieure pour un acte criminel </w:t>
      </w:r>
      <w:r w:rsidR="002A6C74" w:rsidRPr="00C47A65">
        <w:t>(</w:t>
      </w:r>
      <w:r w:rsidR="002A6C74" w:rsidRPr="00C47A65">
        <w:rPr>
          <w:shd w:val="clear" w:color="auto" w:fill="00B0F0"/>
        </w:rPr>
        <w:t>art.</w:t>
      </w:r>
      <w:r w:rsidR="00594F0A">
        <w:rPr>
          <w:shd w:val="clear" w:color="auto" w:fill="00B0F0"/>
        </w:rPr>
        <w:t xml:space="preserve"> 469</w:t>
      </w:r>
      <w:r w:rsidR="002A6C74" w:rsidRPr="00C47A65">
        <w:rPr>
          <w:shd w:val="clear" w:color="auto" w:fill="00B0F0"/>
        </w:rPr>
        <w:t xml:space="preserve"> </w:t>
      </w:r>
      <w:r w:rsidR="002A6C74" w:rsidRPr="00C57305">
        <w:rPr>
          <w:shd w:val="clear" w:color="auto" w:fill="00B0F0"/>
        </w:rPr>
        <w:t>C.cr</w:t>
      </w:r>
      <w:r w:rsidR="002A6C74" w:rsidRPr="00C57305">
        <w:t>.)</w:t>
      </w:r>
      <w:r w:rsidR="00E23A76">
        <w:t xml:space="preserve">, nous avons une possibilité de révision de cette </w:t>
      </w:r>
      <w:r w:rsidR="0045293D">
        <w:t>décision. Lorsqu’il s’agit d’un acte criminel autre que ceux mentionnés à l’</w:t>
      </w:r>
      <w:r w:rsidR="002A6C74" w:rsidRPr="00C57305">
        <w:rPr>
          <w:shd w:val="clear" w:color="auto" w:fill="00B0F0"/>
        </w:rPr>
        <w:t>art.</w:t>
      </w:r>
      <w:r w:rsidR="0045293D">
        <w:rPr>
          <w:shd w:val="clear" w:color="auto" w:fill="00B0F0"/>
        </w:rPr>
        <w:t xml:space="preserve"> 469</w:t>
      </w:r>
      <w:r w:rsidR="002A6C74" w:rsidRPr="00C57305">
        <w:rPr>
          <w:shd w:val="clear" w:color="auto" w:fill="00B0F0"/>
        </w:rPr>
        <w:t xml:space="preserve"> </w:t>
      </w:r>
      <w:r w:rsidR="002A6C74" w:rsidRPr="00031F36">
        <w:rPr>
          <w:shd w:val="clear" w:color="auto" w:fill="00B0F0"/>
        </w:rPr>
        <w:t>C.cr</w:t>
      </w:r>
      <w:r w:rsidR="002A6C74" w:rsidRPr="00031F36">
        <w:t>.</w:t>
      </w:r>
      <w:r w:rsidR="00031F36">
        <w:t>, la révision se fait devant un juge de la Cour supérieure et ses pouvoirs</w:t>
      </w:r>
      <w:r w:rsidR="00716C88">
        <w:t xml:space="preserve"> </w:t>
      </w:r>
      <w:r w:rsidR="00031F36">
        <w:t xml:space="preserve">de révision formelle se retrouvent aux </w:t>
      </w:r>
      <w:r w:rsidR="002A6C74" w:rsidRPr="00031F36">
        <w:rPr>
          <w:shd w:val="clear" w:color="auto" w:fill="00B0F0"/>
        </w:rPr>
        <w:t>art</w:t>
      </w:r>
      <w:r w:rsidR="00031F36" w:rsidRPr="00031F36">
        <w:rPr>
          <w:shd w:val="clear" w:color="auto" w:fill="00B0F0"/>
        </w:rPr>
        <w:t>s</w:t>
      </w:r>
      <w:r w:rsidR="002A6C74" w:rsidRPr="00031F36">
        <w:rPr>
          <w:shd w:val="clear" w:color="auto" w:fill="00B0F0"/>
        </w:rPr>
        <w:t xml:space="preserve">. </w:t>
      </w:r>
      <w:r w:rsidR="00031F36">
        <w:rPr>
          <w:shd w:val="clear" w:color="auto" w:fill="00B0F0"/>
        </w:rPr>
        <w:t>5</w:t>
      </w:r>
      <w:r w:rsidR="00716C88">
        <w:rPr>
          <w:shd w:val="clear" w:color="auto" w:fill="00B0F0"/>
        </w:rPr>
        <w:t>20</w:t>
      </w:r>
      <w:r w:rsidR="002A6C74" w:rsidRPr="00031F36">
        <w:rPr>
          <w:shd w:val="clear" w:color="auto" w:fill="00B0F0"/>
        </w:rPr>
        <w:t xml:space="preserve"> </w:t>
      </w:r>
      <w:r w:rsidR="002A6C74" w:rsidRPr="00DE282D">
        <w:rPr>
          <w:shd w:val="clear" w:color="auto" w:fill="00B0F0"/>
        </w:rPr>
        <w:t>C.cr</w:t>
      </w:r>
      <w:r w:rsidR="002A6C74" w:rsidRPr="00DE282D">
        <w:t>.</w:t>
      </w:r>
      <w:r w:rsidR="00716C88" w:rsidRPr="00DE282D">
        <w:t xml:space="preserve"> </w:t>
      </w:r>
      <w:proofErr w:type="gramStart"/>
      <w:r w:rsidR="00716C88" w:rsidRPr="00DE282D">
        <w:t>pour</w:t>
      </w:r>
      <w:proofErr w:type="gramEnd"/>
      <w:r w:rsidR="00716C88" w:rsidRPr="00DE282D">
        <w:t xml:space="preserve"> le prévenu et l’</w:t>
      </w:r>
      <w:r w:rsidR="002A6C74" w:rsidRPr="00DE282D">
        <w:rPr>
          <w:shd w:val="clear" w:color="auto" w:fill="00B0F0"/>
        </w:rPr>
        <w:t xml:space="preserve">art. </w:t>
      </w:r>
      <w:r w:rsidR="00716C88" w:rsidRPr="00DE282D">
        <w:rPr>
          <w:shd w:val="clear" w:color="auto" w:fill="00B0F0"/>
        </w:rPr>
        <w:t xml:space="preserve">521 </w:t>
      </w:r>
      <w:r w:rsidR="002A6C74" w:rsidRPr="00DE282D">
        <w:rPr>
          <w:shd w:val="clear" w:color="auto" w:fill="00B0F0"/>
        </w:rPr>
        <w:t>C.cr</w:t>
      </w:r>
      <w:r w:rsidR="002A6C74" w:rsidRPr="00DE282D">
        <w:t>.</w:t>
      </w:r>
      <w:r w:rsidR="00716C88" w:rsidRPr="00DE282D">
        <w:t xml:space="preserve"> </w:t>
      </w:r>
      <w:proofErr w:type="gramStart"/>
      <w:r w:rsidR="00716C88" w:rsidRPr="00DE282D">
        <w:t>pour</w:t>
      </w:r>
      <w:proofErr w:type="gramEnd"/>
      <w:r w:rsidR="00716C88" w:rsidRPr="00DE282D">
        <w:t xml:space="preserve"> le poursuivant.</w:t>
      </w:r>
    </w:p>
    <w:p w14:paraId="693E73CC" w14:textId="77777777" w:rsidR="00BD0730" w:rsidRDefault="00BD0730" w:rsidP="002A6C74"/>
    <w:p w14:paraId="6DBB1D4C" w14:textId="50B22850" w:rsidR="00A56E02" w:rsidRPr="003D64C0" w:rsidRDefault="003A6E9C" w:rsidP="002A6C74">
      <w:r>
        <w:lastRenderedPageBreak/>
        <w:t xml:space="preserve">Il faut également </w:t>
      </w:r>
      <w:r w:rsidR="0056733C">
        <w:t>que le prévenu ou le poursuivant transmette une requête au juge concerné et un avis à l’autre partie</w:t>
      </w:r>
      <w:r w:rsidR="002A6C74" w:rsidRPr="00DE282D">
        <w:t xml:space="preserve"> </w:t>
      </w:r>
      <w:r w:rsidR="002A6C74" w:rsidRPr="0056733C">
        <w:t>(</w:t>
      </w:r>
      <w:r w:rsidR="002A6C74" w:rsidRPr="0056733C">
        <w:rPr>
          <w:shd w:val="clear" w:color="auto" w:fill="00B0F0"/>
        </w:rPr>
        <w:t>art</w:t>
      </w:r>
      <w:r w:rsidR="00202460">
        <w:rPr>
          <w:shd w:val="clear" w:color="auto" w:fill="00B0F0"/>
        </w:rPr>
        <w:t>s</w:t>
      </w:r>
      <w:r w:rsidR="002A6C74" w:rsidRPr="0056733C">
        <w:rPr>
          <w:shd w:val="clear" w:color="auto" w:fill="00B0F0"/>
        </w:rPr>
        <w:t xml:space="preserve">. </w:t>
      </w:r>
      <w:r w:rsidR="00202460">
        <w:rPr>
          <w:shd w:val="clear" w:color="auto" w:fill="00B0F0"/>
        </w:rPr>
        <w:t>520</w:t>
      </w:r>
      <w:r w:rsidR="001022E5">
        <w:rPr>
          <w:shd w:val="clear" w:color="auto" w:fill="00B0F0"/>
        </w:rPr>
        <w:t> </w:t>
      </w:r>
      <w:r w:rsidR="00202460">
        <w:rPr>
          <w:shd w:val="clear" w:color="auto" w:fill="00B0F0"/>
        </w:rPr>
        <w:t>(1)</w:t>
      </w:r>
      <w:r w:rsidR="001022E5">
        <w:rPr>
          <w:shd w:val="clear" w:color="auto" w:fill="00B0F0"/>
        </w:rPr>
        <w:t> </w:t>
      </w:r>
      <w:r w:rsidR="00202460">
        <w:rPr>
          <w:shd w:val="clear" w:color="auto" w:fill="00B0F0"/>
        </w:rPr>
        <w:t>(2) et 521</w:t>
      </w:r>
      <w:r w:rsidR="001022E5">
        <w:rPr>
          <w:shd w:val="clear" w:color="auto" w:fill="00B0F0"/>
        </w:rPr>
        <w:t> </w:t>
      </w:r>
      <w:r w:rsidR="00202460">
        <w:rPr>
          <w:shd w:val="clear" w:color="auto" w:fill="00B0F0"/>
        </w:rPr>
        <w:t>(1)</w:t>
      </w:r>
      <w:r w:rsidR="001022E5">
        <w:rPr>
          <w:shd w:val="clear" w:color="auto" w:fill="00B0F0"/>
        </w:rPr>
        <w:t> </w:t>
      </w:r>
      <w:r w:rsidR="00202460">
        <w:rPr>
          <w:shd w:val="clear" w:color="auto" w:fill="00B0F0"/>
        </w:rPr>
        <w:t>(2)</w:t>
      </w:r>
      <w:r w:rsidR="002A6C74" w:rsidRPr="0056733C">
        <w:rPr>
          <w:shd w:val="clear" w:color="auto" w:fill="00B0F0"/>
        </w:rPr>
        <w:t xml:space="preserve"> </w:t>
      </w:r>
      <w:r w:rsidR="002A6C74" w:rsidRPr="003D64C0">
        <w:rPr>
          <w:shd w:val="clear" w:color="auto" w:fill="00B0F0"/>
        </w:rPr>
        <w:t>C.cr</w:t>
      </w:r>
      <w:r w:rsidR="002A6C74" w:rsidRPr="003D64C0">
        <w:t>.)</w:t>
      </w:r>
      <w:r w:rsidR="00A56E02" w:rsidRPr="003D64C0">
        <w:t>.</w:t>
      </w:r>
    </w:p>
    <w:p w14:paraId="7ED672DC" w14:textId="77777777" w:rsidR="00A56E02" w:rsidRPr="003D64C0" w:rsidRDefault="00A56E02" w:rsidP="002A6C74"/>
    <w:p w14:paraId="3726E8BC" w14:textId="77777777" w:rsidR="004F0182" w:rsidRDefault="00A56E02" w:rsidP="002A6C74">
      <w:r w:rsidRPr="003D64C0">
        <w:t xml:space="preserve">En ce qui concerne </w:t>
      </w:r>
      <w:r w:rsidR="002953FC" w:rsidRPr="003D64C0">
        <w:t>l</w:t>
      </w:r>
      <w:r w:rsidR="003D64C0" w:rsidRPr="003D64C0">
        <w:t>a r</w:t>
      </w:r>
      <w:r w:rsidR="00A140C6">
        <w:t>é</w:t>
      </w:r>
      <w:r w:rsidR="003D64C0" w:rsidRPr="003D64C0">
        <w:t>vision</w:t>
      </w:r>
      <w:r w:rsidR="00FA44AC">
        <w:t xml:space="preserve"> pour des actes criminels prévus à l’</w:t>
      </w:r>
      <w:r w:rsidR="00FA44AC" w:rsidRPr="00FA44AC">
        <w:rPr>
          <w:shd w:val="clear" w:color="auto" w:fill="00B0F0"/>
        </w:rPr>
        <w:t xml:space="preserve">art. </w:t>
      </w:r>
      <w:r w:rsidR="003637A0">
        <w:rPr>
          <w:shd w:val="clear" w:color="auto" w:fill="00B0F0"/>
        </w:rPr>
        <w:t>469</w:t>
      </w:r>
      <w:r w:rsidR="00FA44AC" w:rsidRPr="00FA44AC">
        <w:rPr>
          <w:shd w:val="clear" w:color="auto" w:fill="00B0F0"/>
        </w:rPr>
        <w:t xml:space="preserve"> C.cr</w:t>
      </w:r>
      <w:r w:rsidR="00FA44AC" w:rsidRPr="00FA44AC">
        <w:t>.</w:t>
      </w:r>
      <w:r w:rsidR="003D64C0" w:rsidRPr="003D64C0">
        <w:t>, l’</w:t>
      </w:r>
      <w:r w:rsidR="002A6C74" w:rsidRPr="003D64C0">
        <w:rPr>
          <w:shd w:val="clear" w:color="auto" w:fill="00B0F0"/>
        </w:rPr>
        <w:t>art.</w:t>
      </w:r>
      <w:r w:rsidR="003D64C0">
        <w:rPr>
          <w:shd w:val="clear" w:color="auto" w:fill="00B0F0"/>
        </w:rPr>
        <w:t xml:space="preserve"> 522 </w:t>
      </w:r>
      <w:r w:rsidR="002A6C74" w:rsidRPr="003D64C0">
        <w:rPr>
          <w:shd w:val="clear" w:color="auto" w:fill="00B0F0"/>
        </w:rPr>
        <w:t>C.cr</w:t>
      </w:r>
      <w:r w:rsidR="002A6C74" w:rsidRPr="003D64C0">
        <w:t>.</w:t>
      </w:r>
      <w:r w:rsidR="003D64C0">
        <w:t xml:space="preserve"> </w:t>
      </w:r>
      <w:proofErr w:type="gramStart"/>
      <w:r w:rsidR="00C43456">
        <w:t>mentionne</w:t>
      </w:r>
      <w:proofErr w:type="gramEnd"/>
      <w:r w:rsidR="00C43456">
        <w:t xml:space="preserve"> que </w:t>
      </w:r>
      <w:r w:rsidR="009C0B4D">
        <w:t>c’est un juge de la Cour supérieure</w:t>
      </w:r>
      <w:r w:rsidR="002140E4">
        <w:t xml:space="preserve">. </w:t>
      </w:r>
    </w:p>
    <w:p w14:paraId="2E1D5D03" w14:textId="77777777" w:rsidR="004F0182" w:rsidRDefault="004F0182" w:rsidP="002A6C74"/>
    <w:p w14:paraId="3829F56D" w14:textId="33093B55" w:rsidR="00604603" w:rsidRDefault="00635B4F" w:rsidP="002A6C74">
      <w:r>
        <w:t>Dans les jours suivant</w:t>
      </w:r>
      <w:r w:rsidR="00434F80">
        <w:t>s</w:t>
      </w:r>
      <w:r>
        <w:t xml:space="preserve"> de la décision de première instance</w:t>
      </w:r>
      <w:r w:rsidR="00434F80">
        <w:t xml:space="preserve">, nous pouvons </w:t>
      </w:r>
      <w:proofErr w:type="gramStart"/>
      <w:r w:rsidR="00434F80">
        <w:t>déposé</w:t>
      </w:r>
      <w:proofErr w:type="gramEnd"/>
      <w:r w:rsidR="00434F80">
        <w:t xml:space="preserve"> une demande en rév</w:t>
      </w:r>
      <w:r w:rsidR="00513CA1">
        <w:t>i</w:t>
      </w:r>
      <w:r w:rsidR="00434F80">
        <w:t xml:space="preserve">sion. </w:t>
      </w:r>
    </w:p>
    <w:p w14:paraId="26A3D473" w14:textId="77777777" w:rsidR="00604603" w:rsidRDefault="00604603" w:rsidP="002A6C74"/>
    <w:p w14:paraId="71F3E616" w14:textId="1F84C79A" w:rsidR="000C20DE" w:rsidRDefault="00607AA4" w:rsidP="002A6C74">
      <w:r>
        <w:t xml:space="preserve">Pour la révision informelle, </w:t>
      </w:r>
      <w:r w:rsidR="003A38B4">
        <w:t>il y a deux moments</w:t>
      </w:r>
      <w:r w:rsidR="000C20DE">
        <w:t xml:space="preserve"> : </w:t>
      </w:r>
      <w:r w:rsidR="00047844">
        <w:t>si ce n’est pas une infraction de l’</w:t>
      </w:r>
      <w:r w:rsidR="00047844" w:rsidRPr="00047844">
        <w:rPr>
          <w:shd w:val="clear" w:color="auto" w:fill="00B0F0"/>
        </w:rPr>
        <w:t xml:space="preserve">art. </w:t>
      </w:r>
      <w:r w:rsidR="00047844">
        <w:rPr>
          <w:shd w:val="clear" w:color="auto" w:fill="00B0F0"/>
        </w:rPr>
        <w:t>469</w:t>
      </w:r>
      <w:r w:rsidR="000F3189">
        <w:rPr>
          <w:shd w:val="clear" w:color="auto" w:fill="00B0F0"/>
        </w:rPr>
        <w:t xml:space="preserve"> </w:t>
      </w:r>
      <w:r w:rsidR="00047844" w:rsidRPr="00047844">
        <w:rPr>
          <w:shd w:val="clear" w:color="auto" w:fill="00B0F0"/>
        </w:rPr>
        <w:t>C.cr</w:t>
      </w:r>
      <w:r w:rsidR="00047844" w:rsidRPr="00047844">
        <w:t>.</w:t>
      </w:r>
    </w:p>
    <w:p w14:paraId="7B87A516" w14:textId="77777777" w:rsidR="000C20DE" w:rsidRDefault="000C20DE" w:rsidP="002A6C74"/>
    <w:p w14:paraId="78857ACA" w14:textId="780283D1" w:rsidR="00513CA1" w:rsidRDefault="00F37E27" w:rsidP="0074576F">
      <w:pPr>
        <w:pStyle w:val="ListParagraph"/>
        <w:numPr>
          <w:ilvl w:val="0"/>
          <w:numId w:val="6"/>
        </w:numPr>
      </w:pPr>
      <w:r>
        <w:t xml:space="preserve">Lorsqu’il y a possibilité </w:t>
      </w:r>
      <w:r w:rsidR="00FA56E6">
        <w:t>de faire une enquête préliminaire</w:t>
      </w:r>
      <w:r w:rsidR="0074576F">
        <w:t>, à la fin de l’enquête, on peut demander au juge de paix de réviser la décision rendue par l’un de ces collèges</w:t>
      </w:r>
      <w:r w:rsidR="00303A70">
        <w:t xml:space="preserve"> </w:t>
      </w:r>
      <w:r w:rsidR="002A6C74" w:rsidRPr="00A140C6">
        <w:t>(</w:t>
      </w:r>
      <w:r w:rsidR="002A6C74" w:rsidRPr="0074576F">
        <w:rPr>
          <w:shd w:val="clear" w:color="auto" w:fill="00B0F0"/>
        </w:rPr>
        <w:t xml:space="preserve">art. </w:t>
      </w:r>
      <w:r w:rsidR="00303A70">
        <w:rPr>
          <w:shd w:val="clear" w:color="auto" w:fill="00B0F0"/>
        </w:rPr>
        <w:t>523</w:t>
      </w:r>
      <w:r w:rsidR="009E3864">
        <w:rPr>
          <w:shd w:val="clear" w:color="auto" w:fill="00B0F0"/>
        </w:rPr>
        <w:t xml:space="preserve">.1 </w:t>
      </w:r>
      <w:r w:rsidR="00B9593F">
        <w:rPr>
          <w:shd w:val="clear" w:color="auto" w:fill="00B0F0"/>
        </w:rPr>
        <w:t>b</w:t>
      </w:r>
      <w:r w:rsidR="00FA779E">
        <w:rPr>
          <w:shd w:val="clear" w:color="auto" w:fill="00B0F0"/>
        </w:rPr>
        <w:t xml:space="preserve">) </w:t>
      </w:r>
      <w:r w:rsidR="002A6C74" w:rsidRPr="00303A70">
        <w:rPr>
          <w:shd w:val="clear" w:color="auto" w:fill="00B0F0"/>
        </w:rPr>
        <w:t>C.cr</w:t>
      </w:r>
      <w:r w:rsidR="002A6C74" w:rsidRPr="00303A70">
        <w:t>.)</w:t>
      </w:r>
    </w:p>
    <w:p w14:paraId="5B54B936" w14:textId="3E96F21E" w:rsidR="002A6C74" w:rsidRPr="002A6C74" w:rsidRDefault="00513CA1" w:rsidP="002A6C74">
      <w:pPr>
        <w:pStyle w:val="ListParagraph"/>
        <w:numPr>
          <w:ilvl w:val="0"/>
          <w:numId w:val="6"/>
        </w:numPr>
      </w:pPr>
      <w:r>
        <w:t xml:space="preserve">De consentement entre les parties, on va donner juridiction </w:t>
      </w:r>
      <w:r w:rsidR="00307D2C">
        <w:t>au juge ou au ju</w:t>
      </w:r>
      <w:r w:rsidR="00602A43">
        <w:t>g</w:t>
      </w:r>
      <w:r w:rsidR="00307D2C">
        <w:t xml:space="preserve">e de paix </w:t>
      </w:r>
      <w:r>
        <w:t xml:space="preserve">pour changer les conditions initialement </w:t>
      </w:r>
      <w:r w:rsidR="0086143F">
        <w:t>prévues</w:t>
      </w:r>
      <w:r w:rsidR="00263815">
        <w:t xml:space="preserve"> </w:t>
      </w:r>
      <w:r w:rsidR="002A6C74" w:rsidRPr="00513CA1">
        <w:t>(</w:t>
      </w:r>
      <w:r w:rsidR="002A6C74" w:rsidRPr="00513CA1">
        <w:rPr>
          <w:shd w:val="clear" w:color="auto" w:fill="00B0F0"/>
        </w:rPr>
        <w:t xml:space="preserve">art. </w:t>
      </w:r>
      <w:r w:rsidR="00047844">
        <w:rPr>
          <w:shd w:val="clear" w:color="auto" w:fill="00B0F0"/>
        </w:rPr>
        <w:t>523</w:t>
      </w:r>
      <w:r w:rsidR="00B9593F">
        <w:rPr>
          <w:shd w:val="clear" w:color="auto" w:fill="00B0F0"/>
        </w:rPr>
        <w:t xml:space="preserve"> (2) c</w:t>
      </w:r>
      <w:r w:rsidR="00047844">
        <w:rPr>
          <w:shd w:val="clear" w:color="auto" w:fill="00B0F0"/>
        </w:rPr>
        <w:t>)</w:t>
      </w:r>
      <w:r w:rsidR="00CA2475">
        <w:rPr>
          <w:shd w:val="clear" w:color="auto" w:fill="00B0F0"/>
        </w:rPr>
        <w:t xml:space="preserve"> </w:t>
      </w:r>
      <w:r w:rsidR="002A6C74" w:rsidRPr="00047844">
        <w:rPr>
          <w:shd w:val="clear" w:color="auto" w:fill="00B0F0"/>
        </w:rPr>
        <w:t>C.cr</w:t>
      </w:r>
      <w:r w:rsidR="002A6C74" w:rsidRPr="00047844">
        <w:t>.)</w:t>
      </w:r>
    </w:p>
    <w:p w14:paraId="14D74A0A" w14:textId="77777777" w:rsidR="00E13137" w:rsidRPr="00B71102" w:rsidRDefault="00E13137" w:rsidP="00B85E59"/>
    <w:p w14:paraId="2E24483E" w14:textId="2022FD3C" w:rsidR="00B85E59" w:rsidRDefault="00B85E59" w:rsidP="00B85E59">
      <w:pPr>
        <w:pStyle w:val="Heading1"/>
      </w:pPr>
      <w:r>
        <w:t>Section 2 : L’enquête préliminaire</w:t>
      </w:r>
    </w:p>
    <w:p w14:paraId="40F44AF0" w14:textId="5668B0C8" w:rsidR="00B85E59" w:rsidRDefault="00B85E59" w:rsidP="00B85E59"/>
    <w:p w14:paraId="6F5463B0" w14:textId="1BCE2B42" w:rsidR="00F84383" w:rsidRDefault="004E4724" w:rsidP="004E4724">
      <w:r w:rsidRPr="004E4724">
        <w:t>L’enquête préliminaire exprime certaines valeurs inhérentes à la philosophie procédurale antérieure au procès. L’enquête préliminaire est en fait l’examen du caractère suffisant de la preuve de la poursuite qui permet ainsi de renseigner l’accusé et de lui fournir une occasion préliminaire de se libérer des accusations portées contre lui.</w:t>
      </w:r>
    </w:p>
    <w:p w14:paraId="159212A6" w14:textId="77777777" w:rsidR="003F1D03" w:rsidRDefault="003F1D03" w:rsidP="004E4724"/>
    <w:p w14:paraId="12AE472B" w14:textId="77777777" w:rsidR="006C4969" w:rsidRDefault="00992D0A" w:rsidP="004E4724">
      <w:r>
        <w:t>S’il s’agit d’un acte criminel prévu à l’</w:t>
      </w:r>
      <w:r w:rsidR="004E4724" w:rsidRPr="004E4724">
        <w:rPr>
          <w:shd w:val="clear" w:color="auto" w:fill="00B0F0"/>
        </w:rPr>
        <w:t xml:space="preserve">art. </w:t>
      </w:r>
      <w:r>
        <w:rPr>
          <w:shd w:val="clear" w:color="auto" w:fill="00B0F0"/>
        </w:rPr>
        <w:t>469</w:t>
      </w:r>
      <w:r w:rsidR="004E4724" w:rsidRPr="004E4724">
        <w:rPr>
          <w:shd w:val="clear" w:color="auto" w:fill="00B0F0"/>
        </w:rPr>
        <w:t xml:space="preserve"> C.cr</w:t>
      </w:r>
      <w:r w:rsidR="004E4724" w:rsidRPr="004E4724">
        <w:t>.</w:t>
      </w:r>
      <w:r>
        <w:t xml:space="preserve"> </w:t>
      </w:r>
      <w:proofErr w:type="gramStart"/>
      <w:r>
        <w:t>ou</w:t>
      </w:r>
      <w:proofErr w:type="gramEnd"/>
      <w:r>
        <w:t xml:space="preserve"> un autre acte criminel qui n’est pas prévu à l’</w:t>
      </w:r>
      <w:r w:rsidR="004E4724" w:rsidRPr="00992D0A">
        <w:rPr>
          <w:shd w:val="clear" w:color="auto" w:fill="00B0F0"/>
        </w:rPr>
        <w:t xml:space="preserve">art. </w:t>
      </w:r>
      <w:r>
        <w:rPr>
          <w:shd w:val="clear" w:color="auto" w:fill="00B0F0"/>
        </w:rPr>
        <w:t>469</w:t>
      </w:r>
      <w:r w:rsidR="00595B61">
        <w:rPr>
          <w:shd w:val="clear" w:color="auto" w:fill="00B0F0"/>
        </w:rPr>
        <w:t xml:space="preserve"> </w:t>
      </w:r>
      <w:r w:rsidR="004E4724" w:rsidRPr="00595B61">
        <w:rPr>
          <w:shd w:val="clear" w:color="auto" w:fill="00B0F0"/>
        </w:rPr>
        <w:t>C.cr</w:t>
      </w:r>
      <w:r w:rsidR="004E4724" w:rsidRPr="00595B61">
        <w:t>.</w:t>
      </w:r>
      <w:r w:rsidR="00595B61">
        <w:t xml:space="preserve"> </w:t>
      </w:r>
      <w:proofErr w:type="gramStart"/>
      <w:r w:rsidR="00595B61">
        <w:t>ou</w:t>
      </w:r>
      <w:proofErr w:type="gramEnd"/>
      <w:r w:rsidR="00595B61">
        <w:t xml:space="preserve"> à l’</w:t>
      </w:r>
      <w:r w:rsidR="004E4724" w:rsidRPr="00595B61">
        <w:rPr>
          <w:shd w:val="clear" w:color="auto" w:fill="00B0F0"/>
        </w:rPr>
        <w:t xml:space="preserve">art. </w:t>
      </w:r>
      <w:r w:rsidR="00595B61">
        <w:rPr>
          <w:shd w:val="clear" w:color="auto" w:fill="00B0F0"/>
        </w:rPr>
        <w:t>553</w:t>
      </w:r>
      <w:r w:rsidR="000E76D1">
        <w:rPr>
          <w:shd w:val="clear" w:color="auto" w:fill="00B0F0"/>
        </w:rPr>
        <w:t xml:space="preserve"> </w:t>
      </w:r>
      <w:r w:rsidR="004E4724" w:rsidRPr="000E76D1">
        <w:rPr>
          <w:shd w:val="clear" w:color="auto" w:fill="00B0F0"/>
        </w:rPr>
        <w:t>C.cr</w:t>
      </w:r>
      <w:r w:rsidR="004E4724" w:rsidRPr="000E76D1">
        <w:t>.</w:t>
      </w:r>
      <w:r w:rsidR="00D94834">
        <w:t>, l’</w:t>
      </w:r>
      <w:r w:rsidR="004E4724" w:rsidRPr="00D94834">
        <w:rPr>
          <w:shd w:val="clear" w:color="auto" w:fill="00B0F0"/>
        </w:rPr>
        <w:t xml:space="preserve">art. </w:t>
      </w:r>
      <w:r w:rsidR="00D94834">
        <w:rPr>
          <w:shd w:val="clear" w:color="auto" w:fill="00B0F0"/>
        </w:rPr>
        <w:t>536 (2)</w:t>
      </w:r>
      <w:r w:rsidR="004E4724" w:rsidRPr="00D94834">
        <w:rPr>
          <w:shd w:val="clear" w:color="auto" w:fill="00B0F0"/>
        </w:rPr>
        <w:t xml:space="preserve"> </w:t>
      </w:r>
      <w:r w:rsidR="004E4724" w:rsidRPr="005358EC">
        <w:rPr>
          <w:shd w:val="clear" w:color="auto" w:fill="00B0F0"/>
        </w:rPr>
        <w:t>C.cr</w:t>
      </w:r>
      <w:r w:rsidR="004E4724" w:rsidRPr="005358EC">
        <w:t>.</w:t>
      </w:r>
      <w:r w:rsidR="00560F76">
        <w:t xml:space="preserve"> </w:t>
      </w:r>
      <w:proofErr w:type="gramStart"/>
      <w:r w:rsidR="00560F76">
        <w:t>prévoit</w:t>
      </w:r>
      <w:proofErr w:type="gramEnd"/>
      <w:r w:rsidR="00560F76">
        <w:t xml:space="preserve"> que le prévenu à 3 possibilités. </w:t>
      </w:r>
      <w:r w:rsidR="00F57BFE">
        <w:t xml:space="preserve">Dans deux de ces cas de figure, soit celui d’être </w:t>
      </w:r>
      <w:r w:rsidR="00987F23">
        <w:t>jugé</w:t>
      </w:r>
      <w:r w:rsidR="00F57BFE">
        <w:t xml:space="preserve"> par un juge seul ou avec un juge avec jury</w:t>
      </w:r>
      <w:r w:rsidR="00987F23">
        <w:t>, il sera possible d’avoir une enquête préliminaire lorsque</w:t>
      </w:r>
      <w:r w:rsidR="006C4969">
        <w:t> :</w:t>
      </w:r>
    </w:p>
    <w:p w14:paraId="17001E0A" w14:textId="77777777" w:rsidR="006C4969" w:rsidRDefault="006C4969" w:rsidP="004E4724"/>
    <w:p w14:paraId="6AE06BD3" w14:textId="36894AE4" w:rsidR="00412297" w:rsidRPr="00412297" w:rsidRDefault="006C4969" w:rsidP="006C4969">
      <w:pPr>
        <w:pStyle w:val="ListParagraph"/>
        <w:numPr>
          <w:ilvl w:val="0"/>
          <w:numId w:val="7"/>
        </w:numPr>
      </w:pPr>
      <w:r>
        <w:t>L</w:t>
      </w:r>
      <w:r w:rsidR="00987F23">
        <w:t>a peine attribuable est de 14 ans et plus</w:t>
      </w:r>
      <w:r>
        <w:t xml:space="preserve"> </w:t>
      </w:r>
      <w:r w:rsidR="004E4724" w:rsidRPr="00F57BFE">
        <w:t>(</w:t>
      </w:r>
      <w:r w:rsidR="004E4724" w:rsidRPr="006C4969">
        <w:rPr>
          <w:shd w:val="clear" w:color="auto" w:fill="00B0F0"/>
        </w:rPr>
        <w:t>art</w:t>
      </w:r>
      <w:r w:rsidRPr="006C4969">
        <w:rPr>
          <w:shd w:val="clear" w:color="auto" w:fill="00B0F0"/>
        </w:rPr>
        <w:t>s</w:t>
      </w:r>
      <w:r w:rsidR="004E4724" w:rsidRPr="006C4969">
        <w:rPr>
          <w:shd w:val="clear" w:color="auto" w:fill="00B0F0"/>
        </w:rPr>
        <w:t xml:space="preserve">. </w:t>
      </w:r>
      <w:r>
        <w:rPr>
          <w:shd w:val="clear" w:color="auto" w:fill="00B0F0"/>
        </w:rPr>
        <w:t>535 et 536 (2)</w:t>
      </w:r>
      <w:r w:rsidR="004E4724" w:rsidRPr="006C4969">
        <w:rPr>
          <w:shd w:val="clear" w:color="auto" w:fill="00B0F0"/>
        </w:rPr>
        <w:t xml:space="preserve"> </w:t>
      </w:r>
      <w:r w:rsidR="004E4724" w:rsidRPr="006C4969">
        <w:rPr>
          <w:shd w:val="clear" w:color="auto" w:fill="00B0F0"/>
          <w:lang w:val="en-US"/>
        </w:rPr>
        <w:t>C.cr</w:t>
      </w:r>
      <w:r w:rsidR="004E4724" w:rsidRPr="006C4969">
        <w:rPr>
          <w:lang w:val="en-US"/>
        </w:rPr>
        <w:t xml:space="preserve">.) </w:t>
      </w:r>
    </w:p>
    <w:p w14:paraId="36E9CC49" w14:textId="77777777" w:rsidR="00387A90" w:rsidRDefault="0010268D" w:rsidP="006C4969">
      <w:pPr>
        <w:pStyle w:val="ListParagraph"/>
        <w:numPr>
          <w:ilvl w:val="0"/>
          <w:numId w:val="7"/>
        </w:numPr>
      </w:pPr>
      <w:r w:rsidRPr="00C47527">
        <w:t xml:space="preserve">L’une ou l’autre des parties doit demander </w:t>
      </w:r>
      <w:r w:rsidR="00894BB6">
        <w:t>l’enquête préliminaire</w:t>
      </w:r>
      <w:r w:rsidR="007A3C14">
        <w:t xml:space="preserve"> </w:t>
      </w:r>
      <w:r w:rsidR="007A3C14" w:rsidRPr="007A3C14">
        <w:t>(</w:t>
      </w:r>
      <w:r w:rsidR="007A3C14" w:rsidRPr="007A3C14">
        <w:rPr>
          <w:shd w:val="clear" w:color="auto" w:fill="00B0F0"/>
        </w:rPr>
        <w:t xml:space="preserve">art. </w:t>
      </w:r>
      <w:r w:rsidR="007A3C14">
        <w:rPr>
          <w:shd w:val="clear" w:color="auto" w:fill="00B0F0"/>
        </w:rPr>
        <w:t xml:space="preserve">536 (4) </w:t>
      </w:r>
      <w:r w:rsidR="007A3C14" w:rsidRPr="007A3C14">
        <w:rPr>
          <w:shd w:val="clear" w:color="auto" w:fill="00B0F0"/>
        </w:rPr>
        <w:t>C.cr</w:t>
      </w:r>
      <w:r w:rsidR="007A3C14" w:rsidRPr="007A3C14">
        <w:t>.)</w:t>
      </w:r>
    </w:p>
    <w:p w14:paraId="54D67D48" w14:textId="2580F9CE" w:rsidR="00E93051" w:rsidRDefault="00387A90" w:rsidP="006C4969">
      <w:pPr>
        <w:pStyle w:val="ListParagraph"/>
        <w:numPr>
          <w:ilvl w:val="0"/>
          <w:numId w:val="7"/>
        </w:numPr>
      </w:pPr>
      <w:r>
        <w:t>D</w:t>
      </w:r>
      <w:r w:rsidR="00C47527" w:rsidRPr="00C47527">
        <w:t>es d</w:t>
      </w:r>
      <w:r w:rsidR="00C47527">
        <w:t>é</w:t>
      </w:r>
      <w:r w:rsidR="00C47527" w:rsidRPr="00C47527">
        <w:t xml:space="preserve">clarations </w:t>
      </w:r>
      <w:r w:rsidR="00C47527">
        <w:t>doivent être faites par les parties</w:t>
      </w:r>
      <w:r w:rsidR="00934593">
        <w:t xml:space="preserve"> : </w:t>
      </w:r>
      <w:r w:rsidR="00C47527">
        <w:t>quels sont les témoins</w:t>
      </w:r>
      <w:r w:rsidR="00283102">
        <w:t xml:space="preserve"> que l’on prévoit assigner</w:t>
      </w:r>
      <w:r w:rsidR="00934593">
        <w:t xml:space="preserve"> et </w:t>
      </w:r>
      <w:r w:rsidR="00C47527">
        <w:t xml:space="preserve">quelles sont les </w:t>
      </w:r>
      <w:r w:rsidR="00D574F3">
        <w:t xml:space="preserve">points faisant l’objet de témoignages </w:t>
      </w:r>
      <w:r w:rsidR="00277234">
        <w:t>suivant l’</w:t>
      </w:r>
      <w:r w:rsidR="004E4724" w:rsidRPr="00C47527">
        <w:rPr>
          <w:shd w:val="clear" w:color="auto" w:fill="00B0F0"/>
        </w:rPr>
        <w:t xml:space="preserve">art. </w:t>
      </w:r>
      <w:r w:rsidR="000457FD">
        <w:rPr>
          <w:shd w:val="clear" w:color="auto" w:fill="00B0F0"/>
        </w:rPr>
        <w:t>536</w:t>
      </w:r>
      <w:r w:rsidR="00140E2C">
        <w:rPr>
          <w:shd w:val="clear" w:color="auto" w:fill="00B0F0"/>
        </w:rPr>
        <w:t>.3 et 536.4</w:t>
      </w:r>
      <w:r w:rsidR="004E4724" w:rsidRPr="00C47527">
        <w:rPr>
          <w:shd w:val="clear" w:color="auto" w:fill="00B0F0"/>
        </w:rPr>
        <w:t xml:space="preserve"> </w:t>
      </w:r>
      <w:r w:rsidR="004E4724" w:rsidRPr="007242FB">
        <w:rPr>
          <w:shd w:val="clear" w:color="auto" w:fill="00B0F0"/>
        </w:rPr>
        <w:t>C.cr</w:t>
      </w:r>
      <w:r w:rsidR="004E4724" w:rsidRPr="007242FB">
        <w:t xml:space="preserve">. </w:t>
      </w:r>
    </w:p>
    <w:p w14:paraId="4186FC7A" w14:textId="77777777" w:rsidR="000368C1" w:rsidRDefault="000368C1" w:rsidP="000368C1"/>
    <w:p w14:paraId="57A3FDBB" w14:textId="1063A961" w:rsidR="00771553" w:rsidRDefault="000368C1" w:rsidP="000368C1">
      <w:r>
        <w:t>L’i</w:t>
      </w:r>
      <w:r w:rsidR="005037CC" w:rsidRPr="005339F5">
        <w:t xml:space="preserve">nscription </w:t>
      </w:r>
      <w:r w:rsidR="00CE2CCB" w:rsidRPr="005339F5">
        <w:t xml:space="preserve">sur la dénonciation </w:t>
      </w:r>
      <w:r w:rsidR="005339F5" w:rsidRPr="005339F5">
        <w:t xml:space="preserve">lorsque c’est un acte de 14 ans et plus de sa </w:t>
      </w:r>
      <w:r w:rsidR="005339F5">
        <w:t>demande de s</w:t>
      </w:r>
      <w:r w:rsidR="00C64F62">
        <w:t>u</w:t>
      </w:r>
      <w:r w:rsidR="005339F5">
        <w:t xml:space="preserve">bir une enquête préliminaire </w:t>
      </w:r>
      <w:r w:rsidR="008515A8" w:rsidRPr="005339F5">
        <w:t>(</w:t>
      </w:r>
      <w:r w:rsidR="008515A8" w:rsidRPr="000368C1">
        <w:rPr>
          <w:shd w:val="clear" w:color="auto" w:fill="00B0F0"/>
        </w:rPr>
        <w:t>art.  536</w:t>
      </w:r>
      <w:r w:rsidR="00A4118B" w:rsidRPr="000368C1">
        <w:rPr>
          <w:shd w:val="clear" w:color="auto" w:fill="00B0F0"/>
        </w:rPr>
        <w:t xml:space="preserve"> (4.11)</w:t>
      </w:r>
      <w:r w:rsidR="001D0EAC" w:rsidRPr="000368C1">
        <w:rPr>
          <w:shd w:val="clear" w:color="auto" w:fill="00B0F0"/>
        </w:rPr>
        <w:t xml:space="preserve"> </w:t>
      </w:r>
      <w:r w:rsidR="008515A8" w:rsidRPr="000368C1">
        <w:rPr>
          <w:shd w:val="clear" w:color="auto" w:fill="00B0F0"/>
        </w:rPr>
        <w:t>C.cr</w:t>
      </w:r>
      <w:r w:rsidR="008515A8" w:rsidRPr="005339F5">
        <w:t>.)</w:t>
      </w:r>
      <w:r w:rsidR="00AD24F2">
        <w:t xml:space="preserve"> et </w:t>
      </w:r>
      <w:r w:rsidR="00C64F62">
        <w:t xml:space="preserve">pour </w:t>
      </w:r>
      <w:r w:rsidR="00A5210A">
        <w:t>les autres infractions non-visées à l’</w:t>
      </w:r>
      <w:r w:rsidR="00175D3D" w:rsidRPr="000368C1">
        <w:rPr>
          <w:shd w:val="clear" w:color="auto" w:fill="00B0F0"/>
        </w:rPr>
        <w:t xml:space="preserve">art. </w:t>
      </w:r>
      <w:r w:rsidR="00A5210A" w:rsidRPr="000368C1">
        <w:rPr>
          <w:shd w:val="clear" w:color="auto" w:fill="00B0F0"/>
        </w:rPr>
        <w:t>469</w:t>
      </w:r>
      <w:r w:rsidR="00175D3D" w:rsidRPr="000368C1">
        <w:rPr>
          <w:shd w:val="clear" w:color="auto" w:fill="00B0F0"/>
        </w:rPr>
        <w:t xml:space="preserve"> </w:t>
      </w:r>
      <w:r w:rsidR="00A5210A" w:rsidRPr="000368C1">
        <w:rPr>
          <w:shd w:val="clear" w:color="auto" w:fill="00B0F0"/>
        </w:rPr>
        <w:t xml:space="preserve">et 553 </w:t>
      </w:r>
      <w:r w:rsidR="00175D3D" w:rsidRPr="000368C1">
        <w:rPr>
          <w:shd w:val="clear" w:color="auto" w:fill="00B0F0"/>
        </w:rPr>
        <w:t>C.cr</w:t>
      </w:r>
      <w:r w:rsidR="00175D3D" w:rsidRPr="00175D3D">
        <w:t>.</w:t>
      </w:r>
      <w:r w:rsidR="00EB0B0A">
        <w:t xml:space="preserve"> </w:t>
      </w:r>
      <w:proofErr w:type="gramStart"/>
      <w:r w:rsidR="00EB0B0A">
        <w:t>dont</w:t>
      </w:r>
      <w:proofErr w:type="gramEnd"/>
      <w:r w:rsidR="00EB0B0A">
        <w:t xml:space="preserve"> une peine de 14 ans et plus est prévue</w:t>
      </w:r>
      <w:r w:rsidR="00F339A7">
        <w:t>, inscrire sur la dénonciation</w:t>
      </w:r>
      <w:r w:rsidR="00275B57">
        <w:t xml:space="preserve"> la nature du choix du prévenu, qu’il soit réel ou réputé</w:t>
      </w:r>
      <w:r w:rsidR="00860371">
        <w:t xml:space="preserve"> ou du fait qu’il</w:t>
      </w:r>
      <w:r w:rsidR="003E479E">
        <w:t xml:space="preserve"> </w:t>
      </w:r>
      <w:r w:rsidR="00860371">
        <w:t>n’a pas fait de choix</w:t>
      </w:r>
      <w:r w:rsidR="00F339A7">
        <w:t xml:space="preserve"> </w:t>
      </w:r>
      <w:r w:rsidR="0071474E" w:rsidRPr="0071474E">
        <w:t>(</w:t>
      </w:r>
      <w:r w:rsidR="0071474E" w:rsidRPr="000368C1">
        <w:rPr>
          <w:shd w:val="clear" w:color="auto" w:fill="00B0F0"/>
        </w:rPr>
        <w:t xml:space="preserve">art. </w:t>
      </w:r>
      <w:r w:rsidR="000C5230" w:rsidRPr="000368C1">
        <w:rPr>
          <w:shd w:val="clear" w:color="auto" w:fill="00B0F0"/>
        </w:rPr>
        <w:t>536</w:t>
      </w:r>
      <w:r w:rsidR="00467546" w:rsidRPr="000368C1">
        <w:rPr>
          <w:shd w:val="clear" w:color="auto" w:fill="00B0F0"/>
        </w:rPr>
        <w:t xml:space="preserve"> (4.12)</w:t>
      </w:r>
      <w:r w:rsidR="0071474E" w:rsidRPr="000368C1">
        <w:rPr>
          <w:shd w:val="clear" w:color="auto" w:fill="00B0F0"/>
        </w:rPr>
        <w:t xml:space="preserve"> C.cr</w:t>
      </w:r>
      <w:r w:rsidR="0071474E" w:rsidRPr="00275B57">
        <w:t>.)</w:t>
      </w:r>
    </w:p>
    <w:p w14:paraId="350A9965" w14:textId="77777777" w:rsidR="00DB0C9E" w:rsidRDefault="00DB0C9E" w:rsidP="00DB0C9E"/>
    <w:p w14:paraId="36BC50F7" w14:textId="72265C9D" w:rsidR="00DB0C9E" w:rsidRDefault="00DB0C9E" w:rsidP="00DB0C9E">
      <w:r>
        <w:t>Le juge présidant l’enquête est tenu de limiter la preuve entendue puisque les parties aurons rempli une déclaration</w:t>
      </w:r>
      <w:r w:rsidR="00717DA4">
        <w:t xml:space="preserve"> </w:t>
      </w:r>
      <w:r w:rsidR="00717DA4" w:rsidRPr="00A25581">
        <w:t>(</w:t>
      </w:r>
      <w:r w:rsidR="00717DA4" w:rsidRPr="00DB0C9E">
        <w:rPr>
          <w:shd w:val="clear" w:color="auto" w:fill="00B0F0"/>
        </w:rPr>
        <w:t xml:space="preserve">art.  </w:t>
      </w:r>
      <w:r w:rsidR="00717DA4">
        <w:rPr>
          <w:shd w:val="clear" w:color="auto" w:fill="00B0F0"/>
        </w:rPr>
        <w:t xml:space="preserve">537 (1.01) </w:t>
      </w:r>
      <w:r w:rsidR="00717DA4" w:rsidRPr="001B2126">
        <w:rPr>
          <w:shd w:val="clear" w:color="auto" w:fill="00B0F0"/>
        </w:rPr>
        <w:t>C.cr</w:t>
      </w:r>
      <w:r w:rsidR="00717DA4" w:rsidRPr="001B2126">
        <w:t>.)</w:t>
      </w:r>
      <w:r w:rsidR="00717DA4">
        <w:t xml:space="preserve">. </w:t>
      </w:r>
    </w:p>
    <w:p w14:paraId="3050213D" w14:textId="0D17EE44" w:rsidR="00DB19F6" w:rsidRDefault="00DB19F6" w:rsidP="00DB0C9E"/>
    <w:p w14:paraId="34046A44" w14:textId="77777777" w:rsidR="00A950B4" w:rsidRDefault="00A71161" w:rsidP="00DB0C9E">
      <w:r>
        <w:t>Si les parties n’arrivent pas à</w:t>
      </w:r>
      <w:r w:rsidR="007E4D1C">
        <w:t xml:space="preserve"> </w:t>
      </w:r>
      <w:r>
        <w:t xml:space="preserve">s’entendre, </w:t>
      </w:r>
      <w:r w:rsidR="006D7339">
        <w:t xml:space="preserve">on peut demander au juge de régler le </w:t>
      </w:r>
      <w:r w:rsidR="007D138F">
        <w:t>différend</w:t>
      </w:r>
      <w:r w:rsidR="0055466C">
        <w:t xml:space="preserve"> </w:t>
      </w:r>
      <w:r w:rsidR="004E4724" w:rsidRPr="00A25581">
        <w:t>(</w:t>
      </w:r>
      <w:r w:rsidR="004E4724" w:rsidRPr="00DB0C9E">
        <w:rPr>
          <w:shd w:val="clear" w:color="auto" w:fill="00B0F0"/>
        </w:rPr>
        <w:t xml:space="preserve">art.  </w:t>
      </w:r>
      <w:r w:rsidR="00C55D8C">
        <w:rPr>
          <w:shd w:val="clear" w:color="auto" w:fill="00B0F0"/>
        </w:rPr>
        <w:t>537</w:t>
      </w:r>
      <w:r w:rsidR="00A950B4">
        <w:rPr>
          <w:shd w:val="clear" w:color="auto" w:fill="00B0F0"/>
        </w:rPr>
        <w:t xml:space="preserve"> </w:t>
      </w:r>
      <w:r w:rsidR="001B2126">
        <w:rPr>
          <w:shd w:val="clear" w:color="auto" w:fill="00B0F0"/>
        </w:rPr>
        <w:t>(1)</w:t>
      </w:r>
      <w:r w:rsidR="00A950B4">
        <w:rPr>
          <w:shd w:val="clear" w:color="auto" w:fill="00B0F0"/>
        </w:rPr>
        <w:t xml:space="preserve"> </w:t>
      </w:r>
      <w:proofErr w:type="gramStart"/>
      <w:r w:rsidR="001B2126">
        <w:rPr>
          <w:shd w:val="clear" w:color="auto" w:fill="00B0F0"/>
        </w:rPr>
        <w:t>i)</w:t>
      </w:r>
      <w:r w:rsidR="004E4724" w:rsidRPr="001B2126">
        <w:rPr>
          <w:shd w:val="clear" w:color="auto" w:fill="00B0F0"/>
        </w:rPr>
        <w:t>C</w:t>
      </w:r>
      <w:proofErr w:type="gramEnd"/>
      <w:r w:rsidR="004E4724" w:rsidRPr="001B2126">
        <w:rPr>
          <w:shd w:val="clear" w:color="auto" w:fill="00B0F0"/>
        </w:rPr>
        <w:t>.cr</w:t>
      </w:r>
      <w:r w:rsidR="004E4724" w:rsidRPr="001B2126">
        <w:t>.)</w:t>
      </w:r>
      <w:r w:rsidR="00A950B4">
        <w:t xml:space="preserve">. </w:t>
      </w:r>
    </w:p>
    <w:p w14:paraId="0AA4C57A" w14:textId="66524608" w:rsidR="00A950B4" w:rsidRDefault="00A950B4" w:rsidP="00DB0C9E"/>
    <w:p w14:paraId="4C868826" w14:textId="39D9D02D" w:rsidR="002C59DB" w:rsidRPr="00A804C6" w:rsidRDefault="002C59DB" w:rsidP="002C59DB">
      <w:pPr>
        <w:rPr>
          <w:b/>
          <w:bCs/>
        </w:rPr>
      </w:pPr>
      <w:r w:rsidRPr="00A804C6">
        <w:rPr>
          <w:b/>
          <w:bCs/>
        </w:rPr>
        <w:t>Vrai/Faux</w:t>
      </w:r>
    </w:p>
    <w:p w14:paraId="6021ED59" w14:textId="77777777" w:rsidR="002C59DB" w:rsidRDefault="002C59DB" w:rsidP="002C59DB"/>
    <w:p w14:paraId="7D557C9D" w14:textId="650B0158" w:rsidR="002C59DB" w:rsidRDefault="002C59DB" w:rsidP="002C59DB">
      <w:r>
        <w:lastRenderedPageBreak/>
        <w:t xml:space="preserve">La tenue d’une enquête préliminaire est possible dans la mesure où l’acte criminel se retrouve à </w:t>
      </w:r>
      <w:r w:rsidRPr="00B05B0B">
        <w:rPr>
          <w:shd w:val="clear" w:color="auto" w:fill="00B0F0"/>
        </w:rPr>
        <w:t>l’art</w:t>
      </w:r>
      <w:r w:rsidR="00A804C6" w:rsidRPr="00B05B0B">
        <w:rPr>
          <w:shd w:val="clear" w:color="auto" w:fill="00B0F0"/>
        </w:rPr>
        <w:t>.</w:t>
      </w:r>
      <w:r w:rsidRPr="00B05B0B">
        <w:rPr>
          <w:shd w:val="clear" w:color="auto" w:fill="00B0F0"/>
        </w:rPr>
        <w:t xml:space="preserve"> 469 C.cr</w:t>
      </w:r>
      <w:r>
        <w:t>.</w:t>
      </w:r>
    </w:p>
    <w:p w14:paraId="6DF2472D" w14:textId="111F608D" w:rsidR="002C59DB" w:rsidRDefault="002C59DB" w:rsidP="00DB0C9E"/>
    <w:p w14:paraId="7BC7BB24" w14:textId="30F701A6" w:rsidR="00B05B0B" w:rsidRDefault="004E4AA3" w:rsidP="00DB0C9E">
      <w:pPr>
        <w:rPr>
          <w:shd w:val="clear" w:color="auto" w:fill="00B0F0"/>
        </w:rPr>
      </w:pPr>
      <w:r>
        <w:t xml:space="preserve">Faux : </w:t>
      </w:r>
      <w:r w:rsidR="00B05B0B">
        <w:t>I</w:t>
      </w:r>
      <w:r w:rsidR="00B05B0B" w:rsidRPr="00B05B0B">
        <w:t xml:space="preserve">l faut que cet acte criminel soit passible d’une peine d’emprisonnement de 14 ans ou plus pour avoir droit de demander une enquête préliminaire selon les </w:t>
      </w:r>
      <w:r w:rsidR="00B05B0B" w:rsidRPr="006B03A1">
        <w:rPr>
          <w:shd w:val="clear" w:color="auto" w:fill="00B0F0"/>
        </w:rPr>
        <w:t>art</w:t>
      </w:r>
      <w:r w:rsidR="002C0B8B" w:rsidRPr="006B03A1">
        <w:rPr>
          <w:shd w:val="clear" w:color="auto" w:fill="00B0F0"/>
        </w:rPr>
        <w:t xml:space="preserve">s. </w:t>
      </w:r>
      <w:r w:rsidR="00B05B0B" w:rsidRPr="006B03A1">
        <w:rPr>
          <w:shd w:val="clear" w:color="auto" w:fill="00B0F0"/>
        </w:rPr>
        <w:t>535 et 536 (2.1) C.cr.</w:t>
      </w:r>
    </w:p>
    <w:p w14:paraId="763D2020" w14:textId="77777777" w:rsidR="007D314E" w:rsidRDefault="007D314E" w:rsidP="00DB0C9E"/>
    <w:p w14:paraId="1B03DA21" w14:textId="0C81CD32" w:rsidR="00F4594D" w:rsidRDefault="007D314E" w:rsidP="00F4594D">
      <w:pPr>
        <w:pStyle w:val="NoSpacing"/>
        <w:spacing w:line="240" w:lineRule="auto"/>
      </w:pPr>
      <w:r>
        <w:t>Les pouvoirs des juges de paix</w:t>
      </w:r>
      <w:r w:rsidR="00A07C0C">
        <w:t xml:space="preserve"> à l’enquête préliminaire</w:t>
      </w:r>
      <w:r w:rsidR="0019166D">
        <w:t xml:space="preserve"> </w:t>
      </w:r>
      <w:r w:rsidR="004E4724" w:rsidRPr="007D314E">
        <w:t>(</w:t>
      </w:r>
      <w:r w:rsidR="004E4724" w:rsidRPr="007D314E">
        <w:rPr>
          <w:shd w:val="clear" w:color="auto" w:fill="00B0F0"/>
        </w:rPr>
        <w:t xml:space="preserve">art. </w:t>
      </w:r>
      <w:r w:rsidR="0019166D">
        <w:rPr>
          <w:shd w:val="clear" w:color="auto" w:fill="00B0F0"/>
        </w:rPr>
        <w:t>537</w:t>
      </w:r>
      <w:r w:rsidR="00E75E1D">
        <w:rPr>
          <w:shd w:val="clear" w:color="auto" w:fill="00B0F0"/>
        </w:rPr>
        <w:t>(1)</w:t>
      </w:r>
      <w:r w:rsidR="004E4724" w:rsidRPr="007D314E">
        <w:rPr>
          <w:shd w:val="clear" w:color="auto" w:fill="00B0F0"/>
        </w:rPr>
        <w:t xml:space="preserve"> </w:t>
      </w:r>
      <w:r w:rsidR="004E4724" w:rsidRPr="00127A3B">
        <w:rPr>
          <w:shd w:val="clear" w:color="auto" w:fill="00B0F0"/>
        </w:rPr>
        <w:t>C.cr</w:t>
      </w:r>
      <w:r w:rsidR="004E4724" w:rsidRPr="00127A3B">
        <w:t>.)</w:t>
      </w:r>
      <w:r w:rsidR="00F4594D">
        <w:t xml:space="preserve">. </w:t>
      </w:r>
      <w:r w:rsidR="00C81D7F">
        <w:t>Il n’existe pas d’autres pouvoirs</w:t>
      </w:r>
      <w:r w:rsidR="001B54D4">
        <w:t xml:space="preserve"> que ceux prévus à cette disposition.</w:t>
      </w:r>
      <w:r w:rsidR="00710596">
        <w:t xml:space="preserve"> Il ne peut pas sanctionner une violation de la Charte.</w:t>
      </w:r>
    </w:p>
    <w:p w14:paraId="4747D080" w14:textId="77777777" w:rsidR="00F4594D" w:rsidRDefault="00F4594D" w:rsidP="00F4594D">
      <w:pPr>
        <w:pStyle w:val="NoSpacing"/>
        <w:spacing w:line="240" w:lineRule="auto"/>
      </w:pPr>
    </w:p>
    <w:p w14:paraId="629A1661" w14:textId="1110B92B" w:rsidR="00F4594D" w:rsidRDefault="00F4594D" w:rsidP="00F4594D">
      <w:pPr>
        <w:pStyle w:val="Heading2"/>
      </w:pPr>
      <w:r>
        <w:t>Les raisons de demander une enquête préliminaire</w:t>
      </w:r>
    </w:p>
    <w:p w14:paraId="57A5361F" w14:textId="2916968B" w:rsidR="00127A3B" w:rsidRDefault="001B54D4" w:rsidP="00F4594D">
      <w:pPr>
        <w:pStyle w:val="NoSpacing"/>
        <w:spacing w:line="240" w:lineRule="auto"/>
      </w:pPr>
      <w:r>
        <w:t xml:space="preserve"> </w:t>
      </w:r>
    </w:p>
    <w:p w14:paraId="119805A5" w14:textId="77777777" w:rsidR="005B0F48" w:rsidRDefault="005B0F48" w:rsidP="004E4724">
      <w:r>
        <w:t>La défense peut demander une enquête pour :</w:t>
      </w:r>
    </w:p>
    <w:p w14:paraId="4DC7F6D8" w14:textId="77777777" w:rsidR="005B0F48" w:rsidRDefault="005B0F48" w:rsidP="004E4724"/>
    <w:p w14:paraId="77797162" w14:textId="4E5FC12D" w:rsidR="00730326" w:rsidRPr="00730326" w:rsidRDefault="00730326" w:rsidP="005B0F48">
      <w:pPr>
        <w:pStyle w:val="ListParagraph"/>
        <w:numPr>
          <w:ilvl w:val="0"/>
          <w:numId w:val="8"/>
        </w:numPr>
      </w:pPr>
      <w:r>
        <w:t xml:space="preserve">Évaluer </w:t>
      </w:r>
      <w:r w:rsidR="005B0F48">
        <w:t>la preuve de la poursuite</w:t>
      </w:r>
      <w:r w:rsidR="00717734">
        <w:t> : vérifier si tous les éléments essentiels de l’infraction sont présents</w:t>
      </w:r>
    </w:p>
    <w:p w14:paraId="08DAF21B" w14:textId="77777777" w:rsidR="00FD38D6" w:rsidRPr="00832CB9" w:rsidRDefault="00730326" w:rsidP="005B0F48">
      <w:pPr>
        <w:pStyle w:val="ListParagraph"/>
        <w:numPr>
          <w:ilvl w:val="0"/>
          <w:numId w:val="8"/>
        </w:numPr>
      </w:pPr>
      <w:r>
        <w:t xml:space="preserve">Tenter de faire libérer le prévenu </w:t>
      </w:r>
    </w:p>
    <w:p w14:paraId="796F5859" w14:textId="77777777" w:rsidR="00397AF2" w:rsidRPr="000A5BD2" w:rsidRDefault="00790712" w:rsidP="005B0F48">
      <w:pPr>
        <w:pStyle w:val="ListParagraph"/>
        <w:numPr>
          <w:ilvl w:val="0"/>
          <w:numId w:val="8"/>
        </w:numPr>
      </w:pPr>
      <w:r>
        <w:t>Entendre la version des témoins</w:t>
      </w:r>
      <w:r w:rsidR="00FB2307">
        <w:t xml:space="preserve"> et </w:t>
      </w:r>
      <w:r w:rsidR="003B7B8D">
        <w:t xml:space="preserve">obtenir les notes </w:t>
      </w:r>
      <w:r w:rsidR="00E94D98">
        <w:t>sténographier</w:t>
      </w:r>
      <w:r w:rsidR="003B7B8D">
        <w:t xml:space="preserve"> suivant l’enquête pour valider lors du procès si les versions ont changé</w:t>
      </w:r>
      <w:r w:rsidR="00E94D98">
        <w:t xml:space="preserve"> (</w:t>
      </w:r>
      <w:r w:rsidR="00E94D98" w:rsidRPr="00BF6F6E">
        <w:rPr>
          <w:shd w:val="clear" w:color="auto" w:fill="00B0F0"/>
        </w:rPr>
        <w:t>arts. 10 et 11 LPC</w:t>
      </w:r>
      <w:r w:rsidR="00E94D98">
        <w:t>)</w:t>
      </w:r>
      <w:r w:rsidR="00486306">
        <w:t> : pour commercer à préparer une future requête en vertu de la Chart</w:t>
      </w:r>
      <w:r w:rsidR="00A3479E">
        <w:t>e aussi</w:t>
      </w:r>
      <w:r w:rsidR="00AB4204">
        <w:t xml:space="preserve"> qui sera déposé</w:t>
      </w:r>
      <w:r w:rsidR="00B0671B">
        <w:t>e ultérieurement</w:t>
      </w:r>
    </w:p>
    <w:p w14:paraId="70638CF7" w14:textId="77777777" w:rsidR="00783265" w:rsidRDefault="00783265" w:rsidP="00783265"/>
    <w:p w14:paraId="6BBCEC72" w14:textId="77777777" w:rsidR="00783265" w:rsidRDefault="00783265" w:rsidP="00783265">
      <w:r>
        <w:t>Pour la poursuite :</w:t>
      </w:r>
    </w:p>
    <w:p w14:paraId="0E46543D" w14:textId="77777777" w:rsidR="00783265" w:rsidRDefault="00783265" w:rsidP="00783265"/>
    <w:p w14:paraId="6F5F487E" w14:textId="77777777" w:rsidR="005741C8" w:rsidRPr="005741C8" w:rsidRDefault="00253208" w:rsidP="00783265">
      <w:pPr>
        <w:pStyle w:val="ListParagraph"/>
        <w:numPr>
          <w:ilvl w:val="0"/>
          <w:numId w:val="9"/>
        </w:numPr>
      </w:pPr>
      <w:r>
        <w:t xml:space="preserve">Évaluer et/ou conserver sa preuve </w:t>
      </w:r>
    </w:p>
    <w:p w14:paraId="6D3F3BEE" w14:textId="77777777" w:rsidR="00DA1E46" w:rsidRPr="000A5BD2" w:rsidRDefault="005741C8" w:rsidP="00783265">
      <w:pPr>
        <w:pStyle w:val="ListParagraph"/>
        <w:numPr>
          <w:ilvl w:val="0"/>
          <w:numId w:val="9"/>
        </w:numPr>
      </w:pPr>
      <w:r>
        <w:t>Évaluer le sérieux de la plainte</w:t>
      </w:r>
      <w:r w:rsidR="008A572F">
        <w:t> : l’</w:t>
      </w:r>
      <w:r w:rsidR="004E4724" w:rsidRPr="00783265">
        <w:rPr>
          <w:shd w:val="clear" w:color="auto" w:fill="00B0F0"/>
        </w:rPr>
        <w:t xml:space="preserve">art. </w:t>
      </w:r>
      <w:r w:rsidR="001D6E2D">
        <w:rPr>
          <w:shd w:val="clear" w:color="auto" w:fill="00B0F0"/>
        </w:rPr>
        <w:t>7</w:t>
      </w:r>
      <w:r w:rsidR="005A77A3">
        <w:rPr>
          <w:shd w:val="clear" w:color="auto" w:fill="00B0F0"/>
        </w:rPr>
        <w:t>15</w:t>
      </w:r>
      <w:r w:rsidR="004E4724" w:rsidRPr="00783265">
        <w:rPr>
          <w:shd w:val="clear" w:color="auto" w:fill="00B0F0"/>
        </w:rPr>
        <w:t xml:space="preserve"> </w:t>
      </w:r>
      <w:r w:rsidR="004E4724" w:rsidRPr="005741C8">
        <w:rPr>
          <w:shd w:val="clear" w:color="auto" w:fill="00B0F0"/>
        </w:rPr>
        <w:t>C.cr</w:t>
      </w:r>
      <w:r w:rsidR="004E4724" w:rsidRPr="005741C8">
        <w:t>.</w:t>
      </w:r>
      <w:r w:rsidR="008A572F">
        <w:t xml:space="preserve"> </w:t>
      </w:r>
      <w:proofErr w:type="gramStart"/>
      <w:r w:rsidR="008A572F">
        <w:t>permet</w:t>
      </w:r>
      <w:proofErr w:type="gramEnd"/>
      <w:r w:rsidR="008A572F">
        <w:t xml:space="preserve"> sans autre preuve de déposer la preuve recueillie à l’enquête lorsqu’un témoin refuse de venir retémoigner au procès en raison de son absence au Canada, de son décès</w:t>
      </w:r>
      <w:r w:rsidR="00121A27">
        <w:t>…</w:t>
      </w:r>
    </w:p>
    <w:p w14:paraId="66D0D33A" w14:textId="77777777" w:rsidR="00C65700" w:rsidRPr="00C65700" w:rsidRDefault="00DA1E46" w:rsidP="00783265">
      <w:pPr>
        <w:pStyle w:val="ListParagraph"/>
        <w:numPr>
          <w:ilvl w:val="0"/>
          <w:numId w:val="9"/>
        </w:numPr>
        <w:rPr>
          <w:lang w:val="en-US"/>
        </w:rPr>
      </w:pPr>
      <w:r>
        <w:t xml:space="preserve">Provoquer un plaidoyer de culpabilité </w:t>
      </w:r>
    </w:p>
    <w:p w14:paraId="37986ECF" w14:textId="77777777" w:rsidR="00C65700" w:rsidRDefault="00C65700" w:rsidP="00C65700"/>
    <w:p w14:paraId="3DAF414F" w14:textId="2F12E1EB" w:rsidR="00C65700" w:rsidRDefault="00C65700" w:rsidP="00C65700">
      <w:pPr>
        <w:pStyle w:val="Heading2"/>
      </w:pPr>
      <w:r>
        <w:t>La preuve à l’enquête préliminaire</w:t>
      </w:r>
    </w:p>
    <w:p w14:paraId="17308FB7" w14:textId="77777777" w:rsidR="00C2321C" w:rsidRDefault="00C2321C" w:rsidP="00C65700"/>
    <w:p w14:paraId="443D5C64" w14:textId="12806B74" w:rsidR="00A83813" w:rsidRDefault="00C2321C" w:rsidP="00C65700">
      <w:r>
        <w:t xml:space="preserve">Le fardeau de </w:t>
      </w:r>
      <w:r w:rsidR="00D55645">
        <w:t xml:space="preserve">la </w:t>
      </w:r>
      <w:r>
        <w:t xml:space="preserve">preuve </w:t>
      </w:r>
      <w:r w:rsidR="0085505E">
        <w:t xml:space="preserve">est celui </w:t>
      </w:r>
      <w:r w:rsidR="00D50439">
        <w:t>de la suffisance de la preuve</w:t>
      </w:r>
      <w:r w:rsidR="00D24A54">
        <w:t xml:space="preserve"> pour que l’accusé soit </w:t>
      </w:r>
      <w:r w:rsidR="00EA521B">
        <w:t xml:space="preserve">amené à procès. </w:t>
      </w:r>
      <w:r w:rsidR="00BC46B1">
        <w:t xml:space="preserve">Il ne tient pas compte </w:t>
      </w:r>
      <w:r w:rsidR="00132542">
        <w:t xml:space="preserve">de la crédibilité, mais retient </w:t>
      </w:r>
      <w:proofErr w:type="gramStart"/>
      <w:r w:rsidR="00132542">
        <w:t>des témoignage</w:t>
      </w:r>
      <w:proofErr w:type="gramEnd"/>
      <w:r w:rsidR="00132542">
        <w:t xml:space="preserve"> qu’il y avait suffisamment d’élément</w:t>
      </w:r>
      <w:r w:rsidR="000B57A0">
        <w:t>s</w:t>
      </w:r>
      <w:r w:rsidR="00132542">
        <w:t xml:space="preserve"> </w:t>
      </w:r>
      <w:r w:rsidR="000B57A0">
        <w:t>d</w:t>
      </w:r>
      <w:r w:rsidR="00132542">
        <w:t xml:space="preserve">e preuves pour les citer à procès. </w:t>
      </w:r>
    </w:p>
    <w:p w14:paraId="1D85A0D8" w14:textId="77777777" w:rsidR="00A83813" w:rsidRDefault="00A83813" w:rsidP="00C65700"/>
    <w:p w14:paraId="03C06D55" w14:textId="01898788" w:rsidR="00DF511F" w:rsidRDefault="00A83813" w:rsidP="00C65700">
      <w:r>
        <w:t>Le règles de preuve s’applique à l’enquête préliminaire alors, si je veux mettre en preuve une déclaration extrajudiciaire</w:t>
      </w:r>
      <w:r w:rsidR="007B50D2">
        <w:t xml:space="preserve"> ou une confession</w:t>
      </w:r>
      <w:r w:rsidR="00810052">
        <w:t xml:space="preserve">, il faut remplir les règles </w:t>
      </w:r>
      <w:r w:rsidR="00B837D6">
        <w:t>de preuve du procès = Hors de tout doute raisonnable</w:t>
      </w:r>
      <w:r w:rsidR="001B71AE">
        <w:t>.</w:t>
      </w:r>
    </w:p>
    <w:p w14:paraId="14211026" w14:textId="77777777" w:rsidR="00DF511F" w:rsidRDefault="00DF511F" w:rsidP="00C65700"/>
    <w:p w14:paraId="30D5C7BD" w14:textId="77777777" w:rsidR="00471149" w:rsidRDefault="00DF511F" w:rsidP="00C65700">
      <w:r>
        <w:t>En vertu de l’</w:t>
      </w:r>
      <w:r w:rsidR="004E4724" w:rsidRPr="00C65700">
        <w:rPr>
          <w:shd w:val="clear" w:color="auto" w:fill="00B0F0"/>
        </w:rPr>
        <w:t xml:space="preserve">art.  </w:t>
      </w:r>
      <w:r w:rsidR="00D13DDA">
        <w:rPr>
          <w:shd w:val="clear" w:color="auto" w:fill="00B0F0"/>
        </w:rPr>
        <w:t>548</w:t>
      </w:r>
      <w:r>
        <w:rPr>
          <w:shd w:val="clear" w:color="auto" w:fill="00B0F0"/>
        </w:rPr>
        <w:t xml:space="preserve"> </w:t>
      </w:r>
      <w:r w:rsidR="004E4724" w:rsidRPr="00DF511F">
        <w:rPr>
          <w:shd w:val="clear" w:color="auto" w:fill="00B0F0"/>
        </w:rPr>
        <w:t>C.cr</w:t>
      </w:r>
      <w:r w:rsidR="004E4724" w:rsidRPr="00DF511F">
        <w:t>.</w:t>
      </w:r>
      <w:r>
        <w:t xml:space="preserve">, le juge décide de la suffisance de la preuve sur chaque chef d’accusation et cite l’individu ou non à subir son procès. </w:t>
      </w:r>
    </w:p>
    <w:p w14:paraId="3AA917F0" w14:textId="77777777" w:rsidR="00471149" w:rsidRDefault="00471149" w:rsidP="00C65700"/>
    <w:p w14:paraId="5C15A4DB" w14:textId="4E2F6961" w:rsidR="00AB3D71" w:rsidRDefault="00C47B65" w:rsidP="00C65700">
      <w:r>
        <w:t xml:space="preserve">L’admissibilité de </w:t>
      </w:r>
      <w:proofErr w:type="gramStart"/>
      <w:r>
        <w:t>certains</w:t>
      </w:r>
      <w:r w:rsidR="006C70E5">
        <w:t xml:space="preserve"> preuves</w:t>
      </w:r>
      <w:proofErr w:type="gramEnd"/>
      <w:r w:rsidR="006C70E5">
        <w:t xml:space="preserve"> par le juge est prévue à l’</w:t>
      </w:r>
      <w:r w:rsidR="004E4724" w:rsidRPr="00DF511F">
        <w:rPr>
          <w:shd w:val="clear" w:color="auto" w:fill="00B0F0"/>
        </w:rPr>
        <w:t>art.</w:t>
      </w:r>
      <w:r w:rsidR="00E00593">
        <w:rPr>
          <w:shd w:val="clear" w:color="auto" w:fill="00B0F0"/>
        </w:rPr>
        <w:t xml:space="preserve"> </w:t>
      </w:r>
      <w:r>
        <w:rPr>
          <w:shd w:val="clear" w:color="auto" w:fill="00B0F0"/>
        </w:rPr>
        <w:t>540</w:t>
      </w:r>
      <w:r w:rsidR="00E00593">
        <w:rPr>
          <w:shd w:val="clear" w:color="auto" w:fill="00B0F0"/>
        </w:rPr>
        <w:t> </w:t>
      </w:r>
      <w:r>
        <w:rPr>
          <w:shd w:val="clear" w:color="auto" w:fill="00B0F0"/>
        </w:rPr>
        <w:t xml:space="preserve">(7) </w:t>
      </w:r>
      <w:r w:rsidR="004E4724" w:rsidRPr="006C70E5">
        <w:rPr>
          <w:shd w:val="clear" w:color="auto" w:fill="00B0F0"/>
        </w:rPr>
        <w:t>C.cr</w:t>
      </w:r>
      <w:r w:rsidR="00C767D5">
        <w:t>, soit de dépos</w:t>
      </w:r>
      <w:r w:rsidR="005A654B">
        <w:t>er</w:t>
      </w:r>
      <w:r w:rsidR="00C767D5">
        <w:t xml:space="preserve"> une déclaration intérieure pour valoir quant à son contenu</w:t>
      </w:r>
      <w:r w:rsidR="00610B04">
        <w:t xml:space="preserve"> à la demande de l’une des parties. </w:t>
      </w:r>
      <w:r w:rsidR="008C4FE7">
        <w:t>C’est le cas par exemple en matière de violence conjugale lorsqu</w:t>
      </w:r>
      <w:r w:rsidR="002D4D7D">
        <w:t>’une des partie</w:t>
      </w:r>
      <w:r w:rsidR="000D69EC">
        <w:t>s</w:t>
      </w:r>
      <w:r w:rsidR="002D4D7D">
        <w:t xml:space="preserve"> décide de ne plus témoigner à l’enquête préliminaire</w:t>
      </w:r>
      <w:r w:rsidR="00114C7A">
        <w:t>. L</w:t>
      </w:r>
      <w:r w:rsidR="000D69EC">
        <w:t>a</w:t>
      </w:r>
      <w:r w:rsidR="00114C7A">
        <w:t xml:space="preserve"> poursuite </w:t>
      </w:r>
      <w:r w:rsidR="003D4AF3">
        <w:t xml:space="preserve">pourrait déposer </w:t>
      </w:r>
      <w:proofErr w:type="gramStart"/>
      <w:r w:rsidR="00362363">
        <w:t>le déclaration extrajudiciaire</w:t>
      </w:r>
      <w:proofErr w:type="gramEnd"/>
      <w:r w:rsidR="00362363">
        <w:t xml:space="preserve"> antérieure</w:t>
      </w:r>
      <w:r w:rsidR="007063FD">
        <w:t xml:space="preserve"> si le juge la considère plausibles ou digne de foi. </w:t>
      </w:r>
    </w:p>
    <w:p w14:paraId="69EF86A2" w14:textId="7FDF987C" w:rsidR="00AB3D71" w:rsidRDefault="00AB3D71" w:rsidP="00AB3D71">
      <w:pPr>
        <w:pStyle w:val="Heading2"/>
      </w:pPr>
      <w:r>
        <w:lastRenderedPageBreak/>
        <w:t xml:space="preserve">L’examen volontaire </w:t>
      </w:r>
      <w:r w:rsidR="001F2E83" w:rsidRPr="00274B89">
        <w:t>(</w:t>
      </w:r>
      <w:r w:rsidR="001F2E83" w:rsidRPr="00274B89">
        <w:rPr>
          <w:shd w:val="clear" w:color="auto" w:fill="00B0F0"/>
        </w:rPr>
        <w:t>art</w:t>
      </w:r>
      <w:r w:rsidR="001F2E83">
        <w:rPr>
          <w:shd w:val="clear" w:color="auto" w:fill="00B0F0"/>
        </w:rPr>
        <w:t xml:space="preserve">s. 541 et ss </w:t>
      </w:r>
      <w:r w:rsidR="001F2E83" w:rsidRPr="0044039B">
        <w:rPr>
          <w:shd w:val="clear" w:color="auto" w:fill="00B0F0"/>
        </w:rPr>
        <w:t>C.cr</w:t>
      </w:r>
      <w:r w:rsidR="001F2E83" w:rsidRPr="0044039B">
        <w:t>.)</w:t>
      </w:r>
    </w:p>
    <w:p w14:paraId="46819ED8" w14:textId="77777777" w:rsidR="0044039B" w:rsidRDefault="0044039B" w:rsidP="00C65700"/>
    <w:p w14:paraId="10374B89" w14:textId="77777777" w:rsidR="003553B6" w:rsidRDefault="0053785D" w:rsidP="00C65700">
      <w:r>
        <w:t>Une fois que la Couronne a déclaré sa preuve clause, le juge se tourne vers l’accusé et exerce l’</w:t>
      </w:r>
      <w:r w:rsidR="007B61EE">
        <w:t>e</w:t>
      </w:r>
      <w:r>
        <w:t xml:space="preserve">xamen volontaire. L’examen </w:t>
      </w:r>
      <w:r w:rsidR="00DC0581">
        <w:t>se déroule lorsque l’accusé n’est pas représenté par avocat</w:t>
      </w:r>
      <w:r w:rsidR="00851DBB">
        <w:t xml:space="preserve"> s’il entend </w:t>
      </w:r>
      <w:r w:rsidR="00914F11">
        <w:t xml:space="preserve">répondre et lui faisant la lecture de </w:t>
      </w:r>
      <w:r w:rsidR="00914F11" w:rsidRPr="00274B89">
        <w:t>(</w:t>
      </w:r>
      <w:r w:rsidR="00914F11" w:rsidRPr="00274B89">
        <w:rPr>
          <w:shd w:val="clear" w:color="auto" w:fill="00B0F0"/>
        </w:rPr>
        <w:t>art</w:t>
      </w:r>
      <w:r w:rsidR="00914F11">
        <w:rPr>
          <w:shd w:val="clear" w:color="auto" w:fill="00B0F0"/>
        </w:rPr>
        <w:t>. 541</w:t>
      </w:r>
      <w:r w:rsidR="00042D92">
        <w:rPr>
          <w:shd w:val="clear" w:color="auto" w:fill="00B0F0"/>
        </w:rPr>
        <w:t xml:space="preserve"> (</w:t>
      </w:r>
      <w:r w:rsidR="00C4490E">
        <w:rPr>
          <w:shd w:val="clear" w:color="auto" w:fill="00B0F0"/>
        </w:rPr>
        <w:t>2</w:t>
      </w:r>
      <w:r w:rsidR="00042D92">
        <w:rPr>
          <w:shd w:val="clear" w:color="auto" w:fill="00B0F0"/>
        </w:rPr>
        <w:t xml:space="preserve">) </w:t>
      </w:r>
      <w:r w:rsidR="00914F11" w:rsidRPr="0044039B">
        <w:rPr>
          <w:shd w:val="clear" w:color="auto" w:fill="00B0F0"/>
        </w:rPr>
        <w:t>C.cr</w:t>
      </w:r>
      <w:r w:rsidR="00914F11" w:rsidRPr="0044039B">
        <w:t>.)</w:t>
      </w:r>
      <w:r w:rsidR="00914F11">
        <w:t xml:space="preserve">. Ensuite, il lui demande s’il </w:t>
      </w:r>
      <w:r w:rsidR="00042D92">
        <w:t>désire</w:t>
      </w:r>
      <w:r w:rsidR="00914F11">
        <w:t xml:space="preserve"> faire entendre</w:t>
      </w:r>
      <w:r w:rsidR="00851DBB">
        <w:t xml:space="preserve"> des témoins</w:t>
      </w:r>
      <w:r w:rsidR="00914F11">
        <w:t xml:space="preserve"> </w:t>
      </w:r>
      <w:r w:rsidR="00914F11" w:rsidRPr="00274B89">
        <w:t>(</w:t>
      </w:r>
      <w:r w:rsidR="00914F11" w:rsidRPr="00274B89">
        <w:rPr>
          <w:shd w:val="clear" w:color="auto" w:fill="00B0F0"/>
        </w:rPr>
        <w:t>art</w:t>
      </w:r>
      <w:r w:rsidR="00914F11">
        <w:rPr>
          <w:shd w:val="clear" w:color="auto" w:fill="00B0F0"/>
        </w:rPr>
        <w:t>. 541</w:t>
      </w:r>
      <w:r w:rsidR="000E307A">
        <w:rPr>
          <w:shd w:val="clear" w:color="auto" w:fill="00B0F0"/>
        </w:rPr>
        <w:t xml:space="preserve"> </w:t>
      </w:r>
      <w:r w:rsidR="00914F11">
        <w:rPr>
          <w:shd w:val="clear" w:color="auto" w:fill="00B0F0"/>
        </w:rPr>
        <w:t>(4)</w:t>
      </w:r>
      <w:r w:rsidR="000E307A">
        <w:rPr>
          <w:shd w:val="clear" w:color="auto" w:fill="00B0F0"/>
        </w:rPr>
        <w:t xml:space="preserve"> </w:t>
      </w:r>
      <w:r w:rsidR="00914F11" w:rsidRPr="0044039B">
        <w:rPr>
          <w:shd w:val="clear" w:color="auto" w:fill="00B0F0"/>
        </w:rPr>
        <w:t>C.cr</w:t>
      </w:r>
      <w:r w:rsidR="00914F11" w:rsidRPr="0044039B">
        <w:t>.)</w:t>
      </w:r>
      <w:r w:rsidR="00707CB4">
        <w:t>. S’il est représenté</w:t>
      </w:r>
      <w:r w:rsidR="001F2E83">
        <w:t xml:space="preserve"> par avocat, il y a ainsi une renonciation à la lecture l’</w:t>
      </w:r>
      <w:r w:rsidR="004E4724" w:rsidRPr="001F2E83">
        <w:rPr>
          <w:shd w:val="clear" w:color="auto" w:fill="00B0F0"/>
        </w:rPr>
        <w:t>art.</w:t>
      </w:r>
      <w:r w:rsidR="001F2E83">
        <w:rPr>
          <w:shd w:val="clear" w:color="auto" w:fill="00B0F0"/>
        </w:rPr>
        <w:t xml:space="preserve"> 541 </w:t>
      </w:r>
      <w:r w:rsidR="004E766A">
        <w:rPr>
          <w:shd w:val="clear" w:color="auto" w:fill="00B0F0"/>
        </w:rPr>
        <w:t>(2)</w:t>
      </w:r>
      <w:r w:rsidR="00F8421D">
        <w:rPr>
          <w:shd w:val="clear" w:color="auto" w:fill="00B0F0"/>
        </w:rPr>
        <w:t xml:space="preserve"> </w:t>
      </w:r>
      <w:r w:rsidR="004E4724" w:rsidRPr="008F43B1">
        <w:rPr>
          <w:shd w:val="clear" w:color="auto" w:fill="00B0F0"/>
        </w:rPr>
        <w:t>C.cr</w:t>
      </w:r>
      <w:r w:rsidR="004E4724" w:rsidRPr="008F43B1">
        <w:t>.</w:t>
      </w:r>
      <w:r w:rsidR="00F8421D">
        <w:t xml:space="preserve"> </w:t>
      </w:r>
    </w:p>
    <w:p w14:paraId="67C1F3E9" w14:textId="77777777" w:rsidR="003553B6" w:rsidRDefault="003553B6" w:rsidP="00C65700"/>
    <w:p w14:paraId="7EE799B2" w14:textId="77777777" w:rsidR="009834DD" w:rsidRDefault="00111EB2" w:rsidP="00C65700">
      <w:r>
        <w:t xml:space="preserve">Dans la majorité des cas, il n’y pas de témoin entendu à l’enquête </w:t>
      </w:r>
      <w:r w:rsidR="006B648B">
        <w:t xml:space="preserve">par </w:t>
      </w:r>
      <w:proofErr w:type="gramStart"/>
      <w:r w:rsidR="006B648B">
        <w:t xml:space="preserve">la défense </w:t>
      </w:r>
      <w:r>
        <w:t>sauf</w:t>
      </w:r>
      <w:proofErr w:type="gramEnd"/>
      <w:r>
        <w:t xml:space="preserve"> si la poursuite n’a pas fait entendre</w:t>
      </w:r>
      <w:r w:rsidR="00E17946">
        <w:t xml:space="preserve"> un témoin et qu’il veut obtenir l’enregistrement de sa version</w:t>
      </w:r>
      <w:r>
        <w:t xml:space="preserve">. </w:t>
      </w:r>
    </w:p>
    <w:p w14:paraId="22957747" w14:textId="77777777" w:rsidR="009834DD" w:rsidRDefault="009834DD" w:rsidP="00C65700"/>
    <w:p w14:paraId="7501C07A" w14:textId="77777777" w:rsidR="00866B5D" w:rsidRDefault="002E6697" w:rsidP="00C65700">
      <w:r>
        <w:t xml:space="preserve">Après l’examen volontaire, l’avocat de la défense </w:t>
      </w:r>
      <w:r w:rsidR="00000198">
        <w:t xml:space="preserve">peut demander une révision informelle </w:t>
      </w:r>
      <w:r>
        <w:t xml:space="preserve">s’il </w:t>
      </w:r>
      <w:r w:rsidR="00760D01">
        <w:t xml:space="preserve">veut </w:t>
      </w:r>
      <w:r>
        <w:t xml:space="preserve">que </w:t>
      </w:r>
      <w:r w:rsidR="00F4794C">
        <w:t xml:space="preserve">la décision de ne pas remettre en liberté le prévenu ou </w:t>
      </w:r>
      <w:r>
        <w:t xml:space="preserve">les conditions de remise en liberté </w:t>
      </w:r>
      <w:r w:rsidR="00760D01">
        <w:t>soit r</w:t>
      </w:r>
      <w:r w:rsidR="00296B09">
        <w:t>é</w:t>
      </w:r>
      <w:r w:rsidR="00760D01">
        <w:t>visé</w:t>
      </w:r>
      <w:r w:rsidR="00213AF2">
        <w:t xml:space="preserve"> </w:t>
      </w:r>
      <w:r w:rsidR="004E4724" w:rsidRPr="008F43B1">
        <w:t>(</w:t>
      </w:r>
      <w:r w:rsidR="004E4724" w:rsidRPr="008F43B1">
        <w:rPr>
          <w:shd w:val="clear" w:color="auto" w:fill="00B0F0"/>
        </w:rPr>
        <w:t>art</w:t>
      </w:r>
      <w:r w:rsidR="00213AF2">
        <w:rPr>
          <w:shd w:val="clear" w:color="auto" w:fill="00B0F0"/>
        </w:rPr>
        <w:t>. 523(2)</w:t>
      </w:r>
      <w:r w:rsidR="00866B5D">
        <w:rPr>
          <w:shd w:val="clear" w:color="auto" w:fill="00B0F0"/>
        </w:rPr>
        <w:t xml:space="preserve">b) </w:t>
      </w:r>
      <w:r w:rsidR="004E4724" w:rsidRPr="00196843">
        <w:rPr>
          <w:shd w:val="clear" w:color="auto" w:fill="00B0F0"/>
        </w:rPr>
        <w:t>C.cr</w:t>
      </w:r>
      <w:r w:rsidR="004E4724" w:rsidRPr="00196843">
        <w:t>.)</w:t>
      </w:r>
    </w:p>
    <w:p w14:paraId="023CBAA4" w14:textId="6ED0E078" w:rsidR="00866B5D" w:rsidRDefault="00866B5D" w:rsidP="00C65700"/>
    <w:p w14:paraId="5E4052F5" w14:textId="3E65D159" w:rsidR="00866B5D" w:rsidRDefault="00866B5D" w:rsidP="00866B5D">
      <w:pPr>
        <w:pStyle w:val="Heading2"/>
      </w:pPr>
      <w:r>
        <w:t>Le fardeau de preuve</w:t>
      </w:r>
    </w:p>
    <w:p w14:paraId="0253E540" w14:textId="77777777" w:rsidR="00866B5D" w:rsidRDefault="00866B5D" w:rsidP="00C65700"/>
    <w:p w14:paraId="2A23F6F8" w14:textId="77777777" w:rsidR="00F727D5" w:rsidRDefault="00965FD9" w:rsidP="00C65700">
      <w:r>
        <w:t xml:space="preserve">La suffisance de la preuve pour nécessité une citation à procès. </w:t>
      </w:r>
      <w:r w:rsidR="00001C22">
        <w:t>Le juge regarde s’il y a suffisance de preuve indépendamment de la crédibilité qu’il peut accorder aux témoins</w:t>
      </w:r>
      <w:r w:rsidR="002F4DFC">
        <w:t xml:space="preserve"> entendues</w:t>
      </w:r>
      <w:r w:rsidR="00001C22">
        <w:t xml:space="preserve">. </w:t>
      </w:r>
    </w:p>
    <w:p w14:paraId="130CFD81" w14:textId="77777777" w:rsidR="00F727D5" w:rsidRDefault="00F727D5" w:rsidP="00C65700"/>
    <w:p w14:paraId="05642E3B" w14:textId="1E2FE677" w:rsidR="00F727D5" w:rsidRDefault="00F727D5" w:rsidP="00F727D5">
      <w:pPr>
        <w:pStyle w:val="Heading2"/>
      </w:pPr>
      <w:r>
        <w:t>La contestation de la décision du juge de paix</w:t>
      </w:r>
    </w:p>
    <w:p w14:paraId="27B580F9" w14:textId="77777777" w:rsidR="00F727D5" w:rsidRDefault="00F727D5" w:rsidP="00C65700"/>
    <w:p w14:paraId="4C4B7E96" w14:textId="0BEA7D37" w:rsidR="006B336A" w:rsidRDefault="004E01B5" w:rsidP="00C65700">
      <w:r>
        <w:t xml:space="preserve">Si le juge a cité à procès et que cette citation semble problématique par l’avocat du prévenu. </w:t>
      </w:r>
      <w:r w:rsidR="0086686A">
        <w:t xml:space="preserve">Ce </w:t>
      </w:r>
      <w:proofErr w:type="gramStart"/>
      <w:r w:rsidR="0086686A">
        <w:t>n’est</w:t>
      </w:r>
      <w:proofErr w:type="gramEnd"/>
      <w:r w:rsidR="0086686A">
        <w:t xml:space="preserve"> pas des décision</w:t>
      </w:r>
      <w:r w:rsidR="00E13A61">
        <w:t>s</w:t>
      </w:r>
      <w:r w:rsidR="0086686A">
        <w:t xml:space="preserve"> pouvant être portée en appel. </w:t>
      </w:r>
    </w:p>
    <w:p w14:paraId="5B7F175E" w14:textId="77777777" w:rsidR="006B336A" w:rsidRDefault="006B336A" w:rsidP="00C65700"/>
    <w:p w14:paraId="674B1C09" w14:textId="77777777" w:rsidR="006B336A" w:rsidRDefault="009E141D" w:rsidP="00C65700">
      <w:r>
        <w:t xml:space="preserve">Le seul pouvoir de l’avocat de la défense sera de déposer un brief de certiorari </w:t>
      </w:r>
      <w:r w:rsidR="007160C3">
        <w:t>à</w:t>
      </w:r>
      <w:r w:rsidR="009D2063">
        <w:t xml:space="preserve"> </w:t>
      </w:r>
      <w:r w:rsidR="005B0794">
        <w:t>un juge de la</w:t>
      </w:r>
      <w:r w:rsidR="009D2063">
        <w:t xml:space="preserve"> Cour supérieure de juridiction criminelle </w:t>
      </w:r>
      <w:r w:rsidR="00613C9E">
        <w:t xml:space="preserve">lorsque </w:t>
      </w:r>
      <w:r w:rsidR="009E07A0">
        <w:t xml:space="preserve">le juge a excédé </w:t>
      </w:r>
      <w:r w:rsidR="00E54515">
        <w:t xml:space="preserve">sa juridiction à l’égard d’éléments essentiels absents de la preuve présentée devant lui. </w:t>
      </w:r>
      <w:r w:rsidR="006B336A">
        <w:t xml:space="preserve">Il ne s’agit pas d’un appel ! </w:t>
      </w:r>
    </w:p>
    <w:p w14:paraId="1F3486F1" w14:textId="77777777" w:rsidR="00B90516" w:rsidRDefault="00B90516" w:rsidP="00B85E59"/>
    <w:p w14:paraId="373CF2D0" w14:textId="32A3D63C" w:rsidR="006B0922" w:rsidRDefault="00B85E59" w:rsidP="00B85E59">
      <w:pPr>
        <w:pStyle w:val="Heading1"/>
      </w:pPr>
      <w:r>
        <w:t>Section 3 : Les requêtes préliminaires et les plaidoyers</w:t>
      </w:r>
    </w:p>
    <w:p w14:paraId="525E84C7" w14:textId="0F189CFD" w:rsidR="00B85E59" w:rsidRDefault="00B85E59" w:rsidP="00B85E59"/>
    <w:p w14:paraId="4E83C75A" w14:textId="77777777" w:rsidR="004672A5" w:rsidRDefault="004672A5" w:rsidP="004672A5">
      <w:r>
        <w:t>Avant le début du procès, il est possible de présenter des requêtes préliminaires afin de faire des demandes autant sur le plan de la gestion de l’instance qu’à propos de l’acte d’accusation.</w:t>
      </w:r>
    </w:p>
    <w:p w14:paraId="3083B5C4" w14:textId="77777777" w:rsidR="004672A5" w:rsidRDefault="004672A5" w:rsidP="004672A5"/>
    <w:p w14:paraId="3E4B4F75" w14:textId="34499536" w:rsidR="00B85E59" w:rsidRDefault="004672A5" w:rsidP="004672A5">
      <w:r>
        <w:t>Dans le cadre de son procès, l’accusé devra enregistrer son plaidoyer, ce qui aura un impact sur le procès.</w:t>
      </w:r>
    </w:p>
    <w:p w14:paraId="05EDFDEE" w14:textId="44833CFB" w:rsidR="004672A5" w:rsidRDefault="004672A5" w:rsidP="004672A5"/>
    <w:p w14:paraId="79C73695" w14:textId="1F4FA20A" w:rsidR="00605C2F" w:rsidRDefault="00605C2F" w:rsidP="00605C2F">
      <w:pPr>
        <w:pStyle w:val="Heading2"/>
        <w:numPr>
          <w:ilvl w:val="0"/>
          <w:numId w:val="10"/>
        </w:numPr>
      </w:pPr>
      <w:r>
        <w:t>Requêtes préliminaires</w:t>
      </w:r>
    </w:p>
    <w:p w14:paraId="1D002854" w14:textId="77777777" w:rsidR="004672A5" w:rsidRDefault="004672A5" w:rsidP="004672A5"/>
    <w:p w14:paraId="624D563C" w14:textId="53E65031" w:rsidR="00AA288D" w:rsidRDefault="006E5F00" w:rsidP="004672A5">
      <w:r w:rsidRPr="00E5127B">
        <w:t>Ava</w:t>
      </w:r>
      <w:r w:rsidR="005B4257">
        <w:t>n</w:t>
      </w:r>
      <w:r w:rsidRPr="00E5127B">
        <w:t>t l’audition des témoins</w:t>
      </w:r>
      <w:r w:rsidR="00E5127B" w:rsidRPr="00E5127B">
        <w:t>, l’audition des requêtes prélimi</w:t>
      </w:r>
      <w:r w:rsidR="00E5127B">
        <w:t>naires peut avoir lieu. Habituellement, l’audition</w:t>
      </w:r>
      <w:r w:rsidR="00466195">
        <w:t xml:space="preserve"> </w:t>
      </w:r>
      <w:r w:rsidR="00E5127B">
        <w:t>se fait de manière verbale</w:t>
      </w:r>
      <w:r w:rsidR="002F0812">
        <w:t xml:space="preserve">. </w:t>
      </w:r>
      <w:r w:rsidR="004266F5">
        <w:t>Cependant, le tribunal peut toujours impos</w:t>
      </w:r>
      <w:r w:rsidR="00E13A61">
        <w:t>er</w:t>
      </w:r>
      <w:r w:rsidR="00743597">
        <w:t xml:space="preserve"> le dépôt d’une requête écrite </w:t>
      </w:r>
      <w:r w:rsidR="00C34035">
        <w:t xml:space="preserve">pour que le débat soit bien </w:t>
      </w:r>
      <w:r w:rsidR="00813AE5">
        <w:t xml:space="preserve">encadré et les conclusions recherchées. </w:t>
      </w:r>
    </w:p>
    <w:p w14:paraId="263CA5F3" w14:textId="77777777" w:rsidR="00AA288D" w:rsidRDefault="00AA288D" w:rsidP="004672A5"/>
    <w:p w14:paraId="1E2EF2F3" w14:textId="5B2AA279" w:rsidR="00255AF5" w:rsidRPr="002D6CA9" w:rsidRDefault="00255AF5" w:rsidP="002767A8">
      <w:pPr>
        <w:pStyle w:val="ListParagraph"/>
        <w:numPr>
          <w:ilvl w:val="0"/>
          <w:numId w:val="12"/>
        </w:numPr>
      </w:pPr>
      <w:r>
        <w:t>La requête pour procès distinct</w:t>
      </w:r>
      <w:r w:rsidR="002D6CA9">
        <w:t xml:space="preserve"> </w:t>
      </w:r>
      <w:r w:rsidR="002D6CA9" w:rsidRPr="00E5127B">
        <w:t>(</w:t>
      </w:r>
      <w:r w:rsidR="002D6CA9" w:rsidRPr="002767A8">
        <w:rPr>
          <w:shd w:val="clear" w:color="auto" w:fill="00B0F0"/>
        </w:rPr>
        <w:t>art. 591</w:t>
      </w:r>
      <w:r w:rsidR="00583C92">
        <w:rPr>
          <w:shd w:val="clear" w:color="auto" w:fill="00B0F0"/>
        </w:rPr>
        <w:t> (</w:t>
      </w:r>
      <w:r w:rsidR="002D6CA9" w:rsidRPr="002767A8">
        <w:rPr>
          <w:shd w:val="clear" w:color="auto" w:fill="00B0F0"/>
        </w:rPr>
        <w:t>3) C.cr</w:t>
      </w:r>
      <w:r w:rsidR="002D6CA9" w:rsidRPr="002D6CA9">
        <w:t>.)</w:t>
      </w:r>
    </w:p>
    <w:p w14:paraId="39D304AF" w14:textId="77777777" w:rsidR="00255AF5" w:rsidRDefault="00255AF5" w:rsidP="00255AF5"/>
    <w:p w14:paraId="36DA4F6B" w14:textId="58C006E2" w:rsidR="008123E8" w:rsidRDefault="00266859" w:rsidP="00255AF5">
      <w:r>
        <w:t xml:space="preserve">Avantageux pour la poursuite de réunir l’ensemble des chefs dans un acte d’accusation. À partir du moment où il y a </w:t>
      </w:r>
      <w:r w:rsidR="00DD75BC">
        <w:t>un certain nombre</w:t>
      </w:r>
      <w:r>
        <w:t xml:space="preserve"> de chefs</w:t>
      </w:r>
      <w:r w:rsidR="00F137A7">
        <w:t xml:space="preserve"> qui sont </w:t>
      </w:r>
      <w:r w:rsidR="00233BEF">
        <w:t>préjudiciables</w:t>
      </w:r>
      <w:r w:rsidR="00F137A7">
        <w:t xml:space="preserve"> à l’accusé, ce dernier peut déposer </w:t>
      </w:r>
      <w:r w:rsidR="00F137A7">
        <w:lastRenderedPageBreak/>
        <w:t xml:space="preserve">une requête pour procès distinct. </w:t>
      </w:r>
      <w:r w:rsidR="001A3B28">
        <w:t>La défense demande de retirer un ou plusieurs chefs puisque ça cause pré</w:t>
      </w:r>
      <w:r w:rsidR="001B5A2B">
        <w:t>judice à l’accusé</w:t>
      </w:r>
      <w:r w:rsidR="00B22552">
        <w:t xml:space="preserve"> et qu’il avait prévu de témoigner au procès quant à l’autre chef</w:t>
      </w:r>
      <w:r w:rsidR="001B5A2B">
        <w:t>. Par exemple, lors d’un procès devant jury</w:t>
      </w:r>
      <w:r w:rsidR="006E2BB3">
        <w:t xml:space="preserve"> lorsque la preuve porte à confusion</w:t>
      </w:r>
      <w:r w:rsidR="001E7FC4">
        <w:t xml:space="preserve"> quant à un autre chef</w:t>
      </w:r>
      <w:r w:rsidR="009E12E5">
        <w:t xml:space="preserve">. </w:t>
      </w:r>
    </w:p>
    <w:p w14:paraId="5B942EF2" w14:textId="5ED9D9BF" w:rsidR="00107CA4" w:rsidRDefault="00107CA4" w:rsidP="00255AF5"/>
    <w:p w14:paraId="66835A70" w14:textId="35671A3D" w:rsidR="00107CA4" w:rsidRDefault="00107CA4" w:rsidP="00107CA4">
      <w:pPr>
        <w:pStyle w:val="ListParagraph"/>
        <w:numPr>
          <w:ilvl w:val="0"/>
          <w:numId w:val="3"/>
        </w:numPr>
      </w:pPr>
      <w:r>
        <w:t xml:space="preserve">Exemple : </w:t>
      </w:r>
      <w:r w:rsidR="00901892">
        <w:t>ex juge Jacques B</w:t>
      </w:r>
      <w:r w:rsidR="004D7021">
        <w:t>é</w:t>
      </w:r>
      <w:r w:rsidR="00901892">
        <w:t xml:space="preserve">lisle, accusé du meurtre de son épouse et un second chef pour possession d’une arme à autorisation restreinte. </w:t>
      </w:r>
      <w:r w:rsidR="008A4F38">
        <w:t>Lorsque le procès a débuté, la défense a dé</w:t>
      </w:r>
      <w:r w:rsidR="00636870">
        <w:t>posé</w:t>
      </w:r>
      <w:r w:rsidR="008A4F38">
        <w:t xml:space="preserve"> une requête </w:t>
      </w:r>
      <w:r w:rsidR="00442038">
        <w:t xml:space="preserve">pour procès </w:t>
      </w:r>
      <w:r w:rsidR="00E86DEF">
        <w:t xml:space="preserve">distinct </w:t>
      </w:r>
      <w:r w:rsidR="001C12DA">
        <w:t xml:space="preserve">en raison du fait que l’accusé voulait témoigner </w:t>
      </w:r>
      <w:r w:rsidR="0035192B">
        <w:t>dans le cadre du procès et que ce dernier ne voulait pas donner des explication</w:t>
      </w:r>
      <w:r w:rsidR="0010405B">
        <w:t xml:space="preserve">s quant </w:t>
      </w:r>
      <w:r w:rsidR="001D55D4">
        <w:t>à l’arme dont il était en possession. Il prévoyait un préjudice</w:t>
      </w:r>
      <w:r w:rsidR="00B40B58">
        <w:t xml:space="preserve">. </w:t>
      </w:r>
      <w:r w:rsidR="00A9664F">
        <w:t xml:space="preserve">Le juge présidant le procès a scindé </w:t>
      </w:r>
      <w:r w:rsidR="00BB66F9">
        <w:t xml:space="preserve">les chefs. </w:t>
      </w:r>
    </w:p>
    <w:p w14:paraId="69D99C39" w14:textId="5D01EDFC" w:rsidR="008123E8" w:rsidRDefault="008123E8" w:rsidP="00255AF5"/>
    <w:p w14:paraId="038E8589" w14:textId="2701E552" w:rsidR="006E67B3" w:rsidRPr="006E67B3" w:rsidRDefault="002767A8" w:rsidP="004672A5">
      <w:pPr>
        <w:pStyle w:val="ListParagraph"/>
        <w:numPr>
          <w:ilvl w:val="0"/>
          <w:numId w:val="12"/>
        </w:numPr>
      </w:pPr>
      <w:r>
        <w:t>Requête pour procès séparé</w:t>
      </w:r>
      <w:r w:rsidR="006E67B3">
        <w:t xml:space="preserve"> </w:t>
      </w:r>
      <w:r w:rsidR="004672A5" w:rsidRPr="006E67B3">
        <w:t>(</w:t>
      </w:r>
      <w:r w:rsidR="004672A5" w:rsidRPr="006E67B3">
        <w:rPr>
          <w:shd w:val="clear" w:color="auto" w:fill="00B0F0"/>
        </w:rPr>
        <w:t xml:space="preserve">art. </w:t>
      </w:r>
      <w:r w:rsidR="00397879">
        <w:rPr>
          <w:shd w:val="clear" w:color="auto" w:fill="00B0F0"/>
        </w:rPr>
        <w:t xml:space="preserve">591(4) </w:t>
      </w:r>
      <w:r w:rsidR="004672A5" w:rsidRPr="00397879">
        <w:rPr>
          <w:shd w:val="clear" w:color="auto" w:fill="00B0F0"/>
        </w:rPr>
        <w:t>C.cr</w:t>
      </w:r>
      <w:r w:rsidR="004672A5" w:rsidRPr="00397879">
        <w:t>.)</w:t>
      </w:r>
    </w:p>
    <w:p w14:paraId="7CB76856" w14:textId="77777777" w:rsidR="006E67B3" w:rsidRPr="00397879" w:rsidRDefault="006E67B3" w:rsidP="006E67B3"/>
    <w:p w14:paraId="26343C55" w14:textId="64B1CE7B" w:rsidR="001F3E86" w:rsidRDefault="00583C92" w:rsidP="006E67B3">
      <w:r w:rsidRPr="00501023">
        <w:t xml:space="preserve">Plus facile si on les accuse conjointement. </w:t>
      </w:r>
      <w:r w:rsidR="00501023" w:rsidRPr="000D0F03">
        <w:t>À partir du moment où on d</w:t>
      </w:r>
      <w:r w:rsidR="00332A2A">
        <w:t>é</w:t>
      </w:r>
      <w:r w:rsidR="00501023" w:rsidRPr="000D0F03">
        <w:t xml:space="preserve">cide de les poursuivre conjointement pour </w:t>
      </w:r>
      <w:r w:rsidR="00467B91">
        <w:t>une aventure commune</w:t>
      </w:r>
      <w:r w:rsidR="00687AA1">
        <w:t xml:space="preserve">, donc pour </w:t>
      </w:r>
      <w:r w:rsidR="00E27F1E">
        <w:t xml:space="preserve">les mêmes </w:t>
      </w:r>
      <w:r w:rsidR="00711C99">
        <w:t>infraction</w:t>
      </w:r>
      <w:r w:rsidR="00E27F1E">
        <w:t>s</w:t>
      </w:r>
      <w:r w:rsidR="00AD6250">
        <w:t xml:space="preserve">, la poursuite renonce </w:t>
      </w:r>
      <w:r w:rsidR="00AE2FF0">
        <w:t>à entendre les présumés complices l’un contre l’autre</w:t>
      </w:r>
      <w:r w:rsidR="009A3DA1">
        <w:t xml:space="preserve"> et peut aussi pr</w:t>
      </w:r>
      <w:r w:rsidR="001F3E86">
        <w:t>o</w:t>
      </w:r>
      <w:r w:rsidR="009A3DA1">
        <w:t xml:space="preserve">voquer chez la défense un préjudice quelconque. </w:t>
      </w:r>
    </w:p>
    <w:p w14:paraId="0DCB7AC9" w14:textId="77777777" w:rsidR="001F3E86" w:rsidRDefault="001F3E86" w:rsidP="006E67B3"/>
    <w:p w14:paraId="5EE2035A" w14:textId="4FDB8F47" w:rsidR="00C771EF" w:rsidRDefault="001F3E86" w:rsidP="001F3E86">
      <w:pPr>
        <w:pStyle w:val="ListParagraph"/>
        <w:numPr>
          <w:ilvl w:val="0"/>
          <w:numId w:val="3"/>
        </w:numPr>
      </w:pPr>
      <w:r>
        <w:t xml:space="preserve">Exemple : si un </w:t>
      </w:r>
      <w:r w:rsidR="00BB6838">
        <w:t xml:space="preserve">co-accusé </w:t>
      </w:r>
      <w:r w:rsidR="00B331C0">
        <w:t xml:space="preserve">a fait une déclaration extrajudiciaire aux policiers </w:t>
      </w:r>
      <w:r w:rsidR="00862BE9">
        <w:t xml:space="preserve">dans laquelle il admet sa participation et </w:t>
      </w:r>
      <w:r w:rsidR="0004374E">
        <w:t xml:space="preserve">parle de celle de ses collègues à cette aventure commune. </w:t>
      </w:r>
      <w:r w:rsidR="00B67DB0">
        <w:t xml:space="preserve">Préjudice aux autres </w:t>
      </w:r>
      <w:r w:rsidR="00A16D3E">
        <w:t xml:space="preserve">participants </w:t>
      </w:r>
      <w:r w:rsidR="008E11B1">
        <w:t xml:space="preserve">n’ayant pour leur part pas fait de déclaration. </w:t>
      </w:r>
      <w:r w:rsidR="001A6CE5">
        <w:t>Lorsque l’on se retrouve devant</w:t>
      </w:r>
      <w:r w:rsidR="0010173C">
        <w:t xml:space="preserve"> </w:t>
      </w:r>
      <w:r w:rsidR="00D739A2">
        <w:t>un jury, il y</w:t>
      </w:r>
      <w:r w:rsidR="00C771EF">
        <w:t xml:space="preserve"> </w:t>
      </w:r>
      <w:r w:rsidR="00D739A2">
        <w:t xml:space="preserve">a un danger de confusion. </w:t>
      </w:r>
    </w:p>
    <w:p w14:paraId="35148038" w14:textId="03EAFF5E" w:rsidR="00264ED4" w:rsidRDefault="00264ED4" w:rsidP="001F3E86">
      <w:pPr>
        <w:pStyle w:val="ListParagraph"/>
        <w:numPr>
          <w:ilvl w:val="0"/>
          <w:numId w:val="3"/>
        </w:numPr>
      </w:pPr>
      <w:r>
        <w:t xml:space="preserve">Ça peut être aussi </w:t>
      </w:r>
      <w:r w:rsidR="00C40824">
        <w:t xml:space="preserve">être </w:t>
      </w:r>
      <w:r>
        <w:t>le cas lorsque l’un des présumé</w:t>
      </w:r>
      <w:r w:rsidR="00E700FC">
        <w:t>s</w:t>
      </w:r>
      <w:r>
        <w:t xml:space="preserve"> complice</w:t>
      </w:r>
      <w:r w:rsidR="00E700FC">
        <w:t>s</w:t>
      </w:r>
      <w:r>
        <w:t xml:space="preserve"> </w:t>
      </w:r>
      <w:proofErr w:type="gramStart"/>
      <w:r>
        <w:t>a</w:t>
      </w:r>
      <w:proofErr w:type="gramEnd"/>
      <w:r>
        <w:t xml:space="preserve"> un</w:t>
      </w:r>
      <w:r w:rsidR="003C5A57">
        <w:t>e</w:t>
      </w:r>
      <w:r>
        <w:t xml:space="preserve"> part différente de responsabilité</w:t>
      </w:r>
      <w:r w:rsidR="004739B7">
        <w:t xml:space="preserve"> que les autres. </w:t>
      </w:r>
    </w:p>
    <w:p w14:paraId="22F9C3AA" w14:textId="08B2577B" w:rsidR="00C771EF" w:rsidRDefault="00C771EF" w:rsidP="0052004A"/>
    <w:p w14:paraId="3CD2AFAC" w14:textId="7A9D218F" w:rsidR="0052004A" w:rsidRDefault="001375A8" w:rsidP="001375A8">
      <w:pPr>
        <w:pStyle w:val="ListParagraph"/>
        <w:numPr>
          <w:ilvl w:val="0"/>
          <w:numId w:val="12"/>
        </w:numPr>
      </w:pPr>
      <w:r>
        <w:t xml:space="preserve">La requête </w:t>
      </w:r>
      <w:r w:rsidR="00CF7C97">
        <w:t xml:space="preserve">pour changement de venue </w:t>
      </w:r>
      <w:r w:rsidR="00CF7C97" w:rsidRPr="000D0F03">
        <w:t>(</w:t>
      </w:r>
      <w:r w:rsidR="00CF7C97" w:rsidRPr="00C771EF">
        <w:rPr>
          <w:shd w:val="clear" w:color="auto" w:fill="00B0F0"/>
        </w:rPr>
        <w:t>art.</w:t>
      </w:r>
      <w:r w:rsidR="003D5CE1">
        <w:rPr>
          <w:shd w:val="clear" w:color="auto" w:fill="00B0F0"/>
        </w:rPr>
        <w:t xml:space="preserve"> 599</w:t>
      </w:r>
      <w:r w:rsidR="00CF7C97" w:rsidRPr="00C771EF">
        <w:rPr>
          <w:shd w:val="clear" w:color="auto" w:fill="00B0F0"/>
        </w:rPr>
        <w:t xml:space="preserve"> </w:t>
      </w:r>
      <w:r w:rsidR="00CF7C97" w:rsidRPr="003D5CE1">
        <w:rPr>
          <w:shd w:val="clear" w:color="auto" w:fill="00B0F0"/>
        </w:rPr>
        <w:t>C.cr</w:t>
      </w:r>
      <w:r w:rsidR="00CF7C97" w:rsidRPr="003D5CE1">
        <w:t>.)</w:t>
      </w:r>
    </w:p>
    <w:p w14:paraId="1206E2C0" w14:textId="77777777" w:rsidR="0052004A" w:rsidRDefault="0052004A" w:rsidP="0052004A"/>
    <w:p w14:paraId="3DF79009" w14:textId="45CC4AD0" w:rsidR="0031488C" w:rsidRDefault="00CF7C97" w:rsidP="00C771EF">
      <w:r>
        <w:t xml:space="preserve">La cause entendue </w:t>
      </w:r>
      <w:r w:rsidR="0054433D">
        <w:t>a provoqué une réaction médiatique fort importante da</w:t>
      </w:r>
      <w:r w:rsidR="008D4350">
        <w:t>n</w:t>
      </w:r>
      <w:r w:rsidR="0054433D">
        <w:t xml:space="preserve">s un district donné. Il sera ainsi difficile </w:t>
      </w:r>
      <w:r w:rsidR="001C60B1">
        <w:t>voire</w:t>
      </w:r>
      <w:r w:rsidR="0054433D">
        <w:t xml:space="preserve"> impossible de trouver un jury de 12 personnes qui n’ont pas été contaminées par la couverture médiatique. </w:t>
      </w:r>
      <w:r w:rsidR="008D4350">
        <w:t>Dans cette situation, nous pouvons demand</w:t>
      </w:r>
      <w:r w:rsidR="00C15C18">
        <w:t>er</w:t>
      </w:r>
      <w:r w:rsidR="008D4350">
        <w:t xml:space="preserve"> que le procès se tienne dans un autre district</w:t>
      </w:r>
      <w:r w:rsidR="003D5CE1">
        <w:t xml:space="preserve"> pour que l’accusé ait droit à un défense pleine et entière. Ce n’est pas uniquement en matière de jury</w:t>
      </w:r>
      <w:r w:rsidR="005711CA">
        <w:t xml:space="preserve">, mais lorsque l’intérêt de la justice </w:t>
      </w:r>
      <w:r w:rsidR="002D203E">
        <w:t>le prime.</w:t>
      </w:r>
    </w:p>
    <w:p w14:paraId="20B67D9B" w14:textId="00416B4D" w:rsidR="0031488C" w:rsidRDefault="0031488C" w:rsidP="00C771EF"/>
    <w:p w14:paraId="68BE084A" w14:textId="75FA2359" w:rsidR="00F8097F" w:rsidRDefault="00B3630E" w:rsidP="00AF2313">
      <w:pPr>
        <w:pStyle w:val="ListParagraph"/>
        <w:numPr>
          <w:ilvl w:val="0"/>
          <w:numId w:val="12"/>
        </w:numPr>
      </w:pPr>
      <w:r>
        <w:t xml:space="preserve">La requête </w:t>
      </w:r>
      <w:r w:rsidR="00CC2693">
        <w:t>pour le rejet de l’acte d’accusation</w:t>
      </w:r>
    </w:p>
    <w:p w14:paraId="06E993F8" w14:textId="77777777" w:rsidR="00F8097F" w:rsidRDefault="00F8097F" w:rsidP="00C771EF"/>
    <w:p w14:paraId="201CC51B" w14:textId="042F9A1A" w:rsidR="00AF4805" w:rsidRDefault="0067567E" w:rsidP="00C771EF">
      <w:r>
        <w:t>Avant que le plaidoyer soit enregistré. C’est le cas lorsque les éléments constitutifs de l’infraction ne se retrouve pas dans le libellé de l’acte d’accusation</w:t>
      </w:r>
      <w:r w:rsidR="00951070">
        <w:t xml:space="preserve"> de tel sorte q</w:t>
      </w:r>
      <w:r w:rsidR="004D3FBA">
        <w:t>u</w:t>
      </w:r>
      <w:r w:rsidR="00951070">
        <w:t xml:space="preserve">’il y a des vices importants ne pouvant justifier un verdict de culpabilité. </w:t>
      </w:r>
      <w:r w:rsidR="00A32360">
        <w:t>Cela provoque un rejet de l’acte d’accusation. Il ne provoque pas un acquittement</w:t>
      </w:r>
      <w:r w:rsidR="00FA40A3">
        <w:t xml:space="preserve"> puisque l’individu n’avait pas plaider coupable, mais un </w:t>
      </w:r>
      <w:r w:rsidR="005551BB">
        <w:t>nouvel</w:t>
      </w:r>
      <w:r w:rsidR="00FA40A3">
        <w:t xml:space="preserve"> acte peut à ce moment-là être transmis</w:t>
      </w:r>
      <w:r w:rsidR="00E83451">
        <w:t xml:space="preserve"> avec les corrections apportées. </w:t>
      </w:r>
    </w:p>
    <w:p w14:paraId="5E1874F6" w14:textId="77777777" w:rsidR="00AF4805" w:rsidRDefault="00AF4805" w:rsidP="00C771EF"/>
    <w:p w14:paraId="73635AF4" w14:textId="4EBD8AD2" w:rsidR="004672A5" w:rsidRPr="006E67B3" w:rsidRDefault="002F47E7" w:rsidP="00C771EF">
      <w:r>
        <w:t>Ce type de requête est de plus en plus difficile</w:t>
      </w:r>
      <w:r w:rsidR="005551BB">
        <w:t xml:space="preserve"> puisque les actes sont préparés par l’entremise de logiciel.</w:t>
      </w:r>
      <w:r>
        <w:t xml:space="preserve"> </w:t>
      </w:r>
    </w:p>
    <w:p w14:paraId="6E975BD4" w14:textId="588378EC" w:rsidR="00174CB1" w:rsidRPr="000A5BD2" w:rsidRDefault="00174CB1" w:rsidP="004672A5"/>
    <w:p w14:paraId="46C2DF62" w14:textId="59EE362B" w:rsidR="007C0808" w:rsidRPr="007C0808" w:rsidRDefault="007C0808" w:rsidP="007C0808">
      <w:pPr>
        <w:pStyle w:val="ListParagraph"/>
        <w:numPr>
          <w:ilvl w:val="0"/>
          <w:numId w:val="12"/>
        </w:numPr>
      </w:pPr>
      <w:r w:rsidRPr="007C0808">
        <w:t>La requête pour modification de l’</w:t>
      </w:r>
      <w:r>
        <w:t>acte d’accusation</w:t>
      </w:r>
      <w:r w:rsidR="00F61421">
        <w:t xml:space="preserve"> </w:t>
      </w:r>
      <w:r w:rsidR="00F61421" w:rsidRPr="007C0808">
        <w:t>(</w:t>
      </w:r>
      <w:r w:rsidR="00F61421" w:rsidRPr="007C0808">
        <w:rPr>
          <w:shd w:val="clear" w:color="auto" w:fill="00B0F0"/>
        </w:rPr>
        <w:t xml:space="preserve">art.  </w:t>
      </w:r>
      <w:r w:rsidR="00F61421">
        <w:rPr>
          <w:shd w:val="clear" w:color="auto" w:fill="00B0F0"/>
        </w:rPr>
        <w:t>601</w:t>
      </w:r>
      <w:r w:rsidR="00F61421" w:rsidRPr="007C0808">
        <w:rPr>
          <w:shd w:val="clear" w:color="auto" w:fill="00B0F0"/>
        </w:rPr>
        <w:t xml:space="preserve"> </w:t>
      </w:r>
      <w:r w:rsidR="00F61421" w:rsidRPr="002A6C74">
        <w:rPr>
          <w:shd w:val="clear" w:color="auto" w:fill="00B0F0"/>
          <w:lang w:val="en-US"/>
        </w:rPr>
        <w:t>C.cr</w:t>
      </w:r>
      <w:r w:rsidR="00F61421" w:rsidRPr="002A6C74">
        <w:rPr>
          <w:lang w:val="en-US"/>
        </w:rPr>
        <w:t>.)</w:t>
      </w:r>
    </w:p>
    <w:p w14:paraId="59BF5538" w14:textId="19FE933C" w:rsidR="007C0808" w:rsidRDefault="007C0808" w:rsidP="004672A5"/>
    <w:p w14:paraId="56633724" w14:textId="35590D26" w:rsidR="007C0808" w:rsidRDefault="007C0808" w:rsidP="004672A5">
      <w:r>
        <w:t>L’acte est erroné en raison de vice</w:t>
      </w:r>
      <w:r w:rsidR="00220180">
        <w:t>s</w:t>
      </w:r>
      <w:r>
        <w:t xml:space="preserve"> de forme</w:t>
      </w:r>
      <w:r w:rsidR="00220180">
        <w:t xml:space="preserve"> (dates modifiées par les témoignages des personnes)</w:t>
      </w:r>
      <w:r w:rsidR="00087694">
        <w:t xml:space="preserve">, de lieu, </w:t>
      </w:r>
    </w:p>
    <w:p w14:paraId="461AB4CA" w14:textId="345A41A6" w:rsidR="007C0808" w:rsidRDefault="007C0808" w:rsidP="004672A5"/>
    <w:p w14:paraId="08DB4379" w14:textId="5B9A3A3C" w:rsidR="00B522F4" w:rsidRPr="006C0315" w:rsidRDefault="00B522F4" w:rsidP="00B522F4">
      <w:pPr>
        <w:rPr>
          <w:b/>
          <w:bCs/>
        </w:rPr>
      </w:pPr>
      <w:r w:rsidRPr="006C0315">
        <w:rPr>
          <w:b/>
          <w:bCs/>
        </w:rPr>
        <w:lastRenderedPageBreak/>
        <w:t>Vrai</w:t>
      </w:r>
      <w:r w:rsidR="004E56D0" w:rsidRPr="006C0315">
        <w:rPr>
          <w:b/>
          <w:bCs/>
        </w:rPr>
        <w:t>/F</w:t>
      </w:r>
      <w:r w:rsidRPr="006C0315">
        <w:rPr>
          <w:b/>
          <w:bCs/>
        </w:rPr>
        <w:t>aux</w:t>
      </w:r>
    </w:p>
    <w:p w14:paraId="5EB82C48" w14:textId="77777777" w:rsidR="00B522F4" w:rsidRDefault="00B522F4" w:rsidP="00B522F4"/>
    <w:p w14:paraId="059544CA" w14:textId="5A87B041" w:rsidR="00B522F4" w:rsidRDefault="00B522F4" w:rsidP="00B522F4">
      <w:r>
        <w:t>L’accusé qui veut présenter une requête en rejet de l’acte d’accusation pourra le faire uniquement avant l’enregistrement de son plaidoyer.</w:t>
      </w:r>
    </w:p>
    <w:p w14:paraId="2DA3F2B7" w14:textId="605764C0" w:rsidR="00B522F4" w:rsidRDefault="00B522F4" w:rsidP="004672A5"/>
    <w:p w14:paraId="13C0FDC8" w14:textId="0080C2EA" w:rsidR="00C3732D" w:rsidRDefault="00D819F8" w:rsidP="004672A5">
      <w:r>
        <w:t xml:space="preserve">Faux, </w:t>
      </w:r>
      <w:r w:rsidR="00C3732D" w:rsidRPr="00C3732D">
        <w:t>si l’accusé veut présenter une telle requête après l’enregistrement de son plaidoyer, il devra obtenir le consentement de la cour (</w:t>
      </w:r>
      <w:r w:rsidR="00C3732D" w:rsidRPr="00C3732D">
        <w:rPr>
          <w:shd w:val="clear" w:color="auto" w:fill="00B0F0"/>
        </w:rPr>
        <w:t>art. 601 C.cr.</w:t>
      </w:r>
      <w:r w:rsidR="00C3732D" w:rsidRPr="00C3732D">
        <w:t>).</w:t>
      </w:r>
    </w:p>
    <w:p w14:paraId="527D4853" w14:textId="77777777" w:rsidR="00ED076F" w:rsidRPr="007C0808" w:rsidRDefault="00ED076F" w:rsidP="004672A5"/>
    <w:p w14:paraId="12B6F27B" w14:textId="5C74F990" w:rsidR="00174CB1" w:rsidRPr="007C0808" w:rsidRDefault="00174CB1" w:rsidP="00ED076F">
      <w:pPr>
        <w:pStyle w:val="Heading2"/>
        <w:numPr>
          <w:ilvl w:val="0"/>
          <w:numId w:val="10"/>
        </w:numPr>
      </w:pPr>
      <w:r w:rsidRPr="007C0808">
        <w:t>Les plaidoyers</w:t>
      </w:r>
    </w:p>
    <w:p w14:paraId="64C4F22D" w14:textId="728B9BBC" w:rsidR="00174CB1" w:rsidRPr="007C0808" w:rsidRDefault="00174CB1" w:rsidP="004672A5"/>
    <w:p w14:paraId="5DFC4BD7" w14:textId="7CB3EF1B" w:rsidR="005E2063" w:rsidRDefault="00425583" w:rsidP="004672A5">
      <w:r>
        <w:t>La situation va vari</w:t>
      </w:r>
      <w:r w:rsidR="00512880">
        <w:t>er</w:t>
      </w:r>
      <w:r>
        <w:t xml:space="preserve"> en fonction qu’il s’agisse</w:t>
      </w:r>
      <w:r w:rsidR="005E2063">
        <w:t> :</w:t>
      </w:r>
    </w:p>
    <w:p w14:paraId="4322D102" w14:textId="77777777" w:rsidR="00CC2433" w:rsidRDefault="00CC2433" w:rsidP="004672A5"/>
    <w:p w14:paraId="164D90F3" w14:textId="38BE8AD3" w:rsidR="004A73E7" w:rsidRPr="004A73E7" w:rsidRDefault="005E2063" w:rsidP="005E2063">
      <w:pPr>
        <w:pStyle w:val="ListParagraph"/>
        <w:numPr>
          <w:ilvl w:val="0"/>
          <w:numId w:val="3"/>
        </w:numPr>
      </w:pPr>
      <w:proofErr w:type="gramStart"/>
      <w:r>
        <w:t>d</w:t>
      </w:r>
      <w:r w:rsidR="00425583">
        <w:t>’une</w:t>
      </w:r>
      <w:proofErr w:type="gramEnd"/>
      <w:r w:rsidR="00425583">
        <w:t xml:space="preserve"> déclaration sommaire de culpabilité </w:t>
      </w:r>
      <w:r w:rsidR="004672A5" w:rsidRPr="007C0808">
        <w:t>(</w:t>
      </w:r>
      <w:r w:rsidR="004672A5" w:rsidRPr="005E2063">
        <w:rPr>
          <w:shd w:val="clear" w:color="auto" w:fill="00B0F0"/>
        </w:rPr>
        <w:t xml:space="preserve">art.  </w:t>
      </w:r>
      <w:r w:rsidR="009B3113" w:rsidRPr="005E2063">
        <w:rPr>
          <w:shd w:val="clear" w:color="auto" w:fill="00B0F0"/>
        </w:rPr>
        <w:t>785 et ss</w:t>
      </w:r>
      <w:r w:rsidR="004672A5" w:rsidRPr="005E2063">
        <w:rPr>
          <w:shd w:val="clear" w:color="auto" w:fill="00B0F0"/>
        </w:rPr>
        <w:t xml:space="preserve"> C.cr</w:t>
      </w:r>
      <w:r w:rsidR="004672A5" w:rsidRPr="005E2063">
        <w:t>.)</w:t>
      </w:r>
      <w:r w:rsidRPr="005E2063">
        <w:t xml:space="preserve"> : </w:t>
      </w:r>
      <w:r>
        <w:t xml:space="preserve">l’accusé sera appelé à </w:t>
      </w:r>
      <w:r w:rsidR="004A73E7">
        <w:t xml:space="preserve">enregistrer un </w:t>
      </w:r>
      <w:r>
        <w:t xml:space="preserve">plaidoyer </w:t>
      </w:r>
      <w:r w:rsidR="004672A5" w:rsidRPr="005E2063">
        <w:t>(</w:t>
      </w:r>
      <w:r w:rsidR="004672A5" w:rsidRPr="005E2063">
        <w:rPr>
          <w:shd w:val="clear" w:color="auto" w:fill="00B0F0"/>
        </w:rPr>
        <w:t>art.</w:t>
      </w:r>
      <w:r>
        <w:rPr>
          <w:shd w:val="clear" w:color="auto" w:fill="00B0F0"/>
        </w:rPr>
        <w:t xml:space="preserve"> 801</w:t>
      </w:r>
      <w:r w:rsidR="00F5321D">
        <w:rPr>
          <w:shd w:val="clear" w:color="auto" w:fill="00B0F0"/>
        </w:rPr>
        <w:t xml:space="preserve"> (1) a)</w:t>
      </w:r>
      <w:r>
        <w:rPr>
          <w:shd w:val="clear" w:color="auto" w:fill="00B0F0"/>
        </w:rPr>
        <w:t xml:space="preserve"> </w:t>
      </w:r>
      <w:r w:rsidR="004672A5" w:rsidRPr="005E2063">
        <w:rPr>
          <w:shd w:val="clear" w:color="auto" w:fill="00B0F0"/>
        </w:rPr>
        <w:t>C.cr</w:t>
      </w:r>
      <w:r w:rsidR="004672A5" w:rsidRPr="005E2063">
        <w:t>.</w:t>
      </w:r>
      <w:r w:rsidR="004A73E7">
        <w:t>)</w:t>
      </w:r>
    </w:p>
    <w:p w14:paraId="2317E08D" w14:textId="7B190BF4" w:rsidR="00EA05D1" w:rsidRPr="008F2593" w:rsidRDefault="001E4F4D" w:rsidP="00572E28">
      <w:pPr>
        <w:pStyle w:val="ListParagraph"/>
        <w:numPr>
          <w:ilvl w:val="0"/>
          <w:numId w:val="3"/>
        </w:numPr>
      </w:pPr>
      <w:proofErr w:type="gramStart"/>
      <w:r>
        <w:t>d’une</w:t>
      </w:r>
      <w:proofErr w:type="gramEnd"/>
      <w:r>
        <w:t xml:space="preserve"> déclaration </w:t>
      </w:r>
      <w:r w:rsidR="00F25A00">
        <w:t>p</w:t>
      </w:r>
      <w:r w:rsidR="00D6005C">
        <w:t>ar</w:t>
      </w:r>
      <w:r w:rsidR="00F25A00">
        <w:t xml:space="preserve"> acte criminel </w:t>
      </w:r>
      <w:r w:rsidR="00D6005C">
        <w:t>pour une infraction figurant à l’</w:t>
      </w:r>
      <w:r w:rsidR="004672A5" w:rsidRPr="00A225DB">
        <w:rPr>
          <w:shd w:val="clear" w:color="auto" w:fill="00B0F0"/>
        </w:rPr>
        <w:t xml:space="preserve">art. </w:t>
      </w:r>
      <w:r w:rsidR="00F25A00" w:rsidRPr="00A225DB">
        <w:rPr>
          <w:shd w:val="clear" w:color="auto" w:fill="00B0F0"/>
        </w:rPr>
        <w:t>553</w:t>
      </w:r>
      <w:r w:rsidR="004672A5" w:rsidRPr="00A225DB">
        <w:rPr>
          <w:shd w:val="clear" w:color="auto" w:fill="00B0F0"/>
        </w:rPr>
        <w:t xml:space="preserve"> C.cr</w:t>
      </w:r>
      <w:r w:rsidR="004672A5" w:rsidRPr="00F25A00">
        <w:t>.</w:t>
      </w:r>
      <w:r w:rsidR="006544CE">
        <w:t> : doit aussi enregistrer un</w:t>
      </w:r>
      <w:r w:rsidR="007F1805">
        <w:t xml:space="preserve"> </w:t>
      </w:r>
      <w:r w:rsidR="006544CE">
        <w:t xml:space="preserve">plaidoyer </w:t>
      </w:r>
      <w:r w:rsidR="00666579">
        <w:t>lorsqu’</w:t>
      </w:r>
      <w:r w:rsidR="00A95DC1">
        <w:t>on lui li la dénonciation</w:t>
      </w:r>
      <w:r w:rsidR="00EA05D1">
        <w:t xml:space="preserve">. </w:t>
      </w:r>
      <w:r w:rsidR="00FA5B5E">
        <w:t>Dans cette situation la dénonciation vaut un acte d’accusation</w:t>
      </w:r>
      <w:r w:rsidR="008F2593">
        <w:t>. Lorsqu’il est question de la juridiction d’un juge de la Cour provinciale pour un acte criminel sous l’</w:t>
      </w:r>
      <w:r w:rsidR="008F2593" w:rsidRPr="00A225DB">
        <w:rPr>
          <w:shd w:val="clear" w:color="auto" w:fill="00B0F0"/>
        </w:rPr>
        <w:t>art. 553 C.cr</w:t>
      </w:r>
      <w:r w:rsidR="008F2593" w:rsidRPr="00C615E2">
        <w:t>.</w:t>
      </w:r>
      <w:r w:rsidR="008F2593">
        <w:t xml:space="preserve">, on doit se référer </w:t>
      </w:r>
      <w:r w:rsidR="00E33811">
        <w:t>à l’</w:t>
      </w:r>
      <w:r w:rsidR="008F2593" w:rsidRPr="00A225DB">
        <w:rPr>
          <w:shd w:val="clear" w:color="auto" w:fill="00B0F0"/>
        </w:rPr>
        <w:t>art.</w:t>
      </w:r>
      <w:r w:rsidR="006E4D8C">
        <w:rPr>
          <w:shd w:val="clear" w:color="auto" w:fill="00B0F0"/>
        </w:rPr>
        <w:t xml:space="preserve"> </w:t>
      </w:r>
      <w:r w:rsidR="008F2593" w:rsidRPr="00A225DB">
        <w:rPr>
          <w:shd w:val="clear" w:color="auto" w:fill="00B0F0"/>
        </w:rPr>
        <w:t>536</w:t>
      </w:r>
      <w:r w:rsidR="00DC0F7E">
        <w:rPr>
          <w:shd w:val="clear" w:color="auto" w:fill="00B0F0"/>
        </w:rPr>
        <w:t> </w:t>
      </w:r>
      <w:r w:rsidR="008F2593" w:rsidRPr="00A225DB">
        <w:rPr>
          <w:shd w:val="clear" w:color="auto" w:fill="00B0F0"/>
        </w:rPr>
        <w:t>(3) C.cr</w:t>
      </w:r>
      <w:r w:rsidR="008F2593" w:rsidRPr="00F51995">
        <w:t>.</w:t>
      </w:r>
      <w:r w:rsidR="00AE677A">
        <w:t xml:space="preserve"> </w:t>
      </w:r>
      <w:proofErr w:type="gramStart"/>
      <w:r w:rsidR="00F6769E">
        <w:t>mentionnant</w:t>
      </w:r>
      <w:proofErr w:type="gramEnd"/>
      <w:r w:rsidR="00F6769E">
        <w:t xml:space="preserve"> que</w:t>
      </w:r>
      <w:r w:rsidR="008F2593">
        <w:t xml:space="preserve"> la lecture de la dénonciation équivaut à un acte d’accusation. </w:t>
      </w:r>
    </w:p>
    <w:p w14:paraId="503094FC" w14:textId="31E6C63B" w:rsidR="00D04091" w:rsidRPr="00D04091" w:rsidRDefault="002F4618" w:rsidP="00D04091">
      <w:pPr>
        <w:pStyle w:val="ListParagraph"/>
        <w:numPr>
          <w:ilvl w:val="0"/>
          <w:numId w:val="3"/>
        </w:numPr>
      </w:pPr>
      <w:proofErr w:type="gramStart"/>
      <w:r>
        <w:t>d’</w:t>
      </w:r>
      <w:r w:rsidR="00FA5B5E">
        <w:t>une</w:t>
      </w:r>
      <w:proofErr w:type="gramEnd"/>
      <w:r w:rsidR="00FA5B5E">
        <w:t xml:space="preserve"> </w:t>
      </w:r>
      <w:r w:rsidR="00865EDA">
        <w:t>déclaration pour un acte criminel autre que ceux de l’</w:t>
      </w:r>
      <w:r w:rsidR="004672A5" w:rsidRPr="006544CE">
        <w:rPr>
          <w:shd w:val="clear" w:color="auto" w:fill="00B0F0"/>
        </w:rPr>
        <w:t xml:space="preserve">art. </w:t>
      </w:r>
      <w:r w:rsidR="00865EDA">
        <w:rPr>
          <w:shd w:val="clear" w:color="auto" w:fill="00B0F0"/>
        </w:rPr>
        <w:t>469</w:t>
      </w:r>
      <w:r w:rsidR="004672A5" w:rsidRPr="006544CE">
        <w:rPr>
          <w:shd w:val="clear" w:color="auto" w:fill="00B0F0"/>
        </w:rPr>
        <w:t xml:space="preserve"> </w:t>
      </w:r>
      <w:r w:rsidR="004672A5" w:rsidRPr="00865EDA">
        <w:rPr>
          <w:shd w:val="clear" w:color="auto" w:fill="00B0F0"/>
        </w:rPr>
        <w:t>C.cr</w:t>
      </w:r>
      <w:r w:rsidR="004672A5" w:rsidRPr="00865EDA">
        <w:t>.</w:t>
      </w:r>
      <w:r w:rsidR="00865EDA">
        <w:t xml:space="preserve"> </w:t>
      </w:r>
      <w:proofErr w:type="gramStart"/>
      <w:r w:rsidR="00C04B21">
        <w:t>et</w:t>
      </w:r>
      <w:proofErr w:type="gramEnd"/>
      <w:r w:rsidR="00C04B21">
        <w:t xml:space="preserve"> de l’</w:t>
      </w:r>
      <w:r w:rsidR="004672A5" w:rsidRPr="00865EDA">
        <w:rPr>
          <w:shd w:val="clear" w:color="auto" w:fill="00B0F0"/>
        </w:rPr>
        <w:t xml:space="preserve">art. </w:t>
      </w:r>
      <w:r w:rsidR="00C04B21">
        <w:rPr>
          <w:shd w:val="clear" w:color="auto" w:fill="00B0F0"/>
        </w:rPr>
        <w:t>553</w:t>
      </w:r>
      <w:r w:rsidR="004672A5" w:rsidRPr="00865EDA">
        <w:rPr>
          <w:shd w:val="clear" w:color="auto" w:fill="00B0F0"/>
        </w:rPr>
        <w:t xml:space="preserve"> </w:t>
      </w:r>
      <w:r w:rsidR="004672A5" w:rsidRPr="0051298F">
        <w:rPr>
          <w:shd w:val="clear" w:color="auto" w:fill="00B0F0"/>
        </w:rPr>
        <w:t>C.cr</w:t>
      </w:r>
      <w:r w:rsidR="004672A5" w:rsidRPr="0051298F">
        <w:t>.</w:t>
      </w:r>
      <w:r w:rsidR="0051298F">
        <w:t xml:space="preserve"> : permet d’avoir le </w:t>
      </w:r>
      <w:r w:rsidR="008A6661">
        <w:t>triple</w:t>
      </w:r>
      <w:r w:rsidR="0051298F">
        <w:t xml:space="preserve"> choix de procès</w:t>
      </w:r>
      <w:r w:rsidR="009016C4">
        <w:t>. Lorsque le choix est porté pour un juge avec jury et juge sans jury</w:t>
      </w:r>
      <w:r w:rsidR="000D2A2A">
        <w:t xml:space="preserve">, </w:t>
      </w:r>
      <w:r w:rsidR="00E2618D">
        <w:t>la personne comparaissant n’est pas face à une dénonciation équivalente à un plaidoyer</w:t>
      </w:r>
      <w:r w:rsidR="00627863">
        <w:t xml:space="preserve">. Elle n’est pas en situation de danger </w:t>
      </w:r>
      <w:r w:rsidR="00735072">
        <w:t>puisqu’</w:t>
      </w:r>
      <w:r w:rsidR="00F073C1">
        <w:t xml:space="preserve">on va lui lire la dénonciation </w:t>
      </w:r>
      <w:r w:rsidR="00EE21D1">
        <w:t>et lui demander de faire un choix de procès. Un peu plus tard dans le temps, l’accusé pourra enregistrer son plaidoyer</w:t>
      </w:r>
      <w:r w:rsidR="00E61552">
        <w:t xml:space="preserve"> afin qu’il puisse rendre connaissance de la preuve. </w:t>
      </w:r>
      <w:r w:rsidR="00D04091" w:rsidRPr="00D04091">
        <w:t>Lorsqu</w:t>
      </w:r>
      <w:r w:rsidR="00D04091">
        <w:t xml:space="preserve">’il s’agit d’un acte criminel </w:t>
      </w:r>
      <w:r w:rsidR="00C6115F">
        <w:t>qui nécessite une enquête préliminaire ou pas, l’acte criminel devient un acte d’accusa</w:t>
      </w:r>
      <w:r w:rsidR="00E04C84">
        <w:t>ti</w:t>
      </w:r>
      <w:r w:rsidR="00C6115F">
        <w:t xml:space="preserve">on lorsqu’on est devant un juge avec jury ou sans et que </w:t>
      </w:r>
      <w:r w:rsidR="00F01ACF">
        <w:t xml:space="preserve">le PPCP déposera </w:t>
      </w:r>
      <w:r w:rsidR="00ED48E5">
        <w:t xml:space="preserve">l’acte d’accusation. </w:t>
      </w:r>
      <w:r w:rsidR="00DE699A">
        <w:t>Une fois la lecture de l’acte sera faite, l’accusé déposera</w:t>
      </w:r>
      <w:r w:rsidR="00DC5FE6">
        <w:t xml:space="preserve"> son plaidoyer. </w:t>
      </w:r>
      <w:r w:rsidR="00CF1AF3" w:rsidRPr="003108A6">
        <w:t xml:space="preserve">Pour le choix d’être jugé par un juge avec jury ou non, les </w:t>
      </w:r>
      <w:r w:rsidR="00CF1AF3">
        <w:t>arts pertinents quant au dépôt</w:t>
      </w:r>
      <w:r w:rsidR="00412AE5">
        <w:t xml:space="preserve"> de l’</w:t>
      </w:r>
      <w:r w:rsidR="00AB0E41">
        <w:t>a</w:t>
      </w:r>
      <w:r w:rsidR="00412AE5">
        <w:t xml:space="preserve">cte d’accusation </w:t>
      </w:r>
      <w:r w:rsidR="0011163F">
        <w:t>(</w:t>
      </w:r>
      <w:r w:rsidR="00CF1AF3" w:rsidRPr="003108A6">
        <w:rPr>
          <w:shd w:val="clear" w:color="auto" w:fill="00B0F0"/>
        </w:rPr>
        <w:t>art</w:t>
      </w:r>
      <w:r w:rsidR="00CF1AF3">
        <w:rPr>
          <w:shd w:val="clear" w:color="auto" w:fill="00B0F0"/>
        </w:rPr>
        <w:t>s</w:t>
      </w:r>
      <w:r w:rsidR="00CF1AF3" w:rsidRPr="003108A6">
        <w:rPr>
          <w:shd w:val="clear" w:color="auto" w:fill="00B0F0"/>
        </w:rPr>
        <w:t xml:space="preserve">.  </w:t>
      </w:r>
      <w:r w:rsidR="00412AE5">
        <w:rPr>
          <w:shd w:val="clear" w:color="auto" w:fill="00B0F0"/>
        </w:rPr>
        <w:t>566 et 568</w:t>
      </w:r>
      <w:r w:rsidR="00CF1AF3" w:rsidRPr="003108A6">
        <w:rPr>
          <w:shd w:val="clear" w:color="auto" w:fill="00B0F0"/>
        </w:rPr>
        <w:t xml:space="preserve"> </w:t>
      </w:r>
      <w:r w:rsidR="00CF1AF3" w:rsidRPr="00412AE5">
        <w:rPr>
          <w:shd w:val="clear" w:color="auto" w:fill="00B0F0"/>
        </w:rPr>
        <w:t>C.cr</w:t>
      </w:r>
      <w:r w:rsidR="00CF1AF3" w:rsidRPr="00412AE5">
        <w:t>.)</w:t>
      </w:r>
      <w:r w:rsidR="008F2593">
        <w:t>.</w:t>
      </w:r>
    </w:p>
    <w:p w14:paraId="01AEF0E6" w14:textId="77777777" w:rsidR="00A06439" w:rsidRDefault="00A06439" w:rsidP="00A06439"/>
    <w:p w14:paraId="076A0A09" w14:textId="270287EB" w:rsidR="002F46EC" w:rsidRDefault="001B48B2" w:rsidP="001B48B2">
      <w:pPr>
        <w:pStyle w:val="Heading2"/>
      </w:pPr>
      <w:r>
        <w:t xml:space="preserve">La chose jugée </w:t>
      </w:r>
    </w:p>
    <w:p w14:paraId="2BD9429A" w14:textId="77777777" w:rsidR="001B48B2" w:rsidRDefault="001B48B2" w:rsidP="00A06439"/>
    <w:p w14:paraId="21DCED8D" w14:textId="1AFDD9D8" w:rsidR="00892C7C" w:rsidRDefault="009B722F" w:rsidP="004672A5">
      <w:r w:rsidRPr="009B722F">
        <w:t>Nous reprochons à une personne des infractions, mais comportant se</w:t>
      </w:r>
      <w:r>
        <w:t xml:space="preserve">nsiblement les </w:t>
      </w:r>
      <w:r w:rsidR="00F27A07">
        <w:t>mêm</w:t>
      </w:r>
      <w:r w:rsidR="004E3949">
        <w:t xml:space="preserve">es </w:t>
      </w:r>
      <w:r>
        <w:t>éléments essentiels</w:t>
      </w:r>
      <w:r w:rsidR="006D2EBD">
        <w:t>. Il est donc impossible</w:t>
      </w:r>
      <w:r w:rsidR="00CD64C9">
        <w:t xml:space="preserve"> </w:t>
      </w:r>
      <w:r w:rsidR="006D2EBD">
        <w:t>que la personne soit reconnue coupable de ces</w:t>
      </w:r>
      <w:r w:rsidR="005B7F34">
        <w:t xml:space="preserve"> mêmes gestes</w:t>
      </w:r>
      <w:r w:rsidR="006D2EBD">
        <w:t xml:space="preserve"> </w:t>
      </w:r>
      <w:r w:rsidR="00261EAF">
        <w:t xml:space="preserve">en les divisant en plusieurs infractions. </w:t>
      </w:r>
      <w:r w:rsidR="00374A5E">
        <w:t xml:space="preserve">Principe de l’arrêt </w:t>
      </w:r>
      <w:r w:rsidR="00834362" w:rsidRPr="00834362">
        <w:rPr>
          <w:i/>
          <w:iCs/>
        </w:rPr>
        <w:t>Kienapple</w:t>
      </w:r>
      <w:r w:rsidR="00834362">
        <w:t xml:space="preserve"> **</w:t>
      </w:r>
    </w:p>
    <w:p w14:paraId="516DC10E" w14:textId="77777777" w:rsidR="00CE3A2E" w:rsidRDefault="00CE3A2E" w:rsidP="004672A5"/>
    <w:p w14:paraId="2AE116E6" w14:textId="17EDE2B4" w:rsidR="002732E3" w:rsidRDefault="00A52912" w:rsidP="00CE3A2E">
      <w:pPr>
        <w:pStyle w:val="ListParagraph"/>
        <w:numPr>
          <w:ilvl w:val="0"/>
          <w:numId w:val="3"/>
        </w:numPr>
      </w:pPr>
      <w:r>
        <w:t xml:space="preserve">Exemple : </w:t>
      </w:r>
      <w:r w:rsidR="001E5F39">
        <w:t xml:space="preserve">Je peux être arrêté pour </w:t>
      </w:r>
      <w:r>
        <w:t xml:space="preserve">conduite avec les capacités affaiblies </w:t>
      </w:r>
      <w:r w:rsidR="004672A5" w:rsidRPr="009B722F">
        <w:t>(</w:t>
      </w:r>
      <w:r w:rsidR="004672A5" w:rsidRPr="00CE3A2E">
        <w:rPr>
          <w:shd w:val="clear" w:color="auto" w:fill="00B0F0"/>
        </w:rPr>
        <w:t xml:space="preserve">art. </w:t>
      </w:r>
      <w:r w:rsidR="00635C29">
        <w:rPr>
          <w:shd w:val="clear" w:color="auto" w:fill="00B0F0"/>
        </w:rPr>
        <w:t>253</w:t>
      </w:r>
      <w:r w:rsidR="004672A5" w:rsidRPr="00CE3A2E">
        <w:rPr>
          <w:shd w:val="clear" w:color="auto" w:fill="00B0F0"/>
        </w:rPr>
        <w:t xml:space="preserve"> </w:t>
      </w:r>
      <w:r w:rsidR="004672A5" w:rsidRPr="001F70B5">
        <w:rPr>
          <w:shd w:val="clear" w:color="auto" w:fill="00B0F0"/>
        </w:rPr>
        <w:t>C.cr</w:t>
      </w:r>
      <w:r w:rsidR="004672A5" w:rsidRPr="001F70B5">
        <w:t xml:space="preserve">.) </w:t>
      </w:r>
      <w:r w:rsidR="00AF2EBE" w:rsidRPr="001F70B5">
        <w:t xml:space="preserve">et </w:t>
      </w:r>
      <w:r w:rsidR="00D26FB7">
        <w:t xml:space="preserve">d’avoir plus de 80 mg/100ml </w:t>
      </w:r>
      <w:r w:rsidR="00F70CA4">
        <w:t>de sang au moment de cette même conduite</w:t>
      </w:r>
      <w:r w:rsidR="00157F7C">
        <w:t xml:space="preserve"> (essentiellement, les règle de preuves sont différente, mais en principe nous voulons accuser la personne d’avoir conduit avec les facultés affaiblies)</w:t>
      </w:r>
      <w:r w:rsidR="00560E3D">
        <w:t xml:space="preserve">. </w:t>
      </w:r>
      <w:proofErr w:type="gramStart"/>
      <w:r w:rsidR="008770E5">
        <w:t>Par contre</w:t>
      </w:r>
      <w:proofErr w:type="gramEnd"/>
      <w:r w:rsidR="008770E5">
        <w:t xml:space="preserve">, </w:t>
      </w:r>
      <w:r w:rsidR="002732E3">
        <w:t xml:space="preserve">après que l’accusé plaide coupable au premier chef, </w:t>
      </w:r>
      <w:r w:rsidR="008770E5">
        <w:t xml:space="preserve">le juge va </w:t>
      </w:r>
      <w:r w:rsidR="00535234">
        <w:t>prononcer un arrêt</w:t>
      </w:r>
      <w:r w:rsidR="008E3F72">
        <w:t xml:space="preserve"> </w:t>
      </w:r>
      <w:r w:rsidR="00535234">
        <w:t>des procédures sur l</w:t>
      </w:r>
      <w:r w:rsidR="002732E3">
        <w:t>e second.</w:t>
      </w:r>
      <w:r w:rsidR="00157F7C">
        <w:t xml:space="preserve"> (C’est l’une ou l’autre)</w:t>
      </w:r>
    </w:p>
    <w:p w14:paraId="6226D45C" w14:textId="3835892B" w:rsidR="00416F25" w:rsidRDefault="002732E3" w:rsidP="000B5725">
      <w:pPr>
        <w:pStyle w:val="ListParagraph"/>
        <w:numPr>
          <w:ilvl w:val="0"/>
          <w:numId w:val="3"/>
        </w:numPr>
      </w:pPr>
      <w:r>
        <w:t xml:space="preserve">Exemple : Accusé de </w:t>
      </w:r>
      <w:r w:rsidRPr="00157F7C">
        <w:rPr>
          <w:u w:val="single"/>
        </w:rPr>
        <w:t>vol</w:t>
      </w:r>
      <w:r>
        <w:t xml:space="preserve"> </w:t>
      </w:r>
      <w:r w:rsidRPr="00157F7C">
        <w:rPr>
          <w:b/>
          <w:bCs/>
        </w:rPr>
        <w:t>et</w:t>
      </w:r>
      <w:r>
        <w:t xml:space="preserve"> de </w:t>
      </w:r>
      <w:r w:rsidR="00440267" w:rsidRPr="00157F7C">
        <w:rPr>
          <w:u w:val="single"/>
        </w:rPr>
        <w:t>recel</w:t>
      </w:r>
      <w:r w:rsidR="00494AEC">
        <w:t xml:space="preserve">. </w:t>
      </w:r>
      <w:r w:rsidR="00966310">
        <w:t>Preuve souvent par la preuve de la possession récente</w:t>
      </w:r>
      <w:r w:rsidR="000328FE">
        <w:t xml:space="preserve"> alors si la posses</w:t>
      </w:r>
      <w:r w:rsidR="00505125">
        <w:t>s</w:t>
      </w:r>
      <w:r w:rsidR="000328FE">
        <w:t xml:space="preserve">ion est </w:t>
      </w:r>
      <w:r w:rsidR="000328FE" w:rsidRPr="00157F7C">
        <w:rPr>
          <w:u w:val="single"/>
        </w:rPr>
        <w:t>trop proche du vol,</w:t>
      </w:r>
      <w:r w:rsidR="000328FE">
        <w:t xml:space="preserve"> le juge ne pourra </w:t>
      </w:r>
      <w:r w:rsidR="000328FE" w:rsidRPr="00157F7C">
        <w:rPr>
          <w:color w:val="FF0000"/>
        </w:rPr>
        <w:t>pas punir l’individu pour ces deux infractions</w:t>
      </w:r>
      <w:r w:rsidR="00444EC8" w:rsidRPr="00157F7C">
        <w:rPr>
          <w:color w:val="FF0000"/>
        </w:rPr>
        <w:t xml:space="preserve"> constituants les mêmes éléments essentiels</w:t>
      </w:r>
      <w:r w:rsidR="00157F7C">
        <w:t xml:space="preserve"> (puisque le vol implique </w:t>
      </w:r>
      <w:proofErr w:type="spellStart"/>
      <w:r w:rsidR="00157F7C">
        <w:t>necessairement</w:t>
      </w:r>
      <w:proofErr w:type="spellEnd"/>
      <w:r w:rsidR="00157F7C">
        <w:t xml:space="preserve"> la possession de l’objet volé)</w:t>
      </w:r>
      <w:r w:rsidR="00444EC8">
        <w:t xml:space="preserve">. </w:t>
      </w:r>
      <w:r w:rsidR="003F00EE">
        <w:t xml:space="preserve">Prononcera un verdict de culpabilité sur le vol ou le recel en fonction de la preuve et un retrait sur l’autre chef. </w:t>
      </w:r>
    </w:p>
    <w:p w14:paraId="18B82A03" w14:textId="70275C57" w:rsidR="000B5725" w:rsidRPr="00416F25" w:rsidRDefault="000B5725" w:rsidP="000B5725">
      <w:pPr>
        <w:rPr>
          <w:b/>
          <w:bCs/>
        </w:rPr>
      </w:pPr>
      <w:r w:rsidRPr="00416F25">
        <w:rPr>
          <w:b/>
          <w:bCs/>
        </w:rPr>
        <w:lastRenderedPageBreak/>
        <w:t>Vrai/Faux</w:t>
      </w:r>
    </w:p>
    <w:p w14:paraId="6C3075C0" w14:textId="77777777" w:rsidR="000B5725" w:rsidRDefault="000B5725" w:rsidP="000B5725"/>
    <w:p w14:paraId="56B5F653" w14:textId="1A223D97" w:rsidR="000B5725" w:rsidRDefault="000B5725" w:rsidP="000B5725">
      <w:r>
        <w:t>L’accusé peut plaider coupable à une autre infraction que celle pour laquelle il est inculpé, si l’infraction pour laquelle il se déclare coupable est moindre et incluse à l’acte reproché par l’acte d’accusation.</w:t>
      </w:r>
    </w:p>
    <w:p w14:paraId="2DB3DEE8" w14:textId="77777777" w:rsidR="000B5725" w:rsidRDefault="000B5725" w:rsidP="000B5725"/>
    <w:p w14:paraId="484F15B2" w14:textId="576E7D17" w:rsidR="004672A5" w:rsidRPr="00B85E59" w:rsidRDefault="00E15A49" w:rsidP="004672A5">
      <w:r>
        <w:t xml:space="preserve">Vrai, </w:t>
      </w:r>
      <w:r w:rsidRPr="00E15A49">
        <w:t>l’accusé peut plaider non coupable relativement à l’acte criminel, mais plaider coupable à une autre infraction ou à une infraction moindre et incluse. Le tribunal n’est pas tenu d’accepter le plaidoyer de culpabilité relatif à l’infraction moindre et incluse ou une autre infraction, mais il peut, à sa discrétion et avec le consentement du poursuivant, accepter un tel plaidoyer (</w:t>
      </w:r>
      <w:r w:rsidRPr="00BC2C82">
        <w:rPr>
          <w:shd w:val="clear" w:color="auto" w:fill="00B0F0"/>
        </w:rPr>
        <w:t>art. 606 (4) C.cr.</w:t>
      </w:r>
      <w:r w:rsidRPr="00E15A49">
        <w:t>).</w:t>
      </w:r>
    </w:p>
    <w:sectPr w:rsidR="004672A5" w:rsidRPr="00B85E59" w:rsidSect="00B925F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961"/>
    <w:multiLevelType w:val="hybridMultilevel"/>
    <w:tmpl w:val="1E24AEE2"/>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97D0248"/>
    <w:multiLevelType w:val="hybridMultilevel"/>
    <w:tmpl w:val="82E64716"/>
    <w:lvl w:ilvl="0" w:tplc="6D70BC6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1FD2618"/>
    <w:multiLevelType w:val="hybridMultilevel"/>
    <w:tmpl w:val="49BAFB2E"/>
    <w:lvl w:ilvl="0" w:tplc="30E8B5C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D683006"/>
    <w:multiLevelType w:val="hybridMultilevel"/>
    <w:tmpl w:val="0546B068"/>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5DF777D"/>
    <w:multiLevelType w:val="hybridMultilevel"/>
    <w:tmpl w:val="E134316E"/>
    <w:lvl w:ilvl="0" w:tplc="EB8CD9A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90F3E57"/>
    <w:multiLevelType w:val="hybridMultilevel"/>
    <w:tmpl w:val="35EADF2A"/>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45A7072"/>
    <w:multiLevelType w:val="hybridMultilevel"/>
    <w:tmpl w:val="3C9A56D8"/>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46B0B1E"/>
    <w:multiLevelType w:val="hybridMultilevel"/>
    <w:tmpl w:val="C5D2B7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9676CC"/>
    <w:multiLevelType w:val="hybridMultilevel"/>
    <w:tmpl w:val="C5D2B7CC"/>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8BF5A3B"/>
    <w:multiLevelType w:val="hybridMultilevel"/>
    <w:tmpl w:val="0A967688"/>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CD4521A"/>
    <w:multiLevelType w:val="hybridMultilevel"/>
    <w:tmpl w:val="C75EE34A"/>
    <w:lvl w:ilvl="0" w:tplc="EA2C587A">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BE02196"/>
    <w:multiLevelType w:val="hybridMultilevel"/>
    <w:tmpl w:val="48E619E8"/>
    <w:lvl w:ilvl="0" w:tplc="78CC8BBC">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16cid:durableId="2055931012">
    <w:abstractNumId w:val="8"/>
  </w:num>
  <w:num w:numId="2" w16cid:durableId="991103880">
    <w:abstractNumId w:val="7"/>
  </w:num>
  <w:num w:numId="3" w16cid:durableId="1618171488">
    <w:abstractNumId w:val="10"/>
  </w:num>
  <w:num w:numId="4" w16cid:durableId="781144352">
    <w:abstractNumId w:val="4"/>
  </w:num>
  <w:num w:numId="5" w16cid:durableId="80375969">
    <w:abstractNumId w:val="2"/>
  </w:num>
  <w:num w:numId="6" w16cid:durableId="1636913410">
    <w:abstractNumId w:val="0"/>
  </w:num>
  <w:num w:numId="7" w16cid:durableId="1668315898">
    <w:abstractNumId w:val="6"/>
  </w:num>
  <w:num w:numId="8" w16cid:durableId="1534153920">
    <w:abstractNumId w:val="3"/>
  </w:num>
  <w:num w:numId="9" w16cid:durableId="1294365710">
    <w:abstractNumId w:val="5"/>
  </w:num>
  <w:num w:numId="10" w16cid:durableId="1219247085">
    <w:abstractNumId w:val="11"/>
  </w:num>
  <w:num w:numId="11" w16cid:durableId="1678072764">
    <w:abstractNumId w:val="9"/>
  </w:num>
  <w:num w:numId="12" w16cid:durableId="1016922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DD"/>
    <w:rsid w:val="00000198"/>
    <w:rsid w:val="00001C22"/>
    <w:rsid w:val="00002926"/>
    <w:rsid w:val="000114FD"/>
    <w:rsid w:val="000137CA"/>
    <w:rsid w:val="0002653B"/>
    <w:rsid w:val="00031F36"/>
    <w:rsid w:val="000328FE"/>
    <w:rsid w:val="00034D74"/>
    <w:rsid w:val="00035676"/>
    <w:rsid w:val="000368C1"/>
    <w:rsid w:val="00042D92"/>
    <w:rsid w:val="0004358F"/>
    <w:rsid w:val="0004374E"/>
    <w:rsid w:val="000457FD"/>
    <w:rsid w:val="00046FA0"/>
    <w:rsid w:val="00047844"/>
    <w:rsid w:val="000605F9"/>
    <w:rsid w:val="0006356C"/>
    <w:rsid w:val="00063942"/>
    <w:rsid w:val="00065300"/>
    <w:rsid w:val="00066F31"/>
    <w:rsid w:val="00082A63"/>
    <w:rsid w:val="00087694"/>
    <w:rsid w:val="00087E2E"/>
    <w:rsid w:val="000A5BD2"/>
    <w:rsid w:val="000A5BDD"/>
    <w:rsid w:val="000A7483"/>
    <w:rsid w:val="000A7EF1"/>
    <w:rsid w:val="000B41A4"/>
    <w:rsid w:val="000B5725"/>
    <w:rsid w:val="000B57A0"/>
    <w:rsid w:val="000C20DE"/>
    <w:rsid w:val="000C5230"/>
    <w:rsid w:val="000D0F03"/>
    <w:rsid w:val="000D2A2A"/>
    <w:rsid w:val="000D6018"/>
    <w:rsid w:val="000D69EC"/>
    <w:rsid w:val="000D7106"/>
    <w:rsid w:val="000E01C2"/>
    <w:rsid w:val="000E307A"/>
    <w:rsid w:val="000E32F5"/>
    <w:rsid w:val="000E76D1"/>
    <w:rsid w:val="000F0D4E"/>
    <w:rsid w:val="000F117B"/>
    <w:rsid w:val="000F3189"/>
    <w:rsid w:val="000F5124"/>
    <w:rsid w:val="000F56C0"/>
    <w:rsid w:val="000F7385"/>
    <w:rsid w:val="001008DC"/>
    <w:rsid w:val="00100D55"/>
    <w:rsid w:val="0010173C"/>
    <w:rsid w:val="001022E5"/>
    <w:rsid w:val="0010268D"/>
    <w:rsid w:val="0010405B"/>
    <w:rsid w:val="00107CA4"/>
    <w:rsid w:val="0011163F"/>
    <w:rsid w:val="00111EB2"/>
    <w:rsid w:val="00114C7A"/>
    <w:rsid w:val="00121A27"/>
    <w:rsid w:val="001270BE"/>
    <w:rsid w:val="00127A3B"/>
    <w:rsid w:val="00132542"/>
    <w:rsid w:val="00133143"/>
    <w:rsid w:val="00133738"/>
    <w:rsid w:val="00134B84"/>
    <w:rsid w:val="001375A8"/>
    <w:rsid w:val="00140E2C"/>
    <w:rsid w:val="00146EF9"/>
    <w:rsid w:val="00152485"/>
    <w:rsid w:val="00157F7C"/>
    <w:rsid w:val="0016045E"/>
    <w:rsid w:val="00163B85"/>
    <w:rsid w:val="001675E7"/>
    <w:rsid w:val="001712B8"/>
    <w:rsid w:val="00174CB1"/>
    <w:rsid w:val="00175D3D"/>
    <w:rsid w:val="0018463F"/>
    <w:rsid w:val="0019166D"/>
    <w:rsid w:val="00196843"/>
    <w:rsid w:val="001A1F67"/>
    <w:rsid w:val="001A3B28"/>
    <w:rsid w:val="001A6CE5"/>
    <w:rsid w:val="001B2126"/>
    <w:rsid w:val="001B4833"/>
    <w:rsid w:val="001B48B2"/>
    <w:rsid w:val="001B54D4"/>
    <w:rsid w:val="001B5A2B"/>
    <w:rsid w:val="001B71AE"/>
    <w:rsid w:val="001B7E2B"/>
    <w:rsid w:val="001C0A1F"/>
    <w:rsid w:val="001C12DA"/>
    <w:rsid w:val="001C60B1"/>
    <w:rsid w:val="001D0EAC"/>
    <w:rsid w:val="001D3983"/>
    <w:rsid w:val="001D55D4"/>
    <w:rsid w:val="001D6E2D"/>
    <w:rsid w:val="001E18E5"/>
    <w:rsid w:val="001E4F4D"/>
    <w:rsid w:val="001E5F39"/>
    <w:rsid w:val="001E637D"/>
    <w:rsid w:val="001E69F4"/>
    <w:rsid w:val="001E6DCC"/>
    <w:rsid w:val="001E7FC4"/>
    <w:rsid w:val="001F09C9"/>
    <w:rsid w:val="001F1948"/>
    <w:rsid w:val="001F2E83"/>
    <w:rsid w:val="001F3E86"/>
    <w:rsid w:val="001F5AE2"/>
    <w:rsid w:val="001F70B5"/>
    <w:rsid w:val="00200219"/>
    <w:rsid w:val="00202460"/>
    <w:rsid w:val="00213AF2"/>
    <w:rsid w:val="002140E4"/>
    <w:rsid w:val="00214BEE"/>
    <w:rsid w:val="00220180"/>
    <w:rsid w:val="00230493"/>
    <w:rsid w:val="00232128"/>
    <w:rsid w:val="00233BEF"/>
    <w:rsid w:val="002363F4"/>
    <w:rsid w:val="00241DC5"/>
    <w:rsid w:val="00247690"/>
    <w:rsid w:val="0025064E"/>
    <w:rsid w:val="00253208"/>
    <w:rsid w:val="00255AF5"/>
    <w:rsid w:val="00261EAF"/>
    <w:rsid w:val="00263815"/>
    <w:rsid w:val="00264ED4"/>
    <w:rsid w:val="00266067"/>
    <w:rsid w:val="00266820"/>
    <w:rsid w:val="00266859"/>
    <w:rsid w:val="002732E3"/>
    <w:rsid w:val="00274B89"/>
    <w:rsid w:val="00275B57"/>
    <w:rsid w:val="002767A8"/>
    <w:rsid w:val="00277234"/>
    <w:rsid w:val="00283102"/>
    <w:rsid w:val="0028350D"/>
    <w:rsid w:val="002854E9"/>
    <w:rsid w:val="002953FC"/>
    <w:rsid w:val="00295F3D"/>
    <w:rsid w:val="00296B09"/>
    <w:rsid w:val="002A1438"/>
    <w:rsid w:val="002A361D"/>
    <w:rsid w:val="002A3F65"/>
    <w:rsid w:val="002A6C74"/>
    <w:rsid w:val="002B24AB"/>
    <w:rsid w:val="002C0B8B"/>
    <w:rsid w:val="002C59DB"/>
    <w:rsid w:val="002D203E"/>
    <w:rsid w:val="002D4D7D"/>
    <w:rsid w:val="002D6CA9"/>
    <w:rsid w:val="002E03CD"/>
    <w:rsid w:val="002E0E41"/>
    <w:rsid w:val="002E3D2F"/>
    <w:rsid w:val="002E6697"/>
    <w:rsid w:val="002F0812"/>
    <w:rsid w:val="002F11D4"/>
    <w:rsid w:val="002F2561"/>
    <w:rsid w:val="002F4566"/>
    <w:rsid w:val="002F4618"/>
    <w:rsid w:val="002F46EC"/>
    <w:rsid w:val="002F47E7"/>
    <w:rsid w:val="002F49C6"/>
    <w:rsid w:val="002F4DFC"/>
    <w:rsid w:val="002F58C8"/>
    <w:rsid w:val="002F7880"/>
    <w:rsid w:val="00303A70"/>
    <w:rsid w:val="0030473B"/>
    <w:rsid w:val="00307D2C"/>
    <w:rsid w:val="003108A6"/>
    <w:rsid w:val="0031488C"/>
    <w:rsid w:val="00315C92"/>
    <w:rsid w:val="00320F0E"/>
    <w:rsid w:val="003216E7"/>
    <w:rsid w:val="003274C2"/>
    <w:rsid w:val="00332A2A"/>
    <w:rsid w:val="003372DF"/>
    <w:rsid w:val="00341491"/>
    <w:rsid w:val="003425A0"/>
    <w:rsid w:val="00346EDA"/>
    <w:rsid w:val="0035192B"/>
    <w:rsid w:val="003553B6"/>
    <w:rsid w:val="00356149"/>
    <w:rsid w:val="0035745F"/>
    <w:rsid w:val="00362363"/>
    <w:rsid w:val="003637A0"/>
    <w:rsid w:val="0037326C"/>
    <w:rsid w:val="00373417"/>
    <w:rsid w:val="00374A5E"/>
    <w:rsid w:val="003774D7"/>
    <w:rsid w:val="003811B6"/>
    <w:rsid w:val="00385F45"/>
    <w:rsid w:val="00386FAD"/>
    <w:rsid w:val="00387A90"/>
    <w:rsid w:val="003949CA"/>
    <w:rsid w:val="00395486"/>
    <w:rsid w:val="00397879"/>
    <w:rsid w:val="00397AF2"/>
    <w:rsid w:val="003A38B4"/>
    <w:rsid w:val="003A6E9C"/>
    <w:rsid w:val="003A7F78"/>
    <w:rsid w:val="003B4062"/>
    <w:rsid w:val="003B7B8D"/>
    <w:rsid w:val="003C0324"/>
    <w:rsid w:val="003C5A57"/>
    <w:rsid w:val="003C65B4"/>
    <w:rsid w:val="003C718D"/>
    <w:rsid w:val="003D4AF3"/>
    <w:rsid w:val="003D5CE1"/>
    <w:rsid w:val="003D64C0"/>
    <w:rsid w:val="003D6EB2"/>
    <w:rsid w:val="003E048A"/>
    <w:rsid w:val="003E479E"/>
    <w:rsid w:val="003E5D91"/>
    <w:rsid w:val="003F00EE"/>
    <w:rsid w:val="003F19CB"/>
    <w:rsid w:val="003F1D03"/>
    <w:rsid w:val="00400A44"/>
    <w:rsid w:val="00402396"/>
    <w:rsid w:val="0040728F"/>
    <w:rsid w:val="00412297"/>
    <w:rsid w:val="00412AE5"/>
    <w:rsid w:val="00416F25"/>
    <w:rsid w:val="004208B6"/>
    <w:rsid w:val="00425583"/>
    <w:rsid w:val="004266F5"/>
    <w:rsid w:val="00434F80"/>
    <w:rsid w:val="00440267"/>
    <w:rsid w:val="0044039B"/>
    <w:rsid w:val="00442038"/>
    <w:rsid w:val="00444EC8"/>
    <w:rsid w:val="0045293D"/>
    <w:rsid w:val="0045424B"/>
    <w:rsid w:val="00455C14"/>
    <w:rsid w:val="00456212"/>
    <w:rsid w:val="00457D6A"/>
    <w:rsid w:val="0046070F"/>
    <w:rsid w:val="00463EB4"/>
    <w:rsid w:val="00466195"/>
    <w:rsid w:val="004672A5"/>
    <w:rsid w:val="00467546"/>
    <w:rsid w:val="00467B91"/>
    <w:rsid w:val="00471149"/>
    <w:rsid w:val="004739B7"/>
    <w:rsid w:val="00486306"/>
    <w:rsid w:val="00491FB3"/>
    <w:rsid w:val="00493382"/>
    <w:rsid w:val="00494AEC"/>
    <w:rsid w:val="00496F95"/>
    <w:rsid w:val="004A00FC"/>
    <w:rsid w:val="004A216D"/>
    <w:rsid w:val="004A5C72"/>
    <w:rsid w:val="004A73E7"/>
    <w:rsid w:val="004B77C3"/>
    <w:rsid w:val="004D3FBA"/>
    <w:rsid w:val="004D7021"/>
    <w:rsid w:val="004E01B5"/>
    <w:rsid w:val="004E3949"/>
    <w:rsid w:val="004E3EFA"/>
    <w:rsid w:val="004E4724"/>
    <w:rsid w:val="004E4AA3"/>
    <w:rsid w:val="004E56D0"/>
    <w:rsid w:val="004E766A"/>
    <w:rsid w:val="004F0182"/>
    <w:rsid w:val="004F3BAA"/>
    <w:rsid w:val="004F540B"/>
    <w:rsid w:val="00501023"/>
    <w:rsid w:val="005024C1"/>
    <w:rsid w:val="005037CC"/>
    <w:rsid w:val="0050483C"/>
    <w:rsid w:val="00505125"/>
    <w:rsid w:val="00510BBE"/>
    <w:rsid w:val="00512880"/>
    <w:rsid w:val="0051298F"/>
    <w:rsid w:val="00513CA1"/>
    <w:rsid w:val="00517C90"/>
    <w:rsid w:val="0052004A"/>
    <w:rsid w:val="005312D6"/>
    <w:rsid w:val="005339F5"/>
    <w:rsid w:val="00535234"/>
    <w:rsid w:val="005358EC"/>
    <w:rsid w:val="0053785D"/>
    <w:rsid w:val="0054433D"/>
    <w:rsid w:val="00544E9C"/>
    <w:rsid w:val="00546B2F"/>
    <w:rsid w:val="0055466C"/>
    <w:rsid w:val="005551BB"/>
    <w:rsid w:val="00560E3D"/>
    <w:rsid w:val="00560F76"/>
    <w:rsid w:val="0056733C"/>
    <w:rsid w:val="005711CA"/>
    <w:rsid w:val="00572E28"/>
    <w:rsid w:val="005741C8"/>
    <w:rsid w:val="00580223"/>
    <w:rsid w:val="00580AB3"/>
    <w:rsid w:val="0058165D"/>
    <w:rsid w:val="00582975"/>
    <w:rsid w:val="00583C92"/>
    <w:rsid w:val="00586E9D"/>
    <w:rsid w:val="00591F4A"/>
    <w:rsid w:val="00594207"/>
    <w:rsid w:val="00594C83"/>
    <w:rsid w:val="00594F0A"/>
    <w:rsid w:val="00595B61"/>
    <w:rsid w:val="005A57AA"/>
    <w:rsid w:val="005A654B"/>
    <w:rsid w:val="005A77A3"/>
    <w:rsid w:val="005B0794"/>
    <w:rsid w:val="005B0F48"/>
    <w:rsid w:val="005B4257"/>
    <w:rsid w:val="005B7F34"/>
    <w:rsid w:val="005D1C1E"/>
    <w:rsid w:val="005D5FF8"/>
    <w:rsid w:val="005D6BC6"/>
    <w:rsid w:val="005E0B82"/>
    <w:rsid w:val="005E2063"/>
    <w:rsid w:val="005F5078"/>
    <w:rsid w:val="00602A43"/>
    <w:rsid w:val="00604603"/>
    <w:rsid w:val="00605C2F"/>
    <w:rsid w:val="00606B0A"/>
    <w:rsid w:val="00607AA4"/>
    <w:rsid w:val="00607C49"/>
    <w:rsid w:val="00610B04"/>
    <w:rsid w:val="00613C9E"/>
    <w:rsid w:val="006276AD"/>
    <w:rsid w:val="00627863"/>
    <w:rsid w:val="00627F75"/>
    <w:rsid w:val="00630A29"/>
    <w:rsid w:val="00635B49"/>
    <w:rsid w:val="00635B4F"/>
    <w:rsid w:val="00635C29"/>
    <w:rsid w:val="00636870"/>
    <w:rsid w:val="00651ADA"/>
    <w:rsid w:val="00651CFB"/>
    <w:rsid w:val="006522C1"/>
    <w:rsid w:val="006544CE"/>
    <w:rsid w:val="00655439"/>
    <w:rsid w:val="00660067"/>
    <w:rsid w:val="00660985"/>
    <w:rsid w:val="00661752"/>
    <w:rsid w:val="00666579"/>
    <w:rsid w:val="0067567E"/>
    <w:rsid w:val="00677CD7"/>
    <w:rsid w:val="006878CD"/>
    <w:rsid w:val="00687AA1"/>
    <w:rsid w:val="00692239"/>
    <w:rsid w:val="006A7DFC"/>
    <w:rsid w:val="006B03A1"/>
    <w:rsid w:val="006B0922"/>
    <w:rsid w:val="006B2C5B"/>
    <w:rsid w:val="006B336A"/>
    <w:rsid w:val="006B648B"/>
    <w:rsid w:val="006C0315"/>
    <w:rsid w:val="006C4969"/>
    <w:rsid w:val="006C70E5"/>
    <w:rsid w:val="006D0256"/>
    <w:rsid w:val="006D1F9E"/>
    <w:rsid w:val="006D2EBD"/>
    <w:rsid w:val="006D47C4"/>
    <w:rsid w:val="006D7339"/>
    <w:rsid w:val="006D7841"/>
    <w:rsid w:val="006E2BB3"/>
    <w:rsid w:val="006E472C"/>
    <w:rsid w:val="006E4D8C"/>
    <w:rsid w:val="006E5F00"/>
    <w:rsid w:val="006E67B3"/>
    <w:rsid w:val="006E6CF4"/>
    <w:rsid w:val="006E7010"/>
    <w:rsid w:val="006F1AE7"/>
    <w:rsid w:val="006F521D"/>
    <w:rsid w:val="00703E28"/>
    <w:rsid w:val="007063FD"/>
    <w:rsid w:val="00707CB4"/>
    <w:rsid w:val="00710596"/>
    <w:rsid w:val="00711C99"/>
    <w:rsid w:val="00711F43"/>
    <w:rsid w:val="00713E22"/>
    <w:rsid w:val="0071474E"/>
    <w:rsid w:val="007160C3"/>
    <w:rsid w:val="00716C88"/>
    <w:rsid w:val="00717734"/>
    <w:rsid w:val="00717DA4"/>
    <w:rsid w:val="007242FB"/>
    <w:rsid w:val="00730326"/>
    <w:rsid w:val="00735072"/>
    <w:rsid w:val="007364BD"/>
    <w:rsid w:val="00743597"/>
    <w:rsid w:val="0074576F"/>
    <w:rsid w:val="00745FF0"/>
    <w:rsid w:val="0074708D"/>
    <w:rsid w:val="007522B6"/>
    <w:rsid w:val="007524B1"/>
    <w:rsid w:val="007552F4"/>
    <w:rsid w:val="00760D01"/>
    <w:rsid w:val="00762944"/>
    <w:rsid w:val="00771553"/>
    <w:rsid w:val="00783265"/>
    <w:rsid w:val="00790712"/>
    <w:rsid w:val="007A3C14"/>
    <w:rsid w:val="007A423B"/>
    <w:rsid w:val="007A78A5"/>
    <w:rsid w:val="007B50D2"/>
    <w:rsid w:val="007B61EE"/>
    <w:rsid w:val="007C0808"/>
    <w:rsid w:val="007C433F"/>
    <w:rsid w:val="007C7CC2"/>
    <w:rsid w:val="007C7F3D"/>
    <w:rsid w:val="007D138F"/>
    <w:rsid w:val="007D314E"/>
    <w:rsid w:val="007E03A3"/>
    <w:rsid w:val="007E063A"/>
    <w:rsid w:val="007E4D1C"/>
    <w:rsid w:val="007E520D"/>
    <w:rsid w:val="007F0185"/>
    <w:rsid w:val="007F1805"/>
    <w:rsid w:val="008003EF"/>
    <w:rsid w:val="0080102E"/>
    <w:rsid w:val="008015FC"/>
    <w:rsid w:val="00810052"/>
    <w:rsid w:val="008123E8"/>
    <w:rsid w:val="00813AE5"/>
    <w:rsid w:val="0081797C"/>
    <w:rsid w:val="0083266F"/>
    <w:rsid w:val="00832CB9"/>
    <w:rsid w:val="008337AC"/>
    <w:rsid w:val="00834362"/>
    <w:rsid w:val="00840053"/>
    <w:rsid w:val="00842929"/>
    <w:rsid w:val="008515A8"/>
    <w:rsid w:val="00851DBB"/>
    <w:rsid w:val="00852EF7"/>
    <w:rsid w:val="0085505E"/>
    <w:rsid w:val="00860371"/>
    <w:rsid w:val="0086143F"/>
    <w:rsid w:val="00862BE9"/>
    <w:rsid w:val="00862C40"/>
    <w:rsid w:val="00865EDA"/>
    <w:rsid w:val="008661D2"/>
    <w:rsid w:val="0086686A"/>
    <w:rsid w:val="00866B5D"/>
    <w:rsid w:val="00871C3E"/>
    <w:rsid w:val="008758DC"/>
    <w:rsid w:val="008770E5"/>
    <w:rsid w:val="00882D9C"/>
    <w:rsid w:val="00885A22"/>
    <w:rsid w:val="008903FD"/>
    <w:rsid w:val="00891CED"/>
    <w:rsid w:val="00891E4E"/>
    <w:rsid w:val="00892C7C"/>
    <w:rsid w:val="00894BB6"/>
    <w:rsid w:val="008A1EB4"/>
    <w:rsid w:val="008A4F38"/>
    <w:rsid w:val="008A572F"/>
    <w:rsid w:val="008A6661"/>
    <w:rsid w:val="008B1095"/>
    <w:rsid w:val="008B5296"/>
    <w:rsid w:val="008C4FE7"/>
    <w:rsid w:val="008D1CC1"/>
    <w:rsid w:val="008D235E"/>
    <w:rsid w:val="008D4350"/>
    <w:rsid w:val="008D49F4"/>
    <w:rsid w:val="008E11B1"/>
    <w:rsid w:val="008E34D2"/>
    <w:rsid w:val="008E3F72"/>
    <w:rsid w:val="008F23B9"/>
    <w:rsid w:val="008F2593"/>
    <w:rsid w:val="008F43B1"/>
    <w:rsid w:val="009016C4"/>
    <w:rsid w:val="00901892"/>
    <w:rsid w:val="00904CAF"/>
    <w:rsid w:val="00914F11"/>
    <w:rsid w:val="00915B15"/>
    <w:rsid w:val="00917907"/>
    <w:rsid w:val="00931AF9"/>
    <w:rsid w:val="00934593"/>
    <w:rsid w:val="00946071"/>
    <w:rsid w:val="00951070"/>
    <w:rsid w:val="00951FD0"/>
    <w:rsid w:val="00952381"/>
    <w:rsid w:val="00960E5C"/>
    <w:rsid w:val="00965FD9"/>
    <w:rsid w:val="00966310"/>
    <w:rsid w:val="009663D0"/>
    <w:rsid w:val="00972BEA"/>
    <w:rsid w:val="009777BE"/>
    <w:rsid w:val="00982E7B"/>
    <w:rsid w:val="009834DD"/>
    <w:rsid w:val="00984643"/>
    <w:rsid w:val="00984850"/>
    <w:rsid w:val="00986357"/>
    <w:rsid w:val="00987F23"/>
    <w:rsid w:val="00992D0A"/>
    <w:rsid w:val="00995F34"/>
    <w:rsid w:val="009A13BC"/>
    <w:rsid w:val="009A3DA1"/>
    <w:rsid w:val="009A6D81"/>
    <w:rsid w:val="009B3113"/>
    <w:rsid w:val="009B722F"/>
    <w:rsid w:val="009C0B4D"/>
    <w:rsid w:val="009C5955"/>
    <w:rsid w:val="009C606E"/>
    <w:rsid w:val="009D2063"/>
    <w:rsid w:val="009D2080"/>
    <w:rsid w:val="009E07A0"/>
    <w:rsid w:val="009E12E5"/>
    <w:rsid w:val="009E141D"/>
    <w:rsid w:val="009E3864"/>
    <w:rsid w:val="009E5AB6"/>
    <w:rsid w:val="009E64DB"/>
    <w:rsid w:val="009E6AC1"/>
    <w:rsid w:val="00A06439"/>
    <w:rsid w:val="00A07C0C"/>
    <w:rsid w:val="00A140C6"/>
    <w:rsid w:val="00A15DE5"/>
    <w:rsid w:val="00A16D3E"/>
    <w:rsid w:val="00A178A3"/>
    <w:rsid w:val="00A2121D"/>
    <w:rsid w:val="00A225DB"/>
    <w:rsid w:val="00A25581"/>
    <w:rsid w:val="00A267E0"/>
    <w:rsid w:val="00A32360"/>
    <w:rsid w:val="00A33F6C"/>
    <w:rsid w:val="00A3479E"/>
    <w:rsid w:val="00A36F15"/>
    <w:rsid w:val="00A40438"/>
    <w:rsid w:val="00A4118B"/>
    <w:rsid w:val="00A45DDD"/>
    <w:rsid w:val="00A50AA3"/>
    <w:rsid w:val="00A5210A"/>
    <w:rsid w:val="00A52912"/>
    <w:rsid w:val="00A5611C"/>
    <w:rsid w:val="00A564F6"/>
    <w:rsid w:val="00A56E02"/>
    <w:rsid w:val="00A71161"/>
    <w:rsid w:val="00A754A2"/>
    <w:rsid w:val="00A804C6"/>
    <w:rsid w:val="00A821F0"/>
    <w:rsid w:val="00A83813"/>
    <w:rsid w:val="00A84D32"/>
    <w:rsid w:val="00A950B4"/>
    <w:rsid w:val="00A95DC1"/>
    <w:rsid w:val="00A9664F"/>
    <w:rsid w:val="00AA288D"/>
    <w:rsid w:val="00AA378A"/>
    <w:rsid w:val="00AA4D0F"/>
    <w:rsid w:val="00AA5A05"/>
    <w:rsid w:val="00AB0E41"/>
    <w:rsid w:val="00AB24FD"/>
    <w:rsid w:val="00AB2BD8"/>
    <w:rsid w:val="00AB3D71"/>
    <w:rsid w:val="00AB4204"/>
    <w:rsid w:val="00AB7A3B"/>
    <w:rsid w:val="00AC4E1A"/>
    <w:rsid w:val="00AD24F2"/>
    <w:rsid w:val="00AD302B"/>
    <w:rsid w:val="00AD6250"/>
    <w:rsid w:val="00AD633C"/>
    <w:rsid w:val="00AE2FF0"/>
    <w:rsid w:val="00AE4C1D"/>
    <w:rsid w:val="00AE4E2E"/>
    <w:rsid w:val="00AE59F9"/>
    <w:rsid w:val="00AE677A"/>
    <w:rsid w:val="00AF2313"/>
    <w:rsid w:val="00AF2EBE"/>
    <w:rsid w:val="00AF4805"/>
    <w:rsid w:val="00AF4F7A"/>
    <w:rsid w:val="00AF6A99"/>
    <w:rsid w:val="00B01E7E"/>
    <w:rsid w:val="00B05B0B"/>
    <w:rsid w:val="00B0671B"/>
    <w:rsid w:val="00B150FA"/>
    <w:rsid w:val="00B22552"/>
    <w:rsid w:val="00B23B00"/>
    <w:rsid w:val="00B27C86"/>
    <w:rsid w:val="00B27DB5"/>
    <w:rsid w:val="00B331C0"/>
    <w:rsid w:val="00B3630E"/>
    <w:rsid w:val="00B36B37"/>
    <w:rsid w:val="00B40B58"/>
    <w:rsid w:val="00B5051E"/>
    <w:rsid w:val="00B522F4"/>
    <w:rsid w:val="00B618B5"/>
    <w:rsid w:val="00B668DC"/>
    <w:rsid w:val="00B67DB0"/>
    <w:rsid w:val="00B71102"/>
    <w:rsid w:val="00B7579C"/>
    <w:rsid w:val="00B76F44"/>
    <w:rsid w:val="00B837D6"/>
    <w:rsid w:val="00B85E59"/>
    <w:rsid w:val="00B90516"/>
    <w:rsid w:val="00B925F9"/>
    <w:rsid w:val="00B9593F"/>
    <w:rsid w:val="00BA2DE4"/>
    <w:rsid w:val="00BA55BD"/>
    <w:rsid w:val="00BB28C6"/>
    <w:rsid w:val="00BB66F9"/>
    <w:rsid w:val="00BB6838"/>
    <w:rsid w:val="00BC2C82"/>
    <w:rsid w:val="00BC46B1"/>
    <w:rsid w:val="00BC67DA"/>
    <w:rsid w:val="00BD0730"/>
    <w:rsid w:val="00BF6F6E"/>
    <w:rsid w:val="00C04B21"/>
    <w:rsid w:val="00C0590D"/>
    <w:rsid w:val="00C11B51"/>
    <w:rsid w:val="00C13A22"/>
    <w:rsid w:val="00C13C04"/>
    <w:rsid w:val="00C141D0"/>
    <w:rsid w:val="00C15C18"/>
    <w:rsid w:val="00C15C67"/>
    <w:rsid w:val="00C16886"/>
    <w:rsid w:val="00C213A8"/>
    <w:rsid w:val="00C23051"/>
    <w:rsid w:val="00C2321C"/>
    <w:rsid w:val="00C34035"/>
    <w:rsid w:val="00C3732D"/>
    <w:rsid w:val="00C40824"/>
    <w:rsid w:val="00C409C5"/>
    <w:rsid w:val="00C43456"/>
    <w:rsid w:val="00C4490E"/>
    <w:rsid w:val="00C45178"/>
    <w:rsid w:val="00C47527"/>
    <w:rsid w:val="00C47A65"/>
    <w:rsid w:val="00C47B65"/>
    <w:rsid w:val="00C55D8C"/>
    <w:rsid w:val="00C56270"/>
    <w:rsid w:val="00C57305"/>
    <w:rsid w:val="00C6115F"/>
    <w:rsid w:val="00C615E2"/>
    <w:rsid w:val="00C64F62"/>
    <w:rsid w:val="00C65700"/>
    <w:rsid w:val="00C74CF7"/>
    <w:rsid w:val="00C767D5"/>
    <w:rsid w:val="00C771EF"/>
    <w:rsid w:val="00C80A8E"/>
    <w:rsid w:val="00C80EC5"/>
    <w:rsid w:val="00C81D7F"/>
    <w:rsid w:val="00C844A0"/>
    <w:rsid w:val="00C8535E"/>
    <w:rsid w:val="00C86CF4"/>
    <w:rsid w:val="00C91545"/>
    <w:rsid w:val="00C924BF"/>
    <w:rsid w:val="00C95513"/>
    <w:rsid w:val="00C95546"/>
    <w:rsid w:val="00C96E74"/>
    <w:rsid w:val="00CA2475"/>
    <w:rsid w:val="00CA4DD4"/>
    <w:rsid w:val="00CA7444"/>
    <w:rsid w:val="00CB4553"/>
    <w:rsid w:val="00CB5EF7"/>
    <w:rsid w:val="00CC0750"/>
    <w:rsid w:val="00CC14CD"/>
    <w:rsid w:val="00CC2433"/>
    <w:rsid w:val="00CC2693"/>
    <w:rsid w:val="00CD4876"/>
    <w:rsid w:val="00CD574F"/>
    <w:rsid w:val="00CD64C9"/>
    <w:rsid w:val="00CD679F"/>
    <w:rsid w:val="00CE2CCB"/>
    <w:rsid w:val="00CE3A2E"/>
    <w:rsid w:val="00CE5466"/>
    <w:rsid w:val="00CF0577"/>
    <w:rsid w:val="00CF1AF3"/>
    <w:rsid w:val="00CF39F4"/>
    <w:rsid w:val="00CF4C98"/>
    <w:rsid w:val="00CF7C97"/>
    <w:rsid w:val="00D04091"/>
    <w:rsid w:val="00D049F9"/>
    <w:rsid w:val="00D1106E"/>
    <w:rsid w:val="00D11176"/>
    <w:rsid w:val="00D13DDA"/>
    <w:rsid w:val="00D13FB9"/>
    <w:rsid w:val="00D16AA7"/>
    <w:rsid w:val="00D17263"/>
    <w:rsid w:val="00D20DC7"/>
    <w:rsid w:val="00D235DD"/>
    <w:rsid w:val="00D24A54"/>
    <w:rsid w:val="00D26FB7"/>
    <w:rsid w:val="00D37060"/>
    <w:rsid w:val="00D425A9"/>
    <w:rsid w:val="00D461F3"/>
    <w:rsid w:val="00D50439"/>
    <w:rsid w:val="00D50D7A"/>
    <w:rsid w:val="00D5305C"/>
    <w:rsid w:val="00D55645"/>
    <w:rsid w:val="00D566BE"/>
    <w:rsid w:val="00D574F3"/>
    <w:rsid w:val="00D6005C"/>
    <w:rsid w:val="00D739A2"/>
    <w:rsid w:val="00D76676"/>
    <w:rsid w:val="00D76827"/>
    <w:rsid w:val="00D819F8"/>
    <w:rsid w:val="00D87890"/>
    <w:rsid w:val="00D94834"/>
    <w:rsid w:val="00D960EA"/>
    <w:rsid w:val="00DA1E46"/>
    <w:rsid w:val="00DA2902"/>
    <w:rsid w:val="00DB0C9E"/>
    <w:rsid w:val="00DB19F6"/>
    <w:rsid w:val="00DC0581"/>
    <w:rsid w:val="00DC0F7E"/>
    <w:rsid w:val="00DC5FE6"/>
    <w:rsid w:val="00DC700C"/>
    <w:rsid w:val="00DC792C"/>
    <w:rsid w:val="00DD1D59"/>
    <w:rsid w:val="00DD3987"/>
    <w:rsid w:val="00DD75BC"/>
    <w:rsid w:val="00DE282D"/>
    <w:rsid w:val="00DE699A"/>
    <w:rsid w:val="00DF396C"/>
    <w:rsid w:val="00DF511F"/>
    <w:rsid w:val="00DF5D2E"/>
    <w:rsid w:val="00E00593"/>
    <w:rsid w:val="00E0077E"/>
    <w:rsid w:val="00E00EF2"/>
    <w:rsid w:val="00E02924"/>
    <w:rsid w:val="00E04C84"/>
    <w:rsid w:val="00E06FBE"/>
    <w:rsid w:val="00E13137"/>
    <w:rsid w:val="00E13A61"/>
    <w:rsid w:val="00E15A49"/>
    <w:rsid w:val="00E16315"/>
    <w:rsid w:val="00E17870"/>
    <w:rsid w:val="00E17946"/>
    <w:rsid w:val="00E23A76"/>
    <w:rsid w:val="00E23D35"/>
    <w:rsid w:val="00E24DA1"/>
    <w:rsid w:val="00E2618D"/>
    <w:rsid w:val="00E27F1E"/>
    <w:rsid w:val="00E307A7"/>
    <w:rsid w:val="00E33811"/>
    <w:rsid w:val="00E40776"/>
    <w:rsid w:val="00E510E3"/>
    <w:rsid w:val="00E5127B"/>
    <w:rsid w:val="00E54515"/>
    <w:rsid w:val="00E564AD"/>
    <w:rsid w:val="00E61552"/>
    <w:rsid w:val="00E65AD2"/>
    <w:rsid w:val="00E700FC"/>
    <w:rsid w:val="00E75E1D"/>
    <w:rsid w:val="00E77B70"/>
    <w:rsid w:val="00E812C3"/>
    <w:rsid w:val="00E83451"/>
    <w:rsid w:val="00E86DEF"/>
    <w:rsid w:val="00E91B87"/>
    <w:rsid w:val="00E93051"/>
    <w:rsid w:val="00E94D98"/>
    <w:rsid w:val="00EA05D1"/>
    <w:rsid w:val="00EA0977"/>
    <w:rsid w:val="00EA521B"/>
    <w:rsid w:val="00EB0B0A"/>
    <w:rsid w:val="00EB6CA7"/>
    <w:rsid w:val="00EC5E67"/>
    <w:rsid w:val="00ED076F"/>
    <w:rsid w:val="00ED135F"/>
    <w:rsid w:val="00ED3E98"/>
    <w:rsid w:val="00ED48E5"/>
    <w:rsid w:val="00ED5B7D"/>
    <w:rsid w:val="00EE21D1"/>
    <w:rsid w:val="00EF29FE"/>
    <w:rsid w:val="00EF2DAA"/>
    <w:rsid w:val="00EF2FF0"/>
    <w:rsid w:val="00F008EC"/>
    <w:rsid w:val="00F01ACF"/>
    <w:rsid w:val="00F073C1"/>
    <w:rsid w:val="00F137A7"/>
    <w:rsid w:val="00F15341"/>
    <w:rsid w:val="00F2125A"/>
    <w:rsid w:val="00F25A00"/>
    <w:rsid w:val="00F276E1"/>
    <w:rsid w:val="00F27A07"/>
    <w:rsid w:val="00F306E8"/>
    <w:rsid w:val="00F31C07"/>
    <w:rsid w:val="00F339A7"/>
    <w:rsid w:val="00F37E27"/>
    <w:rsid w:val="00F42ABE"/>
    <w:rsid w:val="00F43FE5"/>
    <w:rsid w:val="00F4439B"/>
    <w:rsid w:val="00F4594D"/>
    <w:rsid w:val="00F45E87"/>
    <w:rsid w:val="00F4794C"/>
    <w:rsid w:val="00F51995"/>
    <w:rsid w:val="00F52351"/>
    <w:rsid w:val="00F52759"/>
    <w:rsid w:val="00F5321D"/>
    <w:rsid w:val="00F57BFE"/>
    <w:rsid w:val="00F61421"/>
    <w:rsid w:val="00F61997"/>
    <w:rsid w:val="00F623DB"/>
    <w:rsid w:val="00F62B36"/>
    <w:rsid w:val="00F6769E"/>
    <w:rsid w:val="00F7022D"/>
    <w:rsid w:val="00F70CA4"/>
    <w:rsid w:val="00F727D5"/>
    <w:rsid w:val="00F8097F"/>
    <w:rsid w:val="00F8421D"/>
    <w:rsid w:val="00F84383"/>
    <w:rsid w:val="00F877A9"/>
    <w:rsid w:val="00F910E4"/>
    <w:rsid w:val="00F93817"/>
    <w:rsid w:val="00F96733"/>
    <w:rsid w:val="00FA3F8B"/>
    <w:rsid w:val="00FA40A3"/>
    <w:rsid w:val="00FA44AC"/>
    <w:rsid w:val="00FA56E6"/>
    <w:rsid w:val="00FA5B5E"/>
    <w:rsid w:val="00FA779E"/>
    <w:rsid w:val="00FB2307"/>
    <w:rsid w:val="00FB64E3"/>
    <w:rsid w:val="00FC3580"/>
    <w:rsid w:val="00FD24AF"/>
    <w:rsid w:val="00FD38D6"/>
    <w:rsid w:val="00FD48AB"/>
    <w:rsid w:val="00FD6416"/>
    <w:rsid w:val="00FD7ABE"/>
    <w:rsid w:val="00FE029C"/>
    <w:rsid w:val="00FE0789"/>
    <w:rsid w:val="00FE0F50"/>
    <w:rsid w:val="00FE14DC"/>
    <w:rsid w:val="00FE584C"/>
    <w:rsid w:val="00FF1B4F"/>
    <w:rsid w:val="00FF5771"/>
    <w:rsid w:val="00FF609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C7ACBF3"/>
  <w15:chartTrackingRefBased/>
  <w15:docId w15:val="{086C51A8-6DB6-F440-B1CE-1060B449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AD3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9</Pages>
  <Words>3362</Words>
  <Characters>19170</Characters>
  <Application>Microsoft Office Word</Application>
  <DocSecurity>0</DocSecurity>
  <Lines>159</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974</cp:revision>
  <dcterms:created xsi:type="dcterms:W3CDTF">2022-10-06T12:37:00Z</dcterms:created>
  <dcterms:modified xsi:type="dcterms:W3CDTF">2023-12-16T02:34:00Z</dcterms:modified>
</cp:coreProperties>
</file>