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F3FA" w14:textId="78097AA0" w:rsidR="008337AC" w:rsidRDefault="00103464" w:rsidP="00103464">
      <w:pPr>
        <w:jc w:val="center"/>
      </w:pPr>
      <w:r w:rsidRPr="004C0873">
        <w:t>LA PREUVE TESTIMONIALE</w:t>
      </w:r>
    </w:p>
    <w:p w14:paraId="344079FA" w14:textId="289443B7" w:rsidR="00103464" w:rsidRDefault="00103464"/>
    <w:p w14:paraId="76ED5AF1" w14:textId="77777777" w:rsidR="00BB0268" w:rsidRDefault="00BB0268" w:rsidP="00BB0268">
      <w:pPr>
        <w:jc w:val="left"/>
      </w:pPr>
      <w:r>
        <w:t>L’instruction d’une cause sous-entend l’audition de témoins.</w:t>
      </w:r>
    </w:p>
    <w:p w14:paraId="0AC6B408" w14:textId="77777777" w:rsidR="00BB0268" w:rsidRDefault="00BB0268" w:rsidP="00BB0268"/>
    <w:p w14:paraId="03F560B7" w14:textId="77777777" w:rsidR="00BB0268" w:rsidRDefault="00BB0268" w:rsidP="00BB0268">
      <w:r>
        <w:t>Le témoin rapporte ce qu’il sait, ce qu’il a vu ou entendu; il explique sa version des faits. Par ailleurs, ce témoignage étant un moyen de présenter la preuve, il devra être pertinent au litige. C’est ainsi que plusieurs règles encadrent la présentation du témoignage.</w:t>
      </w:r>
    </w:p>
    <w:p w14:paraId="778BFCBB" w14:textId="77777777" w:rsidR="00BB0268" w:rsidRDefault="00BB0268" w:rsidP="00BB0268"/>
    <w:p w14:paraId="5AF6796D" w14:textId="49AF9C03" w:rsidR="00103464" w:rsidRDefault="00BB0268" w:rsidP="00BB0268">
      <w:r>
        <w:t>Par exemple, le témoignage visant à rapporter la déclaration extrajudiciaire d’une personne qui ne témoigne pas devant le tribunal sera de façon générale inadmissible en preuve. Cette règle, nommée le ouï-dire, implique une déclaration extrajudiciaire dont on veut se servir pour établir la véracité de son contenu.</w:t>
      </w:r>
    </w:p>
    <w:p w14:paraId="71010A89" w14:textId="4FFE15BE" w:rsidR="00BB0268" w:rsidRDefault="00BB0268" w:rsidP="00BB0268"/>
    <w:p w14:paraId="245AE4AF" w14:textId="3956B91D" w:rsidR="00BB0268" w:rsidRDefault="00BB0268" w:rsidP="00BB0268">
      <w:pPr>
        <w:pStyle w:val="Heading1"/>
      </w:pPr>
      <w:r>
        <w:t>Section 1 : La définition, la recevabilité et la mise en preuve du témoignage</w:t>
      </w:r>
    </w:p>
    <w:p w14:paraId="4E03DE0C" w14:textId="03BD0D00" w:rsidR="00BB0268" w:rsidRDefault="00BB0268" w:rsidP="00BB0268"/>
    <w:p w14:paraId="1F978740" w14:textId="77777777" w:rsidR="00220053" w:rsidRDefault="00220053" w:rsidP="00BB0268">
      <w:r w:rsidRPr="00220053">
        <w:t xml:space="preserve">Le témoignage est la déclaration par laquelle un témoin viendra relater les faits qu’il a lui-même constatés. </w:t>
      </w:r>
    </w:p>
    <w:p w14:paraId="26B0B471" w14:textId="77777777" w:rsidR="00220053" w:rsidRDefault="00220053" w:rsidP="00BB0268"/>
    <w:p w14:paraId="0140E4CA" w14:textId="77777777" w:rsidR="00220053" w:rsidRDefault="00220053" w:rsidP="00BB0268">
      <w:r w:rsidRPr="00220053">
        <w:t xml:space="preserve">Deux sortes de témoins seront appelés à témoigner : </w:t>
      </w:r>
    </w:p>
    <w:p w14:paraId="5BFD78CA" w14:textId="77777777" w:rsidR="00220053" w:rsidRDefault="00220053" w:rsidP="00BB0268"/>
    <w:p w14:paraId="7C9FD349" w14:textId="77777777" w:rsidR="00220053" w:rsidRDefault="00220053" w:rsidP="00220053">
      <w:pPr>
        <w:pStyle w:val="ListParagraph"/>
        <w:numPr>
          <w:ilvl w:val="0"/>
          <w:numId w:val="1"/>
        </w:numPr>
      </w:pPr>
      <w:r>
        <w:t>L</w:t>
      </w:r>
      <w:r w:rsidRPr="00220053">
        <w:t>e témoin ordinaire</w:t>
      </w:r>
    </w:p>
    <w:p w14:paraId="392443CE" w14:textId="77777777" w:rsidR="00B4795E" w:rsidRDefault="00220053" w:rsidP="00220053">
      <w:pPr>
        <w:pStyle w:val="ListParagraph"/>
        <w:numPr>
          <w:ilvl w:val="0"/>
          <w:numId w:val="1"/>
        </w:numPr>
      </w:pPr>
      <w:r>
        <w:t>L</w:t>
      </w:r>
      <w:r w:rsidRPr="00220053">
        <w:t xml:space="preserve">’expert. </w:t>
      </w:r>
    </w:p>
    <w:p w14:paraId="795870AA" w14:textId="77777777" w:rsidR="00B4795E" w:rsidRDefault="00B4795E" w:rsidP="00B4795E"/>
    <w:p w14:paraId="06A85FAB" w14:textId="2FC37B28" w:rsidR="00E750A9" w:rsidRDefault="00220053" w:rsidP="00B4795E">
      <w:r w:rsidRPr="00220053">
        <w:t>Nous verrons que le témoin ordinaire ne peut émettre une opinion, ce privilège étant réservé à l’expert suivant quelques conditions.</w:t>
      </w:r>
    </w:p>
    <w:p w14:paraId="10250F5D" w14:textId="65989A4B" w:rsidR="00E750A9" w:rsidRDefault="00E750A9" w:rsidP="00BB0268"/>
    <w:p w14:paraId="2A6422CA" w14:textId="3F516A9B" w:rsidR="008F54E4" w:rsidRDefault="008F54E4" w:rsidP="008F54E4">
      <w:pPr>
        <w:pStyle w:val="Heading2"/>
      </w:pPr>
      <w:r>
        <w:t xml:space="preserve">La définition du témoignage </w:t>
      </w:r>
    </w:p>
    <w:p w14:paraId="6ED6CDA4" w14:textId="246254D6" w:rsidR="008F54E4" w:rsidRDefault="008F54E4" w:rsidP="00BB0268"/>
    <w:p w14:paraId="4E4BCF39" w14:textId="5FC98116" w:rsidR="00273E34" w:rsidRDefault="008F54E4" w:rsidP="008F54E4">
      <w:r w:rsidRPr="00273E34">
        <w:t>(</w:t>
      </w:r>
      <w:r w:rsidRPr="00273E34">
        <w:rPr>
          <w:shd w:val="clear" w:color="auto" w:fill="D18EC0"/>
        </w:rPr>
        <w:t xml:space="preserve">Art. </w:t>
      </w:r>
      <w:r w:rsidR="00273E34" w:rsidRPr="00273E34">
        <w:rPr>
          <w:shd w:val="clear" w:color="auto" w:fill="D18EC0"/>
        </w:rPr>
        <w:t>2843</w:t>
      </w:r>
      <w:r w:rsidR="00A73B51">
        <w:rPr>
          <w:shd w:val="clear" w:color="auto" w:fill="D18EC0"/>
        </w:rPr>
        <w:t xml:space="preserve"> </w:t>
      </w:r>
      <w:r w:rsidRPr="00273E34">
        <w:rPr>
          <w:shd w:val="clear" w:color="auto" w:fill="D18EC0"/>
        </w:rPr>
        <w:t>C.c.Q.</w:t>
      </w:r>
      <w:r w:rsidRPr="00273E34">
        <w:t xml:space="preserve">) </w:t>
      </w:r>
      <w:r w:rsidR="00273E34" w:rsidRPr="00273E34">
        <w:t xml:space="preserve">: Le témoignage est la déclaration par laquelle une personne relate les faits dont elle a </w:t>
      </w:r>
      <w:r w:rsidR="00273E34" w:rsidRPr="000B3CE2">
        <w:rPr>
          <w:u w:val="single"/>
        </w:rPr>
        <w:t>eu personnellement connaissance</w:t>
      </w:r>
      <w:r w:rsidR="00273E34" w:rsidRPr="00273E34">
        <w:t xml:space="preserve"> ou par laquelle un expert donne son avis.</w:t>
      </w:r>
    </w:p>
    <w:p w14:paraId="068A460C" w14:textId="53D21C90" w:rsidR="00273E34" w:rsidRDefault="00273E34" w:rsidP="008F54E4"/>
    <w:p w14:paraId="3E9E9CED" w14:textId="7B307232" w:rsidR="00A73B51" w:rsidRDefault="00A73B51" w:rsidP="008F54E4">
      <w:r w:rsidRPr="00A73B51">
        <w:t>Il doit, pour faire preuve, être contenu dans une déposition faite à l’instance, sauf du consentement des parties ou dans les cas prévus par la loi.</w:t>
      </w:r>
    </w:p>
    <w:p w14:paraId="0C99E659" w14:textId="07269351" w:rsidR="000B3CE2" w:rsidRDefault="000B3CE2" w:rsidP="008F54E4"/>
    <w:p w14:paraId="6DEE39A1" w14:textId="039196CF" w:rsidR="000B3CE2" w:rsidRDefault="000B3CE2" w:rsidP="000B3CE2">
      <w:pPr>
        <w:pStyle w:val="ListParagraph"/>
        <w:numPr>
          <w:ilvl w:val="0"/>
          <w:numId w:val="2"/>
        </w:numPr>
      </w:pPr>
      <w:r>
        <w:t xml:space="preserve">Touché, senti, goûté, vu, </w:t>
      </w:r>
      <w:r w:rsidR="00CA7CFE">
        <w:t>entendu</w:t>
      </w:r>
    </w:p>
    <w:p w14:paraId="035337A7" w14:textId="1676275D" w:rsidR="00CA7CFE" w:rsidRDefault="00CA7CFE" w:rsidP="000B3CE2">
      <w:pPr>
        <w:pStyle w:val="ListParagraph"/>
        <w:numPr>
          <w:ilvl w:val="0"/>
          <w:numId w:val="2"/>
        </w:numPr>
      </w:pPr>
      <w:r>
        <w:t>Permet d’établir un fait pur et simple, un fait juridique, établir un aveu</w:t>
      </w:r>
      <w:r w:rsidR="00C5060B">
        <w:t>, une présomption ou encore un commencement un preuve.</w:t>
      </w:r>
    </w:p>
    <w:p w14:paraId="04401A0E" w14:textId="4DD0E603" w:rsidR="001006D4" w:rsidRDefault="001006D4" w:rsidP="00FD6EC7"/>
    <w:p w14:paraId="6214E903" w14:textId="573D7B43" w:rsidR="00C5060B" w:rsidRPr="00273E34" w:rsidRDefault="00C5060B" w:rsidP="00C5060B">
      <w:pPr>
        <w:pStyle w:val="Heading2"/>
      </w:pPr>
      <w:r>
        <w:t>La mise en preuve</w:t>
      </w:r>
    </w:p>
    <w:p w14:paraId="44FA46BC" w14:textId="77777777" w:rsidR="00C5060B" w:rsidRDefault="00C5060B" w:rsidP="008F54E4">
      <w:pPr>
        <w:rPr>
          <w:lang w:val="en-US"/>
        </w:rPr>
      </w:pPr>
    </w:p>
    <w:p w14:paraId="0245AAA1" w14:textId="1AA79403" w:rsidR="008F54E4" w:rsidRDefault="00C5060B" w:rsidP="008F54E4">
      <w:r w:rsidRPr="00C5060B">
        <w:t>Pour assurer la pr</w:t>
      </w:r>
      <w:r>
        <w:t>é</w:t>
      </w:r>
      <w:r w:rsidRPr="00C5060B">
        <w:t>sence d’un témoin lors de l’instance, nous devons l’a</w:t>
      </w:r>
      <w:r>
        <w:t xml:space="preserve">ssigner à comparaitre par l’entremise d’une citation à comparaitre </w:t>
      </w:r>
      <w:r w:rsidR="008F54E4" w:rsidRPr="00C5060B">
        <w:t>(</w:t>
      </w:r>
      <w:r w:rsidR="008F54E4" w:rsidRPr="00C5060B">
        <w:rPr>
          <w:shd w:val="clear" w:color="auto" w:fill="D18EC0"/>
        </w:rPr>
        <w:t>Art</w:t>
      </w:r>
      <w:r w:rsidR="00ED1699">
        <w:rPr>
          <w:shd w:val="clear" w:color="auto" w:fill="D18EC0"/>
        </w:rPr>
        <w:t>s</w:t>
      </w:r>
      <w:r w:rsidR="008F54E4" w:rsidRPr="00C5060B">
        <w:rPr>
          <w:shd w:val="clear" w:color="auto" w:fill="D18EC0"/>
        </w:rPr>
        <w:t xml:space="preserve">. </w:t>
      </w:r>
      <w:r w:rsidR="00ED1699">
        <w:rPr>
          <w:shd w:val="clear" w:color="auto" w:fill="D18EC0"/>
        </w:rPr>
        <w:t xml:space="preserve">269 et ss </w:t>
      </w:r>
      <w:r w:rsidR="008F54E4" w:rsidRPr="00C5060B">
        <w:rPr>
          <w:shd w:val="clear" w:color="auto" w:fill="D18EC0"/>
        </w:rPr>
        <w:t>C.</w:t>
      </w:r>
      <w:r w:rsidR="00ED1699">
        <w:rPr>
          <w:shd w:val="clear" w:color="auto" w:fill="D18EC0"/>
        </w:rPr>
        <w:t>p.c.</w:t>
      </w:r>
      <w:r w:rsidR="008F54E4" w:rsidRPr="00C5060B">
        <w:t>)</w:t>
      </w:r>
      <w:r w:rsidR="00ED1699">
        <w:t>.</w:t>
      </w:r>
      <w:r w:rsidR="00E27739">
        <w:t xml:space="preserve"> La citation utilisée est celle du Ministère de la justice. </w:t>
      </w:r>
    </w:p>
    <w:p w14:paraId="29E5F50F" w14:textId="75F6FC3D" w:rsidR="00E27739" w:rsidRDefault="00E27739" w:rsidP="008F54E4"/>
    <w:p w14:paraId="09582C3F" w14:textId="7BBD05F7" w:rsidR="0015381D" w:rsidRDefault="00D15005" w:rsidP="008F54E4">
      <w:r>
        <w:t>La citation est signée par un juge ou un greffier si c’e</w:t>
      </w:r>
      <w:r w:rsidR="00360CC6">
        <w:t>s</w:t>
      </w:r>
      <w:r>
        <w:t xml:space="preserve">t à la demande d’une partie ou par l’avocat lui-même qui représente une partie. </w:t>
      </w:r>
    </w:p>
    <w:p w14:paraId="7CE7ED17" w14:textId="2D57A80E" w:rsidR="008F54E4" w:rsidRPr="00E27739" w:rsidRDefault="0015381D" w:rsidP="008F54E4">
      <w:r>
        <w:lastRenderedPageBreak/>
        <w:t>Elle d</w:t>
      </w:r>
      <w:r w:rsidR="00FD7BF4">
        <w:t>oit être signifiée aux témoins en vertu de l’</w:t>
      </w:r>
      <w:r w:rsidR="008F54E4" w:rsidRPr="00E27739">
        <w:rPr>
          <w:shd w:val="clear" w:color="auto" w:fill="D18EC0"/>
        </w:rPr>
        <w:t xml:space="preserve">Art. </w:t>
      </w:r>
      <w:r>
        <w:rPr>
          <w:shd w:val="clear" w:color="auto" w:fill="D18EC0"/>
        </w:rPr>
        <w:t>139</w:t>
      </w:r>
      <w:r w:rsidR="009E196F">
        <w:rPr>
          <w:shd w:val="clear" w:color="auto" w:fill="D18EC0"/>
        </w:rPr>
        <w:t>, al.</w:t>
      </w:r>
      <w:r w:rsidR="00EC1A07">
        <w:rPr>
          <w:shd w:val="clear" w:color="auto" w:fill="D18EC0"/>
        </w:rPr>
        <w:t>2</w:t>
      </w:r>
      <w:r w:rsidR="009E196F">
        <w:rPr>
          <w:shd w:val="clear" w:color="auto" w:fill="D18EC0"/>
        </w:rPr>
        <w:t xml:space="preserve"> (1)</w:t>
      </w:r>
      <w:r>
        <w:rPr>
          <w:shd w:val="clear" w:color="auto" w:fill="D18EC0"/>
        </w:rPr>
        <w:t xml:space="preserve"> C.p.c.</w:t>
      </w:r>
    </w:p>
    <w:p w14:paraId="551626F5" w14:textId="15152534" w:rsidR="009E196F" w:rsidRDefault="009E196F" w:rsidP="008F54E4"/>
    <w:p w14:paraId="674100BF" w14:textId="1DEBB668" w:rsidR="009E196F" w:rsidRDefault="009E196F" w:rsidP="008F54E4">
      <w:r>
        <w:t xml:space="preserve">Cette procédure doit lui être </w:t>
      </w:r>
      <w:r w:rsidR="00C73197">
        <w:t>signifié</w:t>
      </w:r>
      <w:r w:rsidR="00933710">
        <w:t xml:space="preserve">e </w:t>
      </w:r>
      <w:r w:rsidR="00933710" w:rsidRPr="00933710">
        <w:t>au moins 10 jours avant le moment prévu pour leur comparution, à moins qu’il n’y ait urgence et que le juge ou le greffier n’abrège le délai de notification. Cet abrègement du délai ne peut laisser moins de 24 heures entre la notification et la comparution; la décision d’abréger est portée sur la citation à comparaître</w:t>
      </w:r>
      <w:r w:rsidR="00933710">
        <w:t xml:space="preserve"> </w:t>
      </w:r>
    </w:p>
    <w:p w14:paraId="687F85F0" w14:textId="1D06549A" w:rsidR="008F54E4" w:rsidRDefault="008F54E4" w:rsidP="008F54E4">
      <w:r w:rsidRPr="009E196F">
        <w:t>(</w:t>
      </w:r>
      <w:r w:rsidRPr="009E196F">
        <w:rPr>
          <w:shd w:val="clear" w:color="auto" w:fill="D18EC0"/>
        </w:rPr>
        <w:t xml:space="preserve">Art. </w:t>
      </w:r>
      <w:r w:rsidR="00933710">
        <w:rPr>
          <w:shd w:val="clear" w:color="auto" w:fill="D18EC0"/>
        </w:rPr>
        <w:t xml:space="preserve">269, al.2 </w:t>
      </w:r>
      <w:r w:rsidRPr="009E196F">
        <w:rPr>
          <w:shd w:val="clear" w:color="auto" w:fill="D18EC0"/>
        </w:rPr>
        <w:t>C.c.Q.</w:t>
      </w:r>
      <w:r w:rsidRPr="009E196F">
        <w:t>)</w:t>
      </w:r>
      <w:r w:rsidR="00933710">
        <w:t>.</w:t>
      </w:r>
    </w:p>
    <w:p w14:paraId="16E84C06" w14:textId="68B93EDF" w:rsidR="00447C3E" w:rsidRDefault="00447C3E" w:rsidP="008F54E4"/>
    <w:p w14:paraId="7F422851" w14:textId="4A693E14" w:rsidR="008F54E4" w:rsidRDefault="00D5773B" w:rsidP="008F54E4">
      <w:r>
        <w:t xml:space="preserve">La citation </w:t>
      </w:r>
      <w:r w:rsidR="00B24BFC">
        <w:t xml:space="preserve">est accompagnée lors de la signification de l’indemnité payable au témoin pour une première journée d’audience ainsi que ses frais de transport, d’hébergement… </w:t>
      </w:r>
      <w:r w:rsidR="008F54E4" w:rsidRPr="00244312">
        <w:t>(</w:t>
      </w:r>
      <w:r w:rsidR="008F54E4" w:rsidRPr="00244312">
        <w:rPr>
          <w:shd w:val="clear" w:color="auto" w:fill="D18EC0"/>
        </w:rPr>
        <w:t xml:space="preserve">Art. </w:t>
      </w:r>
      <w:r w:rsidR="00B24BFC">
        <w:rPr>
          <w:shd w:val="clear" w:color="auto" w:fill="D18EC0"/>
        </w:rPr>
        <w:t xml:space="preserve">273 </w:t>
      </w:r>
      <w:r w:rsidR="008F54E4" w:rsidRPr="00244312">
        <w:rPr>
          <w:shd w:val="clear" w:color="auto" w:fill="D18EC0"/>
        </w:rPr>
        <w:t>C.</w:t>
      </w:r>
      <w:r w:rsidR="00BB3BB1">
        <w:rPr>
          <w:shd w:val="clear" w:color="auto" w:fill="D18EC0"/>
        </w:rPr>
        <w:t>p.c.</w:t>
      </w:r>
      <w:r w:rsidR="008F54E4" w:rsidRPr="00244312">
        <w:t>)</w:t>
      </w:r>
      <w:r w:rsidR="00B24BFC">
        <w:t>.</w:t>
      </w:r>
    </w:p>
    <w:p w14:paraId="0D7F9B05" w14:textId="77777777" w:rsidR="00B24BFC" w:rsidRPr="00244312" w:rsidRDefault="00B24BFC" w:rsidP="008F54E4"/>
    <w:p w14:paraId="25834CB2" w14:textId="147695F0" w:rsidR="00380754" w:rsidRPr="00380754" w:rsidRDefault="001A75FA" w:rsidP="00380754">
      <w:r w:rsidRPr="001A75FA">
        <w:t>Lors de l’audience</w:t>
      </w:r>
      <w:r>
        <w:t xml:space="preserve">, le témoin sera </w:t>
      </w:r>
      <w:r w:rsidR="00D437AA">
        <w:t>assermenté</w:t>
      </w:r>
      <w:r w:rsidR="00B72AF9">
        <w:t xml:space="preserve"> </w:t>
      </w:r>
      <w:r w:rsidR="00B72AF9" w:rsidRPr="00380754">
        <w:t>(</w:t>
      </w:r>
      <w:r w:rsidR="00B72AF9" w:rsidRPr="00380754">
        <w:rPr>
          <w:shd w:val="clear" w:color="auto" w:fill="D18EC0"/>
        </w:rPr>
        <w:t xml:space="preserve">Art. </w:t>
      </w:r>
      <w:r w:rsidR="00B72AF9">
        <w:rPr>
          <w:shd w:val="clear" w:color="auto" w:fill="D18EC0"/>
        </w:rPr>
        <w:t>277 C.p.c.</w:t>
      </w:r>
      <w:r w:rsidR="00B72AF9" w:rsidRPr="00380754">
        <w:t>)</w:t>
      </w:r>
      <w:r>
        <w:t xml:space="preserve">. Il est d’abord interrogé par la partie l’ayant assignée et ensuite contre-interrogé par l’autre partie. </w:t>
      </w:r>
      <w:r w:rsidR="00072D71">
        <w:t>Il pourra, si des faits nouveaux sont ressortis du contre-interrogatoire être réinterrogé sur ces éléments afin de compléter son témoignage</w:t>
      </w:r>
      <w:r w:rsidR="00380754">
        <w:t xml:space="preserve"> </w:t>
      </w:r>
      <w:r w:rsidR="00380754" w:rsidRPr="00380754">
        <w:t>(</w:t>
      </w:r>
      <w:r w:rsidR="00380754" w:rsidRPr="00380754">
        <w:rPr>
          <w:shd w:val="clear" w:color="auto" w:fill="D18EC0"/>
        </w:rPr>
        <w:t xml:space="preserve">Art. </w:t>
      </w:r>
      <w:r w:rsidR="00380754">
        <w:rPr>
          <w:shd w:val="clear" w:color="auto" w:fill="D18EC0"/>
        </w:rPr>
        <w:t xml:space="preserve">280 </w:t>
      </w:r>
      <w:r w:rsidR="00380754" w:rsidRPr="00380754">
        <w:rPr>
          <w:shd w:val="clear" w:color="auto" w:fill="D18EC0"/>
        </w:rPr>
        <w:t>C</w:t>
      </w:r>
      <w:r w:rsidR="003F363F">
        <w:rPr>
          <w:shd w:val="clear" w:color="auto" w:fill="D18EC0"/>
        </w:rPr>
        <w:t>.p.</w:t>
      </w:r>
      <w:r w:rsidR="00380754" w:rsidRPr="00380754">
        <w:rPr>
          <w:shd w:val="clear" w:color="auto" w:fill="D18EC0"/>
        </w:rPr>
        <w:t>c.</w:t>
      </w:r>
      <w:r w:rsidR="00380754" w:rsidRPr="00380754">
        <w:t>)</w:t>
      </w:r>
      <w:r w:rsidR="001702D6">
        <w:t>.</w:t>
      </w:r>
    </w:p>
    <w:p w14:paraId="4A013CE5" w14:textId="39220CED" w:rsidR="00072D71" w:rsidRDefault="00072D71" w:rsidP="008F54E4"/>
    <w:p w14:paraId="42C88BBC" w14:textId="77777777" w:rsidR="00072D71" w:rsidRDefault="00072D71" w:rsidP="008F54E4"/>
    <w:p w14:paraId="2811AD5A" w14:textId="013A31B0" w:rsidR="008F54E4" w:rsidRDefault="002A6ACB" w:rsidP="008F54E4">
      <w:r>
        <w:t>L’</w:t>
      </w:r>
      <w:r w:rsidR="008F54E4" w:rsidRPr="001A75FA">
        <w:rPr>
          <w:shd w:val="clear" w:color="auto" w:fill="D18EC0"/>
        </w:rPr>
        <w:t xml:space="preserve">Art. </w:t>
      </w:r>
      <w:r>
        <w:rPr>
          <w:shd w:val="clear" w:color="auto" w:fill="D18EC0"/>
        </w:rPr>
        <w:t>279</w:t>
      </w:r>
      <w:r w:rsidR="00A81046">
        <w:rPr>
          <w:shd w:val="clear" w:color="auto" w:fill="D18EC0"/>
        </w:rPr>
        <w:t>, al. 4</w:t>
      </w:r>
      <w:r>
        <w:rPr>
          <w:shd w:val="clear" w:color="auto" w:fill="D18EC0"/>
        </w:rPr>
        <w:t xml:space="preserve"> C.p.c.</w:t>
      </w:r>
      <w:r w:rsidR="008F54E4" w:rsidRPr="001A75FA">
        <w:t>)</w:t>
      </w:r>
      <w:r>
        <w:t xml:space="preserve"> prévoit la possibilité pour un témoin de témoigner à distance si la technologie le permet. </w:t>
      </w:r>
    </w:p>
    <w:p w14:paraId="4E4815E3" w14:textId="3E7C8479" w:rsidR="00380754" w:rsidRDefault="00380754" w:rsidP="008F54E4"/>
    <w:p w14:paraId="61EC3F4E" w14:textId="5D6226B1" w:rsidR="00061111" w:rsidRPr="00380754" w:rsidRDefault="00380754" w:rsidP="00061111">
      <w:r>
        <w:t xml:space="preserve">Le juge peut toujours exiger la présence physique du témoin en salle d’audience </w:t>
      </w:r>
      <w:r w:rsidR="00061111" w:rsidRPr="00380754">
        <w:t>(</w:t>
      </w:r>
      <w:r w:rsidR="00061111" w:rsidRPr="00380754">
        <w:rPr>
          <w:shd w:val="clear" w:color="auto" w:fill="D18EC0"/>
        </w:rPr>
        <w:t>Art.</w:t>
      </w:r>
      <w:r w:rsidR="00A53F15">
        <w:rPr>
          <w:shd w:val="clear" w:color="auto" w:fill="D18EC0"/>
        </w:rPr>
        <w:t xml:space="preserve"> 276 </w:t>
      </w:r>
      <w:r w:rsidR="00061111" w:rsidRPr="00380754">
        <w:rPr>
          <w:shd w:val="clear" w:color="auto" w:fill="D18EC0"/>
        </w:rPr>
        <w:t>C.</w:t>
      </w:r>
      <w:r w:rsidR="00061111">
        <w:rPr>
          <w:shd w:val="clear" w:color="auto" w:fill="D18EC0"/>
        </w:rPr>
        <w:t>p.c.</w:t>
      </w:r>
      <w:r w:rsidR="00061111" w:rsidRPr="00380754">
        <w:t>)</w:t>
      </w:r>
      <w:r w:rsidR="00061111">
        <w:t>.</w:t>
      </w:r>
    </w:p>
    <w:p w14:paraId="49F2FC16" w14:textId="3F4578B7" w:rsidR="00380754" w:rsidRPr="001A75FA" w:rsidRDefault="00380754" w:rsidP="008F54E4"/>
    <w:p w14:paraId="29AC9FBD" w14:textId="6DA6BBC3" w:rsidR="005105CC" w:rsidRPr="005105CC" w:rsidRDefault="005105CC" w:rsidP="004824EE">
      <w:pPr>
        <w:jc w:val="center"/>
        <w:rPr>
          <w:u w:val="single"/>
        </w:rPr>
      </w:pPr>
      <w:r>
        <w:rPr>
          <w:u w:val="single"/>
        </w:rPr>
        <w:t>*</w:t>
      </w:r>
      <w:r w:rsidR="005A278B" w:rsidRPr="005105CC">
        <w:rPr>
          <w:u w:val="single"/>
        </w:rPr>
        <w:t>Plusieurs exceptions par contre</w:t>
      </w:r>
      <w:r>
        <w:rPr>
          <w:u w:val="single"/>
        </w:rPr>
        <w:t>* :</w:t>
      </w:r>
    </w:p>
    <w:p w14:paraId="5BBA8A86" w14:textId="77777777" w:rsidR="005105CC" w:rsidRDefault="005105CC" w:rsidP="008F54E4"/>
    <w:p w14:paraId="49342E56" w14:textId="46C24776" w:rsidR="008F54E4" w:rsidRPr="00380754" w:rsidRDefault="00763E2A" w:rsidP="00171641">
      <w:pPr>
        <w:pStyle w:val="ListParagraph"/>
        <w:numPr>
          <w:ilvl w:val="0"/>
          <w:numId w:val="3"/>
        </w:numPr>
      </w:pPr>
      <w:r>
        <w:t>Avant même qu’une instance ne soit entreprise</w:t>
      </w:r>
      <w:r w:rsidR="007D44A0">
        <w:t xml:space="preserve"> </w:t>
      </w:r>
      <w:r w:rsidR="007D44A0" w:rsidRPr="00380754">
        <w:t>(</w:t>
      </w:r>
      <w:r w:rsidR="007D44A0" w:rsidRPr="00171641">
        <w:rPr>
          <w:shd w:val="clear" w:color="auto" w:fill="D18EC0"/>
        </w:rPr>
        <w:t xml:space="preserve">Art. </w:t>
      </w:r>
      <w:r w:rsidR="007D44A0">
        <w:rPr>
          <w:shd w:val="clear" w:color="auto" w:fill="D18EC0"/>
        </w:rPr>
        <w:t xml:space="preserve">253 </w:t>
      </w:r>
      <w:r w:rsidR="007D44A0" w:rsidRPr="00171641">
        <w:rPr>
          <w:shd w:val="clear" w:color="auto" w:fill="D18EC0"/>
        </w:rPr>
        <w:t>C.p.c.</w:t>
      </w:r>
      <w:r w:rsidR="007D44A0" w:rsidRPr="00380754">
        <w:t>)</w:t>
      </w:r>
    </w:p>
    <w:p w14:paraId="3FD50894" w14:textId="77777777" w:rsidR="00C1009F" w:rsidRPr="00763E2A" w:rsidRDefault="00C1009F" w:rsidP="008F54E4"/>
    <w:p w14:paraId="5B9C30D1" w14:textId="0D67C9CB" w:rsidR="00C1009F" w:rsidRPr="004824EE" w:rsidRDefault="008F54E4" w:rsidP="00C1009F">
      <w:r w:rsidRPr="004824EE">
        <w:t>(</w:t>
      </w:r>
      <w:r w:rsidRPr="004824EE">
        <w:rPr>
          <w:shd w:val="clear" w:color="auto" w:fill="D18EC0"/>
        </w:rPr>
        <w:t>Art.</w:t>
      </w:r>
      <w:r w:rsidR="00B94D59">
        <w:rPr>
          <w:shd w:val="clear" w:color="auto" w:fill="D18EC0"/>
        </w:rPr>
        <w:t xml:space="preserve"> </w:t>
      </w:r>
      <w:r w:rsidR="00C1009F" w:rsidRPr="004824EE">
        <w:rPr>
          <w:shd w:val="clear" w:color="auto" w:fill="D18EC0"/>
        </w:rPr>
        <w:t>253 C.p.c.</w:t>
      </w:r>
      <w:r w:rsidRPr="004824EE">
        <w:t>)</w:t>
      </w:r>
      <w:r w:rsidR="00C1009F" w:rsidRPr="004824EE">
        <w:t xml:space="preserve"> : La personne qui prévoit qu’elle sera partie à un litige peut, si elle a des raisons de craindre qu’une preuve dont elle aura besoin ne se perde ou ne devienne plus difficile à présenter, interroger les témoins dont elle craint l’absence, le décès ou la défaillance; elle peut aussi faire examiner une chose ou un bien dont l’état peut influer sur le sort du litige. Elle y procède avec l’accord de l’intéressé qui sera éventuellement le demandeur ou le défendeur ou avec l’autorisation du tribunal.</w:t>
      </w:r>
    </w:p>
    <w:p w14:paraId="612BA74E" w14:textId="77777777" w:rsidR="00C1009F" w:rsidRPr="004824EE" w:rsidRDefault="00C1009F" w:rsidP="00C1009F"/>
    <w:p w14:paraId="71E26E82" w14:textId="1209ADE7" w:rsidR="008F54E4" w:rsidRPr="004824EE" w:rsidRDefault="00C1009F" w:rsidP="00C1009F">
      <w:r w:rsidRPr="004824EE">
        <w:t>Celui qui exécute sur un immeuble des travaux susceptibles d’endommager un immeuble voisin peut demander l’examen de cet immeuble sans avoir à justifier d’un litige éventuel.</w:t>
      </w:r>
    </w:p>
    <w:p w14:paraId="03568497" w14:textId="77777777" w:rsidR="00D55F36" w:rsidRDefault="00D55F36" w:rsidP="00B726FC">
      <w:pPr>
        <w:rPr>
          <w:lang w:val="en-US"/>
        </w:rPr>
      </w:pPr>
    </w:p>
    <w:p w14:paraId="6CD2E47B" w14:textId="1D3C9646" w:rsidR="00B726FC" w:rsidRPr="007D44A0" w:rsidRDefault="00D55F36" w:rsidP="00B726FC">
      <w:pPr>
        <w:pStyle w:val="ListParagraph"/>
        <w:numPr>
          <w:ilvl w:val="0"/>
          <w:numId w:val="3"/>
        </w:numPr>
      </w:pPr>
      <w:r w:rsidRPr="007D44A0">
        <w:t>Cause par défaut</w:t>
      </w:r>
      <w:r w:rsidR="007D44A0" w:rsidRPr="007D44A0">
        <w:t xml:space="preserve"> </w:t>
      </w:r>
      <w:r w:rsidR="00B726FC" w:rsidRPr="007D44A0">
        <w:t>(</w:t>
      </w:r>
      <w:r w:rsidR="00B726FC" w:rsidRPr="007D44A0">
        <w:rPr>
          <w:shd w:val="clear" w:color="auto" w:fill="D18EC0"/>
        </w:rPr>
        <w:t xml:space="preserve">Art. </w:t>
      </w:r>
      <w:r w:rsidRPr="007D44A0">
        <w:rPr>
          <w:shd w:val="clear" w:color="auto" w:fill="D18EC0"/>
        </w:rPr>
        <w:t>182 C.p.c.</w:t>
      </w:r>
      <w:r w:rsidR="00B726FC" w:rsidRPr="007D44A0">
        <w:t>)</w:t>
      </w:r>
    </w:p>
    <w:p w14:paraId="189D1B9D" w14:textId="77777777" w:rsidR="00A93D22" w:rsidRDefault="00A93D22" w:rsidP="00B726FC">
      <w:pPr>
        <w:rPr>
          <w:lang w:val="en-US"/>
        </w:rPr>
      </w:pPr>
    </w:p>
    <w:p w14:paraId="0461DE61" w14:textId="51A99B65" w:rsidR="008E1A67" w:rsidRPr="00D04456" w:rsidRDefault="00B726FC" w:rsidP="008E1A67">
      <w:r w:rsidRPr="00D04456">
        <w:t>(</w:t>
      </w:r>
      <w:r w:rsidRPr="00D04456">
        <w:rPr>
          <w:shd w:val="clear" w:color="auto" w:fill="D18EC0"/>
        </w:rPr>
        <w:t xml:space="preserve">Art. </w:t>
      </w:r>
      <w:r w:rsidR="00A93D22" w:rsidRPr="00D04456">
        <w:rPr>
          <w:shd w:val="clear" w:color="auto" w:fill="D18EC0"/>
        </w:rPr>
        <w:t xml:space="preserve">182 </w:t>
      </w:r>
      <w:r w:rsidRPr="00D04456">
        <w:rPr>
          <w:shd w:val="clear" w:color="auto" w:fill="D18EC0"/>
        </w:rPr>
        <w:t>C.c.Q.</w:t>
      </w:r>
      <w:r w:rsidRPr="00D04456">
        <w:t>)</w:t>
      </w:r>
      <w:r w:rsidR="008E1A67" w:rsidRPr="00D04456">
        <w:t xml:space="preserve">: Lorsqu’une enquête est nécessaire, le greffier spécial reçoit la preuve, laquelle peut n’être constituée </w:t>
      </w:r>
      <w:r w:rsidR="008E1A67" w:rsidRPr="00D04456">
        <w:rPr>
          <w:u w:val="single"/>
        </w:rPr>
        <w:t>que de déclarations écrites sous serment</w:t>
      </w:r>
      <w:r w:rsidR="008E1A67" w:rsidRPr="00D04456">
        <w:t>.</w:t>
      </w:r>
    </w:p>
    <w:p w14:paraId="72BB52A5" w14:textId="77777777" w:rsidR="00D04456" w:rsidRPr="00D04456" w:rsidRDefault="00D04456" w:rsidP="008E1A67"/>
    <w:p w14:paraId="71944654" w14:textId="175E85CC" w:rsidR="00B726FC" w:rsidRDefault="008E1A67" w:rsidP="008E1A67">
      <w:r w:rsidRPr="00D04456">
        <w:t xml:space="preserve">Lors de l’enquête, le défendeur ne peut produire aucun témoin, mais il peut, le cas échéant, contre-interroger les témoins cités par le demandeur. Les témoins peuvent être interrogés par le greffier spécial ou, le cas échéant, par le juge en son cabinet, si l’un ou l’autre l’estime </w:t>
      </w:r>
      <w:r w:rsidRPr="00D04456">
        <w:lastRenderedPageBreak/>
        <w:t>opportun. Les dépositions des témoins sont enregistrées à moins que les parties n’y renoncent.</w:t>
      </w:r>
    </w:p>
    <w:p w14:paraId="203F8E58" w14:textId="41449864" w:rsidR="00D04456" w:rsidRDefault="00D04456" w:rsidP="008E1A67"/>
    <w:p w14:paraId="44548DD1" w14:textId="77777777" w:rsidR="00107C19" w:rsidRDefault="00D04456" w:rsidP="00314923">
      <w:pPr>
        <w:pStyle w:val="ListParagraph"/>
        <w:numPr>
          <w:ilvl w:val="0"/>
          <w:numId w:val="2"/>
        </w:numPr>
      </w:pPr>
      <w:r>
        <w:t xml:space="preserve">Cette manière de faire permet </w:t>
      </w:r>
      <w:r w:rsidR="003021C1">
        <w:t xml:space="preserve">aux parties de ne pas faire entendre les témoins en personne devant le tribunal et de procéder plutôt par déclaration sous serment de </w:t>
      </w:r>
      <w:r w:rsidR="009232EA">
        <w:t xml:space="preserve">ceux-ci. </w:t>
      </w:r>
    </w:p>
    <w:p w14:paraId="6A7FFBFC" w14:textId="127597FD" w:rsidR="003E4303" w:rsidRDefault="003E4303" w:rsidP="00314923">
      <w:pPr>
        <w:pStyle w:val="ListParagraph"/>
        <w:numPr>
          <w:ilvl w:val="0"/>
          <w:numId w:val="2"/>
        </w:numPr>
      </w:pPr>
      <w:r>
        <w:t>Les causes de défaut sont mentionnées à l’</w:t>
      </w:r>
      <w:r w:rsidRPr="00107C19">
        <w:rPr>
          <w:shd w:val="clear" w:color="auto" w:fill="D18EC0"/>
        </w:rPr>
        <w:t>Art. 180 C.p.c.</w:t>
      </w:r>
    </w:p>
    <w:p w14:paraId="634789E6" w14:textId="76F0FC39" w:rsidR="009232EA" w:rsidRDefault="009232EA" w:rsidP="009232EA"/>
    <w:p w14:paraId="605B0A43" w14:textId="4076E8F5" w:rsidR="00B726FC" w:rsidRPr="00F30C13" w:rsidRDefault="00DF53F5" w:rsidP="00B726FC">
      <w:pPr>
        <w:pStyle w:val="ListParagraph"/>
        <w:numPr>
          <w:ilvl w:val="0"/>
          <w:numId w:val="3"/>
        </w:numPr>
      </w:pPr>
      <w:r w:rsidRPr="00DF53F5">
        <w:t>Interrogatoire sur serment</w:t>
      </w:r>
    </w:p>
    <w:p w14:paraId="7DA9EF7D" w14:textId="77777777" w:rsidR="00E23DFA" w:rsidRPr="00DF53F5" w:rsidRDefault="00E23DFA" w:rsidP="00B726FC"/>
    <w:p w14:paraId="1FA58F06" w14:textId="03DCBFC5" w:rsidR="00B726FC" w:rsidRDefault="00DF53F5" w:rsidP="00B726FC">
      <w:r w:rsidRPr="00DF53F5">
        <w:t>Interrogatoire de certaines personnes sera possible</w:t>
      </w:r>
      <w:r>
        <w:t xml:space="preserve"> </w:t>
      </w:r>
      <w:r w:rsidRPr="00DF53F5">
        <w:t>sous serment, mais comme on prive la partie adver</w:t>
      </w:r>
      <w:r>
        <w:t>se de</w:t>
      </w:r>
      <w:r w:rsidR="005C7567">
        <w:t xml:space="preserve"> son droit au contre-interrogatoire, cette dernière peut exiger que cette personne soit interrogée hors la présence du tribunal </w:t>
      </w:r>
      <w:r w:rsidR="00B726FC" w:rsidRPr="00DF53F5">
        <w:t>(</w:t>
      </w:r>
      <w:r w:rsidR="00B726FC" w:rsidRPr="00DF53F5">
        <w:rPr>
          <w:shd w:val="clear" w:color="auto" w:fill="D18EC0"/>
        </w:rPr>
        <w:t>Art</w:t>
      </w:r>
      <w:r w:rsidR="005C7567">
        <w:rPr>
          <w:shd w:val="clear" w:color="auto" w:fill="D18EC0"/>
        </w:rPr>
        <w:t>s</w:t>
      </w:r>
      <w:r w:rsidR="00B726FC" w:rsidRPr="00DF53F5">
        <w:rPr>
          <w:shd w:val="clear" w:color="auto" w:fill="D18EC0"/>
        </w:rPr>
        <w:t xml:space="preserve">. </w:t>
      </w:r>
      <w:r w:rsidR="005C7567">
        <w:rPr>
          <w:shd w:val="clear" w:color="auto" w:fill="D18EC0"/>
        </w:rPr>
        <w:t xml:space="preserve">105, al.3 et 222 </w:t>
      </w:r>
      <w:r w:rsidR="00B726FC" w:rsidRPr="00DF53F5">
        <w:rPr>
          <w:shd w:val="clear" w:color="auto" w:fill="D18EC0"/>
        </w:rPr>
        <w:t>C.</w:t>
      </w:r>
      <w:r w:rsidR="00FF1352" w:rsidRPr="00DF53F5">
        <w:rPr>
          <w:shd w:val="clear" w:color="auto" w:fill="D18EC0"/>
        </w:rPr>
        <w:t>p.c.</w:t>
      </w:r>
      <w:r w:rsidR="00B726FC" w:rsidRPr="00DF53F5">
        <w:t>)</w:t>
      </w:r>
      <w:r w:rsidR="00D4189A">
        <w:t xml:space="preserve">. </w:t>
      </w:r>
    </w:p>
    <w:p w14:paraId="46B59766" w14:textId="3F7DEBB0" w:rsidR="00D4189A" w:rsidRDefault="00D4189A" w:rsidP="00B726FC"/>
    <w:p w14:paraId="7060E79A" w14:textId="4400B258" w:rsidR="005448E9" w:rsidRDefault="00D4189A" w:rsidP="005448E9">
      <w:r>
        <w:t>Si cet interrogatoire est par la suite transmis au dossier de la cour en vertu de l’</w:t>
      </w:r>
      <w:r w:rsidR="005448E9" w:rsidRPr="00DF53F5">
        <w:rPr>
          <w:shd w:val="clear" w:color="auto" w:fill="D18EC0"/>
        </w:rPr>
        <w:t xml:space="preserve">Art. </w:t>
      </w:r>
      <w:r>
        <w:rPr>
          <w:shd w:val="clear" w:color="auto" w:fill="D18EC0"/>
        </w:rPr>
        <w:t xml:space="preserve">227 </w:t>
      </w:r>
      <w:r w:rsidR="005448E9" w:rsidRPr="00DF53F5">
        <w:rPr>
          <w:shd w:val="clear" w:color="auto" w:fill="D18EC0"/>
        </w:rPr>
        <w:t>C.p.c.</w:t>
      </w:r>
      <w:r>
        <w:t xml:space="preserve">, le témoignage fera partie du dossier. </w:t>
      </w:r>
    </w:p>
    <w:p w14:paraId="69C6B8C0" w14:textId="07AA9557" w:rsidR="00885951" w:rsidRDefault="00885951" w:rsidP="005448E9"/>
    <w:p w14:paraId="50A20571" w14:textId="4DF344D1" w:rsidR="005448E9" w:rsidRPr="00DF53F5" w:rsidRDefault="00885951" w:rsidP="005448E9">
      <w:pPr>
        <w:pStyle w:val="ListParagraph"/>
        <w:numPr>
          <w:ilvl w:val="0"/>
          <w:numId w:val="3"/>
        </w:numPr>
      </w:pPr>
      <w:r>
        <w:t xml:space="preserve">Les interrogatoires préalables à l’instruction </w:t>
      </w:r>
      <w:r w:rsidR="005448E9" w:rsidRPr="00DF53F5">
        <w:t>(</w:t>
      </w:r>
      <w:r w:rsidR="005448E9" w:rsidRPr="001A4A75">
        <w:rPr>
          <w:shd w:val="clear" w:color="auto" w:fill="D18EC0"/>
        </w:rPr>
        <w:t>Art</w:t>
      </w:r>
      <w:r w:rsidR="000C2DE7">
        <w:rPr>
          <w:shd w:val="clear" w:color="auto" w:fill="D18EC0"/>
        </w:rPr>
        <w:t>s</w:t>
      </w:r>
      <w:r w:rsidR="005448E9" w:rsidRPr="001A4A75">
        <w:rPr>
          <w:shd w:val="clear" w:color="auto" w:fill="D18EC0"/>
        </w:rPr>
        <w:t xml:space="preserve">. </w:t>
      </w:r>
      <w:r w:rsidR="000C2DE7">
        <w:rPr>
          <w:shd w:val="clear" w:color="auto" w:fill="D18EC0"/>
        </w:rPr>
        <w:t xml:space="preserve">221, 222 </w:t>
      </w:r>
      <w:r w:rsidR="005448E9" w:rsidRPr="001A4A75">
        <w:rPr>
          <w:shd w:val="clear" w:color="auto" w:fill="D18EC0"/>
        </w:rPr>
        <w:t>C.p.c.</w:t>
      </w:r>
      <w:r w:rsidR="005448E9" w:rsidRPr="00DF53F5">
        <w:t>)</w:t>
      </w:r>
    </w:p>
    <w:p w14:paraId="4CF5AD74" w14:textId="77777777" w:rsidR="001A4A75" w:rsidRDefault="001A4A75" w:rsidP="005448E9"/>
    <w:p w14:paraId="72B79BAF" w14:textId="1EFE4371" w:rsidR="005448E9" w:rsidRDefault="001A4A75" w:rsidP="005448E9">
      <w:r>
        <w:t>Lorsqu’une partie, l’un de ses représentants ou un tiers est int</w:t>
      </w:r>
      <w:r w:rsidR="00BA21CE">
        <w:t>e</w:t>
      </w:r>
      <w:r>
        <w:t>rrogé au préalable</w:t>
      </w:r>
      <w:r w:rsidR="00BA21CE">
        <w:t>, son témoignage peut</w:t>
      </w:r>
      <w:r w:rsidR="00790DB7">
        <w:t xml:space="preserve"> s’il est produit au dossier faire partie du dossier et ainsi être considéré par le juge</w:t>
      </w:r>
      <w:r w:rsidR="007C7FAA">
        <w:t xml:space="preserve"> </w:t>
      </w:r>
      <w:r w:rsidR="005448E9" w:rsidRPr="00DF53F5">
        <w:t>(</w:t>
      </w:r>
      <w:r w:rsidR="005448E9" w:rsidRPr="00DF53F5">
        <w:rPr>
          <w:shd w:val="clear" w:color="auto" w:fill="D18EC0"/>
        </w:rPr>
        <w:t>Art</w:t>
      </w:r>
      <w:r w:rsidR="007C7FAA">
        <w:rPr>
          <w:shd w:val="clear" w:color="auto" w:fill="D18EC0"/>
        </w:rPr>
        <w:t>s</w:t>
      </w:r>
      <w:r w:rsidR="005448E9" w:rsidRPr="00DF53F5">
        <w:rPr>
          <w:shd w:val="clear" w:color="auto" w:fill="D18EC0"/>
        </w:rPr>
        <w:t xml:space="preserve">. </w:t>
      </w:r>
      <w:r w:rsidR="007C7FAA">
        <w:rPr>
          <w:shd w:val="clear" w:color="auto" w:fill="D18EC0"/>
        </w:rPr>
        <w:t xml:space="preserve">221. 222 </w:t>
      </w:r>
      <w:r w:rsidR="005448E9" w:rsidRPr="00DF53F5">
        <w:rPr>
          <w:shd w:val="clear" w:color="auto" w:fill="D18EC0"/>
        </w:rPr>
        <w:t>C.p.c.</w:t>
      </w:r>
      <w:r w:rsidR="005448E9" w:rsidRPr="00DF53F5">
        <w:t>)</w:t>
      </w:r>
      <w:r w:rsidR="00CC4E8E">
        <w:t>.</w:t>
      </w:r>
    </w:p>
    <w:p w14:paraId="1B6DF808" w14:textId="64D1044D" w:rsidR="00CC4E8E" w:rsidRDefault="00CC4E8E" w:rsidP="005448E9"/>
    <w:p w14:paraId="08DC8E66" w14:textId="1883BE0C" w:rsidR="005448E9" w:rsidRPr="00DF53F5" w:rsidRDefault="00595599" w:rsidP="005448E9">
      <w:pPr>
        <w:pStyle w:val="ListParagraph"/>
        <w:numPr>
          <w:ilvl w:val="0"/>
          <w:numId w:val="3"/>
        </w:numPr>
      </w:pPr>
      <w:r>
        <w:t xml:space="preserve">Interrogé un témoin hors la présence du tribunal </w:t>
      </w:r>
      <w:r w:rsidR="005448E9" w:rsidRPr="00DF53F5">
        <w:t>(</w:t>
      </w:r>
      <w:r w:rsidR="005448E9" w:rsidRPr="00DA1931">
        <w:rPr>
          <w:shd w:val="clear" w:color="auto" w:fill="D18EC0"/>
        </w:rPr>
        <w:t xml:space="preserve">Art. </w:t>
      </w:r>
      <w:r>
        <w:rPr>
          <w:shd w:val="clear" w:color="auto" w:fill="D18EC0"/>
        </w:rPr>
        <w:t xml:space="preserve">295 </w:t>
      </w:r>
      <w:r w:rsidR="005448E9" w:rsidRPr="00DA1931">
        <w:rPr>
          <w:shd w:val="clear" w:color="auto" w:fill="D18EC0"/>
        </w:rPr>
        <w:t>C.p.c.</w:t>
      </w:r>
      <w:r w:rsidR="005448E9" w:rsidRPr="00DF53F5">
        <w:t>)</w:t>
      </w:r>
    </w:p>
    <w:p w14:paraId="5B577088" w14:textId="77777777" w:rsidR="00595599" w:rsidRDefault="00595599" w:rsidP="005448E9"/>
    <w:p w14:paraId="5A16A1A9" w14:textId="2F501AEF" w:rsidR="005448E9" w:rsidRDefault="005448E9" w:rsidP="005448E9">
      <w:r w:rsidRPr="00DF53F5">
        <w:t>(</w:t>
      </w:r>
      <w:r w:rsidRPr="00DF53F5">
        <w:rPr>
          <w:shd w:val="clear" w:color="auto" w:fill="D18EC0"/>
        </w:rPr>
        <w:t xml:space="preserve">Art. </w:t>
      </w:r>
      <w:r w:rsidR="00595599">
        <w:rPr>
          <w:shd w:val="clear" w:color="auto" w:fill="D18EC0"/>
        </w:rPr>
        <w:t xml:space="preserve">295 </w:t>
      </w:r>
      <w:r w:rsidRPr="00DF53F5">
        <w:rPr>
          <w:shd w:val="clear" w:color="auto" w:fill="D18EC0"/>
        </w:rPr>
        <w:t>C.p.c.</w:t>
      </w:r>
      <w:r w:rsidRPr="00DF53F5">
        <w:t>)</w:t>
      </w:r>
      <w:r w:rsidR="00595599">
        <w:t> : cr</w:t>
      </w:r>
      <w:r w:rsidR="00F8084C">
        <w:t>aignant</w:t>
      </w:r>
      <w:r w:rsidR="00595599">
        <w:t xml:space="preserve"> l’absence lors de l’instruction </w:t>
      </w:r>
      <w:r w:rsidR="00385148">
        <w:t>dans un litige déjà entrepris contrairement à l’</w:t>
      </w:r>
      <w:r w:rsidR="0080754A">
        <w:t>e</w:t>
      </w:r>
      <w:r w:rsidR="00385148">
        <w:t>xception de l’</w:t>
      </w:r>
      <w:r w:rsidRPr="00DF53F5">
        <w:rPr>
          <w:shd w:val="clear" w:color="auto" w:fill="D18EC0"/>
        </w:rPr>
        <w:t xml:space="preserve">Art. </w:t>
      </w:r>
      <w:r w:rsidR="00385148">
        <w:rPr>
          <w:shd w:val="clear" w:color="auto" w:fill="D18EC0"/>
        </w:rPr>
        <w:t xml:space="preserve">253 </w:t>
      </w:r>
      <w:r w:rsidRPr="00DF53F5">
        <w:rPr>
          <w:shd w:val="clear" w:color="auto" w:fill="D18EC0"/>
        </w:rPr>
        <w:t>C.p.c</w:t>
      </w:r>
      <w:r w:rsidR="00385148">
        <w:t xml:space="preserve">. Le témoin est assigné à l’avance, interrogé et contre-interrogé. Sa déposition est consignée au dossier de la Cour. </w:t>
      </w:r>
    </w:p>
    <w:p w14:paraId="1A1D262A" w14:textId="7952A4D5" w:rsidR="004F69EA" w:rsidRDefault="004F69EA" w:rsidP="005448E9"/>
    <w:p w14:paraId="728A7F6E" w14:textId="651D5DC2" w:rsidR="002B42AF" w:rsidRDefault="002B42AF" w:rsidP="002B42AF">
      <w:pPr>
        <w:pStyle w:val="Heading2"/>
      </w:pPr>
      <w:r>
        <w:t xml:space="preserve">La force probante </w:t>
      </w:r>
    </w:p>
    <w:p w14:paraId="272386E3" w14:textId="77777777" w:rsidR="004F69EA" w:rsidRPr="00DF53F5" w:rsidRDefault="004F69EA" w:rsidP="005448E9"/>
    <w:p w14:paraId="3144B27A" w14:textId="454DF306" w:rsidR="005448E9" w:rsidRDefault="005448E9" w:rsidP="005448E9">
      <w:r w:rsidRPr="00DF53F5">
        <w:t>(</w:t>
      </w:r>
      <w:r w:rsidRPr="00DF53F5">
        <w:rPr>
          <w:shd w:val="clear" w:color="auto" w:fill="D18EC0"/>
        </w:rPr>
        <w:t xml:space="preserve">Art. </w:t>
      </w:r>
      <w:r w:rsidR="002B42AF">
        <w:rPr>
          <w:shd w:val="clear" w:color="auto" w:fill="D18EC0"/>
        </w:rPr>
        <w:t>2845 C.c.Q.</w:t>
      </w:r>
      <w:r w:rsidRPr="00DF53F5">
        <w:t>)</w:t>
      </w:r>
      <w:r w:rsidR="0018624D">
        <w:t xml:space="preserve"> : </w:t>
      </w:r>
      <w:r w:rsidR="0018624D" w:rsidRPr="0018624D">
        <w:t>La force probante du témoignage est laissée à l’appréciation du tribunal.</w:t>
      </w:r>
    </w:p>
    <w:p w14:paraId="5A710106" w14:textId="5C4F9A9D" w:rsidR="00927E18" w:rsidRDefault="00927E18" w:rsidP="005448E9"/>
    <w:p w14:paraId="4345BA40" w14:textId="54241E36" w:rsidR="007245AE" w:rsidRPr="007501D4" w:rsidRDefault="007245AE" w:rsidP="007245AE">
      <w:pPr>
        <w:rPr>
          <w:b/>
          <w:bCs/>
        </w:rPr>
      </w:pPr>
      <w:r w:rsidRPr="007501D4">
        <w:rPr>
          <w:b/>
          <w:bCs/>
        </w:rPr>
        <w:t>Vrai/Faux</w:t>
      </w:r>
    </w:p>
    <w:p w14:paraId="65070C9A" w14:textId="77777777" w:rsidR="007245AE" w:rsidRDefault="007245AE" w:rsidP="007245AE"/>
    <w:p w14:paraId="74EB71BE" w14:textId="5A7B6A9A" w:rsidR="007245AE" w:rsidRDefault="007245AE" w:rsidP="007245AE">
      <w:r>
        <w:t>Toute personne est apte à témoigner.</w:t>
      </w:r>
    </w:p>
    <w:p w14:paraId="0D3A69DB" w14:textId="77777777" w:rsidR="007245AE" w:rsidRPr="00DF53F5" w:rsidRDefault="007245AE" w:rsidP="005448E9"/>
    <w:p w14:paraId="371E5548" w14:textId="77777777" w:rsidR="00D56262" w:rsidRDefault="00187808" w:rsidP="00D56262">
      <w:r>
        <w:t xml:space="preserve">Faux, </w:t>
      </w:r>
      <w:r w:rsidR="00D56262">
        <w:t>il existe des exceptions aux personnes aptes à témoigner. Ainsi, une personne est inapte à témoigner si elle souffre d’une incapacité physique ou mentale ou, si en raison de son jeune âge, elle n’est pas en mesure de rapporter des faits dont elle a eu personnellement connaissance ou si elle ne comprend pas la nature du serment (</w:t>
      </w:r>
      <w:r w:rsidR="00D56262" w:rsidRPr="007664DB">
        <w:rPr>
          <w:shd w:val="clear" w:color="auto" w:fill="D18EC0"/>
        </w:rPr>
        <w:t>art. 276 C.p.c. et 2844 C.c.Q.</w:t>
      </w:r>
      <w:r w:rsidR="00D56262">
        <w:t>).</w:t>
      </w:r>
    </w:p>
    <w:p w14:paraId="21BA8EF7" w14:textId="77777777" w:rsidR="00D56262" w:rsidRDefault="00D56262" w:rsidP="00D56262"/>
    <w:p w14:paraId="27589F34" w14:textId="6713B28F" w:rsidR="00355D46" w:rsidRDefault="00D56262" w:rsidP="00D56262">
      <w:r>
        <w:t xml:space="preserve">Par ailleurs, un huissier, bien qu’il soit apte à témoigner, ne peut être cité à comparaître pour témoigner de faits ou d’aveux dont il aurait eu connaissance lors de la notification </w:t>
      </w:r>
      <w:r>
        <w:lastRenderedPageBreak/>
        <w:t>d’un acte de procédure. D’autres personnes ne sauraient être contraintes à témoigner, même si elles sont aptes à le faire (</w:t>
      </w:r>
      <w:r w:rsidRPr="00BF0330">
        <w:rPr>
          <w:shd w:val="clear" w:color="auto" w:fill="D18EC0"/>
        </w:rPr>
        <w:t>voir art</w:t>
      </w:r>
      <w:r w:rsidR="007664DB" w:rsidRPr="00BF0330">
        <w:rPr>
          <w:shd w:val="clear" w:color="auto" w:fill="D18EC0"/>
        </w:rPr>
        <w:t>s</w:t>
      </w:r>
      <w:r w:rsidRPr="00BF0330">
        <w:rPr>
          <w:shd w:val="clear" w:color="auto" w:fill="D18EC0"/>
        </w:rPr>
        <w:t>. 282, 283 et 284 C.p.c.</w:t>
      </w:r>
      <w:r>
        <w:t xml:space="preserve"> notamment).</w:t>
      </w:r>
    </w:p>
    <w:p w14:paraId="724C2162" w14:textId="4E3C24D2" w:rsidR="00355D46" w:rsidRDefault="00355D46" w:rsidP="005448E9"/>
    <w:p w14:paraId="745D5AF6" w14:textId="1F06B33E" w:rsidR="008E14FE" w:rsidRDefault="008E14FE" w:rsidP="008E14FE">
      <w:pPr>
        <w:pStyle w:val="Heading2"/>
      </w:pPr>
      <w:r>
        <w:t>Le témoignage de l’enfant</w:t>
      </w:r>
    </w:p>
    <w:p w14:paraId="2C5AD99C" w14:textId="77777777" w:rsidR="00A6218D" w:rsidRDefault="00A6218D" w:rsidP="00A6218D">
      <w:pPr>
        <w:rPr>
          <w:lang w:val="en-US"/>
        </w:rPr>
      </w:pPr>
    </w:p>
    <w:p w14:paraId="0632A04D" w14:textId="2786801E" w:rsidR="00A6218D" w:rsidRDefault="00A6218D" w:rsidP="00A6218D">
      <w:r w:rsidRPr="00A6218D">
        <w:t>(</w:t>
      </w:r>
      <w:r w:rsidRPr="00A6218D">
        <w:rPr>
          <w:shd w:val="clear" w:color="auto" w:fill="D18EC0"/>
        </w:rPr>
        <w:t>Art. 2844 C.c.Q.</w:t>
      </w:r>
      <w:r w:rsidRPr="00A6218D">
        <w:t>) : l’enfant peut agir comme témoin</w:t>
      </w:r>
    </w:p>
    <w:p w14:paraId="6DEDC69A" w14:textId="77777777" w:rsidR="0003735A" w:rsidRDefault="0003735A" w:rsidP="00A6218D"/>
    <w:p w14:paraId="01D2C9F2" w14:textId="55E8FBA1" w:rsidR="0003735A" w:rsidRDefault="0003735A" w:rsidP="0003735A">
      <w:pPr>
        <w:pStyle w:val="ListParagraph"/>
        <w:numPr>
          <w:ilvl w:val="0"/>
          <w:numId w:val="2"/>
        </w:numPr>
      </w:pPr>
      <w:r>
        <w:t>S’il comprend la nature du serment, il sera assermenté comme un adulte</w:t>
      </w:r>
    </w:p>
    <w:p w14:paraId="660A28BA" w14:textId="290BCFD8" w:rsidR="0003735A" w:rsidRPr="00A6218D" w:rsidRDefault="0003735A" w:rsidP="0003735A">
      <w:pPr>
        <w:pStyle w:val="ListParagraph"/>
        <w:numPr>
          <w:ilvl w:val="0"/>
          <w:numId w:val="2"/>
        </w:numPr>
      </w:pPr>
      <w:r>
        <w:t xml:space="preserve">S’il ne comprend pas la nature du serment, mais qu’il doit dire la vérité, il sera admis à témoigner sauf que son témoignage devra être corroboré. </w:t>
      </w:r>
    </w:p>
    <w:p w14:paraId="50337826" w14:textId="4516D0E2" w:rsidR="008E14FE" w:rsidRDefault="008E14FE" w:rsidP="005448E9"/>
    <w:p w14:paraId="07D516FF" w14:textId="77777777" w:rsidR="00B65953" w:rsidRPr="00BF4D65" w:rsidRDefault="00B65953" w:rsidP="00B65953">
      <w:r w:rsidRPr="00BF4D65">
        <w:t>(</w:t>
      </w:r>
      <w:r w:rsidRPr="00BF4D65">
        <w:rPr>
          <w:shd w:val="clear" w:color="auto" w:fill="D18EC0"/>
        </w:rPr>
        <w:t>Art. 24 C.p.c.</w:t>
      </w:r>
      <w:r w:rsidRPr="00BF4D65">
        <w:t>) : la d</w:t>
      </w:r>
      <w:r>
        <w:t xml:space="preserve">éfinition du serment « </w:t>
      </w:r>
      <w:r w:rsidRPr="00BF4D65">
        <w:t>engagement solennel de dire la vérité ou d’exercer une fonction avec impartialité et compétence</w:t>
      </w:r>
      <w:r>
        <w:t xml:space="preserve"> » </w:t>
      </w:r>
    </w:p>
    <w:p w14:paraId="14DFF441" w14:textId="77777777" w:rsidR="00B65953" w:rsidRPr="00BF4D65" w:rsidRDefault="00B65953" w:rsidP="00B65953"/>
    <w:p w14:paraId="1758349D" w14:textId="0F3136EF" w:rsidR="00B65953" w:rsidRDefault="00B65953" w:rsidP="005448E9">
      <w:r w:rsidRPr="00B65953">
        <w:t>(</w:t>
      </w:r>
      <w:r w:rsidRPr="00B65953">
        <w:rPr>
          <w:shd w:val="clear" w:color="auto" w:fill="D18EC0"/>
        </w:rPr>
        <w:t>Art. 34 C.c.Q.</w:t>
      </w:r>
      <w:r w:rsidRPr="00B65953">
        <w:t>) : Le tribunal doit, chaque fois qu’il est saisi d’une demande mettant en jeu l’intérêt d’un enfant, lui donner la possibilité d’être entendu si son âge et son discernement le permettent.</w:t>
      </w:r>
    </w:p>
    <w:p w14:paraId="161A3E4F" w14:textId="77777777" w:rsidR="00B65953" w:rsidRDefault="00B65953" w:rsidP="005448E9"/>
    <w:p w14:paraId="114CDF76" w14:textId="3A9A8D8D" w:rsidR="00B36874" w:rsidRDefault="00B36874" w:rsidP="005448E9">
      <w:r w:rsidRPr="00B36874">
        <w:t>(</w:t>
      </w:r>
      <w:r w:rsidRPr="00B36874">
        <w:rPr>
          <w:shd w:val="clear" w:color="auto" w:fill="D18EC0"/>
        </w:rPr>
        <w:t>Art. 290 C.p.c.</w:t>
      </w:r>
      <w:r w:rsidRPr="00B36874">
        <w:t>) : Lorsque le tribunal entend un mineur ou un majeur inapte, celui-ci peut être accompagné d’une personne apte à l’aider ou à le rassurer.</w:t>
      </w:r>
    </w:p>
    <w:p w14:paraId="31205673" w14:textId="19D9DC87" w:rsidR="00B36874" w:rsidRDefault="00B36874" w:rsidP="005448E9"/>
    <w:p w14:paraId="25F9E6A7" w14:textId="167F11E5" w:rsidR="00E01811" w:rsidRPr="00E01811" w:rsidRDefault="00E01811" w:rsidP="00E01811">
      <w:r w:rsidRPr="00E01811">
        <w:t>(</w:t>
      </w:r>
      <w:r w:rsidRPr="00E01811">
        <w:rPr>
          <w:shd w:val="clear" w:color="auto" w:fill="D18EC0"/>
        </w:rPr>
        <w:t>Art. 291 C.p.c.</w:t>
      </w:r>
      <w:r w:rsidRPr="00E01811">
        <w:t xml:space="preserve">): Le juge peut interroger le mineur </w:t>
      </w:r>
      <w:r>
        <w:t xml:space="preserve">ainsi que le majeur inapte </w:t>
      </w:r>
      <w:r w:rsidRPr="00E01811">
        <w:t>en s</w:t>
      </w:r>
      <w:r>
        <w:t>alle d’audience ou en son cabinet</w:t>
      </w:r>
      <w:r w:rsidR="007C0D33">
        <w:t xml:space="preserve"> après avoir avisé les parties. </w:t>
      </w:r>
    </w:p>
    <w:p w14:paraId="55EDF198" w14:textId="59C232BC" w:rsidR="00E01811" w:rsidRDefault="00E01811" w:rsidP="005448E9"/>
    <w:p w14:paraId="0A214E1C" w14:textId="682ABABC" w:rsidR="00E01811" w:rsidRDefault="00E01811" w:rsidP="005448E9">
      <w:r>
        <w:t>(</w:t>
      </w:r>
      <w:r w:rsidRPr="00566CA8">
        <w:rPr>
          <w:shd w:val="clear" w:color="auto" w:fill="D18EC0"/>
        </w:rPr>
        <w:t>al.1</w:t>
      </w:r>
      <w:r>
        <w:t>) : pour le majeur inapte, le juge pourra notamment l’interroger à son domicile</w:t>
      </w:r>
      <w:r w:rsidR="00293470">
        <w:t xml:space="preserve"> ou à un autre lieu appro</w:t>
      </w:r>
      <w:r w:rsidR="00221165">
        <w:t>p</w:t>
      </w:r>
      <w:r w:rsidR="00293470">
        <w:t>rié</w:t>
      </w:r>
      <w:r>
        <w:t xml:space="preserve">, mais seulement une fois </w:t>
      </w:r>
      <w:r w:rsidR="007C0D33">
        <w:t xml:space="preserve">qu’il aura avisé les parties. </w:t>
      </w:r>
    </w:p>
    <w:p w14:paraId="36DBB6A0" w14:textId="07337667" w:rsidR="00E01811" w:rsidRDefault="00E01811" w:rsidP="005448E9"/>
    <w:p w14:paraId="3D648727" w14:textId="28106774" w:rsidR="00221165" w:rsidRDefault="00221165" w:rsidP="005448E9">
      <w:r>
        <w:t xml:space="preserve">Il existe des dispositions particulières quant au témoignage de l’enfant dans d’autres lois soit, la loi sur la protection de la jeunesse ainsi que la loi sur la preuve au Canada. </w:t>
      </w:r>
    </w:p>
    <w:p w14:paraId="6D2658CE" w14:textId="77777777" w:rsidR="00D64EBE" w:rsidRPr="00B65953" w:rsidRDefault="00D64EBE" w:rsidP="005A7CF0"/>
    <w:p w14:paraId="3802E049" w14:textId="6B787544" w:rsidR="00031602" w:rsidRPr="007D7079" w:rsidRDefault="005A7CF0" w:rsidP="00AC257F">
      <w:r w:rsidRPr="007D7079">
        <w:t>(</w:t>
      </w:r>
      <w:r w:rsidRPr="007D7079">
        <w:rPr>
          <w:shd w:val="clear" w:color="auto" w:fill="D18EC0"/>
        </w:rPr>
        <w:t>Art. 2845 C.c.Q.</w:t>
      </w:r>
      <w:r w:rsidRPr="007D7079">
        <w:t>)</w:t>
      </w:r>
      <w:r w:rsidR="007D7079" w:rsidRPr="007D7079">
        <w:t>:</w:t>
      </w:r>
      <w:r w:rsidR="007D7079">
        <w:t xml:space="preserve"> </w:t>
      </w:r>
      <w:r w:rsidR="007D7079" w:rsidRPr="007D7079">
        <w:t>La force probante du témoignage est laissée à l’appréciation du tribunal.</w:t>
      </w:r>
    </w:p>
    <w:p w14:paraId="6DB6ADB2" w14:textId="77777777" w:rsidR="008B5F0A" w:rsidRPr="007D7079" w:rsidRDefault="008B5F0A" w:rsidP="00AC257F"/>
    <w:p w14:paraId="2579A32F" w14:textId="25C924A3" w:rsidR="00031602" w:rsidRPr="00AB07B0" w:rsidRDefault="00031602" w:rsidP="00031602">
      <w:pPr>
        <w:pStyle w:val="Heading2"/>
      </w:pPr>
      <w:r w:rsidRPr="00AB07B0">
        <w:t>Le témoignage de l’expert</w:t>
      </w:r>
    </w:p>
    <w:p w14:paraId="32ADB07E" w14:textId="46A880F1" w:rsidR="00031602" w:rsidRDefault="00031602" w:rsidP="00AC257F"/>
    <w:p w14:paraId="49677A3D" w14:textId="1AC9B7BC" w:rsidR="00DF356A" w:rsidRDefault="00DF356A" w:rsidP="00AC257F">
      <w:r>
        <w:t>Au C.p.c., il existe 3 types d’expert </w:t>
      </w:r>
      <w:r w:rsidR="00293754">
        <w:t>(</w:t>
      </w:r>
      <w:r w:rsidR="00293754" w:rsidRPr="00382EE2">
        <w:rPr>
          <w:shd w:val="clear" w:color="auto" w:fill="D18EC0"/>
        </w:rPr>
        <w:t>art. 22</w:t>
      </w:r>
      <w:r w:rsidR="004754B4">
        <w:rPr>
          <w:shd w:val="clear" w:color="auto" w:fill="D18EC0"/>
        </w:rPr>
        <w:t>, al.1</w:t>
      </w:r>
      <w:r w:rsidR="00293754" w:rsidRPr="00382EE2">
        <w:rPr>
          <w:shd w:val="clear" w:color="auto" w:fill="D18EC0"/>
        </w:rPr>
        <w:t xml:space="preserve"> C.p.c.</w:t>
      </w:r>
      <w:r w:rsidR="00293754">
        <w:t>)</w:t>
      </w:r>
    </w:p>
    <w:p w14:paraId="63A647AB" w14:textId="7D184E2C" w:rsidR="00DF356A" w:rsidRDefault="00DF356A" w:rsidP="00AC257F"/>
    <w:p w14:paraId="45254684" w14:textId="737F2A1A" w:rsidR="00A13BB5" w:rsidRDefault="00DF356A" w:rsidP="00C8376D">
      <w:pPr>
        <w:pStyle w:val="ListParagraph"/>
        <w:numPr>
          <w:ilvl w:val="0"/>
          <w:numId w:val="8"/>
        </w:numPr>
        <w:rPr>
          <w:lang w:val="en-US"/>
        </w:rPr>
      </w:pPr>
      <w:r>
        <w:t>L’expert d’une partie</w:t>
      </w:r>
      <w:r w:rsidR="00C8376D">
        <w:t xml:space="preserve"> </w:t>
      </w:r>
      <w:r w:rsidR="00C8376D" w:rsidRPr="00A13BB5">
        <w:rPr>
          <w:lang w:val="en-US"/>
        </w:rPr>
        <w:t>(</w:t>
      </w:r>
      <w:r w:rsidR="00C8376D" w:rsidRPr="00A13BB5">
        <w:rPr>
          <w:shd w:val="clear" w:color="auto" w:fill="D18EC0"/>
          <w:lang w:val="en-US"/>
        </w:rPr>
        <w:t xml:space="preserve">Art. </w:t>
      </w:r>
      <w:r w:rsidR="00A420F6">
        <w:rPr>
          <w:shd w:val="clear" w:color="auto" w:fill="D18EC0"/>
          <w:lang w:val="en-US"/>
        </w:rPr>
        <w:t>232</w:t>
      </w:r>
      <w:r w:rsidR="00C8376D" w:rsidRPr="00A13BB5">
        <w:rPr>
          <w:shd w:val="clear" w:color="auto" w:fill="D18EC0"/>
          <w:lang w:val="en-US"/>
        </w:rPr>
        <w:t xml:space="preserve"> C.p.c.</w:t>
      </w:r>
      <w:r w:rsidR="00C8376D" w:rsidRPr="00A13BB5">
        <w:rPr>
          <w:lang w:val="en-US"/>
        </w:rPr>
        <w:t>)</w:t>
      </w:r>
    </w:p>
    <w:p w14:paraId="64EF5CD3" w14:textId="56658081" w:rsidR="00A13BB5" w:rsidRDefault="00DF356A" w:rsidP="00C8376D">
      <w:pPr>
        <w:pStyle w:val="ListParagraph"/>
        <w:numPr>
          <w:ilvl w:val="0"/>
          <w:numId w:val="8"/>
        </w:numPr>
        <w:rPr>
          <w:lang w:val="en-US"/>
        </w:rPr>
      </w:pPr>
      <w:proofErr w:type="spellStart"/>
      <w:r w:rsidRPr="00697CFB">
        <w:rPr>
          <w:lang w:val="en-US"/>
        </w:rPr>
        <w:t>L’expert</w:t>
      </w:r>
      <w:proofErr w:type="spellEnd"/>
      <w:r w:rsidR="00AF4082">
        <w:rPr>
          <w:lang w:val="en-US"/>
        </w:rPr>
        <w:t xml:space="preserve"> </w:t>
      </w:r>
      <w:proofErr w:type="spellStart"/>
      <w:r w:rsidRPr="00697CFB">
        <w:rPr>
          <w:lang w:val="en-US"/>
        </w:rPr>
        <w:t>commu</w:t>
      </w:r>
      <w:r w:rsidR="0023111F" w:rsidRPr="00697CFB">
        <w:rPr>
          <w:lang w:val="en-US"/>
        </w:rPr>
        <w:t>n</w:t>
      </w:r>
      <w:proofErr w:type="spellEnd"/>
      <w:r w:rsidR="00FD08AD">
        <w:rPr>
          <w:lang w:val="en-US"/>
        </w:rPr>
        <w:t xml:space="preserve"> </w:t>
      </w:r>
      <w:r w:rsidR="00C8376D" w:rsidRPr="00A13BB5">
        <w:rPr>
          <w:lang w:val="en-US"/>
        </w:rPr>
        <w:t>(</w:t>
      </w:r>
      <w:r w:rsidR="00C8376D" w:rsidRPr="00A13BB5">
        <w:rPr>
          <w:shd w:val="clear" w:color="auto" w:fill="D18EC0"/>
          <w:lang w:val="en-US"/>
        </w:rPr>
        <w:t>Art. 23</w:t>
      </w:r>
      <w:r w:rsidR="00697CFB">
        <w:rPr>
          <w:shd w:val="clear" w:color="auto" w:fill="D18EC0"/>
          <w:lang w:val="en-US"/>
        </w:rPr>
        <w:t>3</w:t>
      </w:r>
      <w:r w:rsidR="00C8376D" w:rsidRPr="00A13BB5">
        <w:rPr>
          <w:shd w:val="clear" w:color="auto" w:fill="D18EC0"/>
          <w:lang w:val="en-US"/>
        </w:rPr>
        <w:t xml:space="preserve"> C.p.c.</w:t>
      </w:r>
      <w:r w:rsidR="00C8376D" w:rsidRPr="00A13BB5">
        <w:rPr>
          <w:lang w:val="en-US"/>
        </w:rPr>
        <w:t>)</w:t>
      </w:r>
    </w:p>
    <w:p w14:paraId="035DB64D" w14:textId="53920D61" w:rsidR="00DF356A" w:rsidRPr="00A13BB5" w:rsidRDefault="00DF356A" w:rsidP="00C8376D">
      <w:pPr>
        <w:pStyle w:val="ListParagraph"/>
        <w:numPr>
          <w:ilvl w:val="0"/>
          <w:numId w:val="8"/>
        </w:numPr>
      </w:pPr>
      <w:r>
        <w:t xml:space="preserve">L’expert commis par le tribunal </w:t>
      </w:r>
      <w:r w:rsidR="00C8376D" w:rsidRPr="00C8376D">
        <w:t>(</w:t>
      </w:r>
      <w:r w:rsidR="00C8376D" w:rsidRPr="00A13BB5">
        <w:rPr>
          <w:shd w:val="clear" w:color="auto" w:fill="D18EC0"/>
        </w:rPr>
        <w:t>Art. 23</w:t>
      </w:r>
      <w:r w:rsidR="00697CFB">
        <w:rPr>
          <w:shd w:val="clear" w:color="auto" w:fill="D18EC0"/>
        </w:rPr>
        <w:t xml:space="preserve">4 </w:t>
      </w:r>
      <w:r w:rsidR="00C8376D" w:rsidRPr="00A13BB5">
        <w:rPr>
          <w:shd w:val="clear" w:color="auto" w:fill="D18EC0"/>
        </w:rPr>
        <w:t>C.p.c.</w:t>
      </w:r>
      <w:r w:rsidR="00C8376D" w:rsidRPr="00C8376D">
        <w:t>)</w:t>
      </w:r>
    </w:p>
    <w:p w14:paraId="61AEE9D8" w14:textId="77777777" w:rsidR="00DF356A" w:rsidRPr="00AB07B0" w:rsidRDefault="00DF356A" w:rsidP="00DF356A"/>
    <w:p w14:paraId="7A03A80A" w14:textId="526C9F08" w:rsidR="00AC257F" w:rsidRDefault="00DF356A" w:rsidP="00AC257F">
      <w:r>
        <w:t xml:space="preserve">Les devoirs et pouvoirs de l’expert </w:t>
      </w:r>
      <w:r w:rsidR="00577CDA">
        <w:t xml:space="preserve">sont dévolus aux </w:t>
      </w:r>
      <w:r w:rsidR="00AC257F" w:rsidRPr="00AB07B0">
        <w:rPr>
          <w:shd w:val="clear" w:color="auto" w:fill="D18EC0"/>
        </w:rPr>
        <w:t>Art</w:t>
      </w:r>
      <w:r w:rsidR="004F2116">
        <w:rPr>
          <w:shd w:val="clear" w:color="auto" w:fill="D18EC0"/>
        </w:rPr>
        <w:t>s</w:t>
      </w:r>
      <w:r w:rsidR="00AC257F" w:rsidRPr="00AB07B0">
        <w:rPr>
          <w:shd w:val="clear" w:color="auto" w:fill="D18EC0"/>
        </w:rPr>
        <w:t xml:space="preserve">. </w:t>
      </w:r>
      <w:r w:rsidR="00AB07B0" w:rsidRPr="00AB07B0">
        <w:rPr>
          <w:shd w:val="clear" w:color="auto" w:fill="D18EC0"/>
        </w:rPr>
        <w:t>235</w:t>
      </w:r>
      <w:r w:rsidR="004F2116">
        <w:rPr>
          <w:shd w:val="clear" w:color="auto" w:fill="D18EC0"/>
        </w:rPr>
        <w:t>-237</w:t>
      </w:r>
      <w:r w:rsidR="00AB07B0" w:rsidRPr="00AB07B0">
        <w:rPr>
          <w:shd w:val="clear" w:color="auto" w:fill="D18EC0"/>
        </w:rPr>
        <w:t xml:space="preserve"> </w:t>
      </w:r>
      <w:r w:rsidR="00AC257F" w:rsidRPr="00AB07B0">
        <w:rPr>
          <w:shd w:val="clear" w:color="auto" w:fill="D18EC0"/>
        </w:rPr>
        <w:t>C.p.c.</w:t>
      </w:r>
    </w:p>
    <w:p w14:paraId="2C1DE421" w14:textId="6EA0125D" w:rsidR="00BA345F" w:rsidRDefault="00BA345F" w:rsidP="00AC257F"/>
    <w:p w14:paraId="6604038E" w14:textId="51F50B2F" w:rsidR="00772B80" w:rsidRPr="003A31AF" w:rsidRDefault="00772B80" w:rsidP="00772B80">
      <w:r w:rsidRPr="003A31AF">
        <w:t>(</w:t>
      </w:r>
      <w:r w:rsidRPr="003A31AF">
        <w:rPr>
          <w:shd w:val="clear" w:color="auto" w:fill="D18EC0"/>
        </w:rPr>
        <w:t>Art. 235, al.3 C.p.c.</w:t>
      </w:r>
      <w:r w:rsidRPr="003A31AF">
        <w:t>)</w:t>
      </w:r>
      <w:r w:rsidR="003A31AF" w:rsidRPr="003A31AF">
        <w:t xml:space="preserve"> : le tribunal ou</w:t>
      </w:r>
      <w:r w:rsidR="003A31AF">
        <w:t xml:space="preserve"> le</w:t>
      </w:r>
      <w:r w:rsidR="00F334AF">
        <w:t xml:space="preserve">s </w:t>
      </w:r>
      <w:r w:rsidR="003A31AF">
        <w:t>parties peuvent exiger qu’i porte serment (</w:t>
      </w:r>
      <w:r w:rsidR="003A31AF" w:rsidRPr="0067295A">
        <w:rPr>
          <w:shd w:val="clear" w:color="auto" w:fill="D18EC0"/>
        </w:rPr>
        <w:t>art. 24 C.p.c</w:t>
      </w:r>
      <w:r w:rsidR="003A31AF">
        <w:t>.)</w:t>
      </w:r>
      <w:r w:rsidR="00B44AE4">
        <w:t xml:space="preserve">. Dans tous les cas, il agit sous son serment professionnel et à cet égard, </w:t>
      </w:r>
      <w:r w:rsidR="00543DC2">
        <w:t>il devra joindre sa déclaration à son rapport d’</w:t>
      </w:r>
      <w:r w:rsidR="0054775F">
        <w:t>e</w:t>
      </w:r>
      <w:r w:rsidR="00543DC2">
        <w:t xml:space="preserve">xpertise. </w:t>
      </w:r>
    </w:p>
    <w:p w14:paraId="0DED5C8B" w14:textId="0D8C11A8" w:rsidR="00772B80" w:rsidRDefault="00772B80" w:rsidP="00AC257F"/>
    <w:p w14:paraId="52FC36A3" w14:textId="7BD85A42" w:rsidR="00DB064D" w:rsidRDefault="00DB064D" w:rsidP="00DB064D">
      <w:r w:rsidRPr="00DB064D">
        <w:lastRenderedPageBreak/>
        <w:t>(</w:t>
      </w:r>
      <w:r w:rsidRPr="00DB064D">
        <w:rPr>
          <w:shd w:val="clear" w:color="auto" w:fill="D18EC0"/>
        </w:rPr>
        <w:t>Art. 22, al.2 C.p.c.</w:t>
      </w:r>
      <w:r w:rsidRPr="00DB064D">
        <w:t>) : L’expert doit accomplir sa mission avec objectivité, impartialité et rigueur.</w:t>
      </w:r>
    </w:p>
    <w:p w14:paraId="360B9AE6" w14:textId="76424C62" w:rsidR="00CA6F55" w:rsidRDefault="00CA6F55" w:rsidP="00DB064D"/>
    <w:p w14:paraId="68793BD8" w14:textId="341A7DC2" w:rsidR="00CA6F55" w:rsidRPr="00DB064D" w:rsidRDefault="00CA6F55" w:rsidP="00DB064D">
      <w:r w:rsidRPr="00C73159">
        <w:t>(</w:t>
      </w:r>
      <w:r w:rsidRPr="00C73159">
        <w:rPr>
          <w:shd w:val="clear" w:color="auto" w:fill="D18EC0"/>
        </w:rPr>
        <w:t>Art. 238, al.3 C.p.c.</w:t>
      </w:r>
      <w:r w:rsidRPr="00C73159">
        <w:t xml:space="preserve">) : les conclusions </w:t>
      </w:r>
      <w:r>
        <w:t xml:space="preserve">de l’expert ne lie pas les parties sauf si elles déclarent les accepter. Notamment, celles-ci ne lient pas le tribunal. </w:t>
      </w:r>
    </w:p>
    <w:p w14:paraId="5554F2DF" w14:textId="77777777" w:rsidR="00666D5E" w:rsidRDefault="00666D5E" w:rsidP="00666D5E">
      <w:pPr>
        <w:rPr>
          <w:lang w:val="en-US"/>
        </w:rPr>
      </w:pPr>
    </w:p>
    <w:p w14:paraId="36F630F3" w14:textId="71DE538D" w:rsidR="00666D5E" w:rsidRPr="00666D5E" w:rsidRDefault="00666D5E" w:rsidP="00666D5E">
      <w:r w:rsidRPr="00666D5E">
        <w:t>(</w:t>
      </w:r>
      <w:r w:rsidRPr="00666D5E">
        <w:rPr>
          <w:shd w:val="clear" w:color="auto" w:fill="D18EC0"/>
        </w:rPr>
        <w:t>Art. 293 C.p.c.</w:t>
      </w:r>
      <w:r w:rsidRPr="00666D5E">
        <w:t xml:space="preserve">) : son rapport </w:t>
      </w:r>
      <w:r>
        <w:t>tient lieu de</w:t>
      </w:r>
      <w:r w:rsidR="00EF565F">
        <w:t xml:space="preserve"> </w:t>
      </w:r>
      <w:r>
        <w:t xml:space="preserve">témoignage. </w:t>
      </w:r>
    </w:p>
    <w:p w14:paraId="508F5547" w14:textId="3120BDF2" w:rsidR="00666D5E" w:rsidRDefault="00666D5E" w:rsidP="00AC257F"/>
    <w:p w14:paraId="0602DD82" w14:textId="1A640EFE" w:rsidR="00EF565F" w:rsidRPr="00CC3B36" w:rsidRDefault="00EF565F" w:rsidP="00EF565F">
      <w:r w:rsidRPr="00CC3B36">
        <w:t>(</w:t>
      </w:r>
      <w:r w:rsidRPr="00CC3B36">
        <w:rPr>
          <w:shd w:val="clear" w:color="auto" w:fill="D18EC0"/>
        </w:rPr>
        <w:t>Art. 2845 C.c.Q.</w:t>
      </w:r>
      <w:r w:rsidRPr="00CC3B36">
        <w:t xml:space="preserve">) : </w:t>
      </w:r>
      <w:r w:rsidR="00CC3B36">
        <w:t xml:space="preserve">la force probante du </w:t>
      </w:r>
      <w:r w:rsidR="00CC3B36" w:rsidRPr="00CC3B36">
        <w:t>rapport est tenu à l’appréci</w:t>
      </w:r>
      <w:r w:rsidR="00034765">
        <w:t xml:space="preserve">ation du tribunal. </w:t>
      </w:r>
    </w:p>
    <w:p w14:paraId="5023BC7D" w14:textId="77777777" w:rsidR="00EF565F" w:rsidRDefault="00EF565F" w:rsidP="00AC257F"/>
    <w:p w14:paraId="6E15CC8B" w14:textId="61530BA6" w:rsidR="00666D5E" w:rsidRDefault="009A2017" w:rsidP="009A2017">
      <w:pPr>
        <w:pStyle w:val="ListParagraph"/>
        <w:numPr>
          <w:ilvl w:val="0"/>
          <w:numId w:val="2"/>
        </w:numPr>
      </w:pPr>
      <w:r>
        <w:t>Dans son appréciation, le tribunal tient compte notamment de la crédibilité de l’expert</w:t>
      </w:r>
      <w:r w:rsidR="00D25868">
        <w:t xml:space="preserve">, de ses connaissances, de la manière qu’il s’est acquitté de sa tâche, de la validité des tests utilités, de son objectivité, de son désintéressement par rapport aux parties. </w:t>
      </w:r>
    </w:p>
    <w:p w14:paraId="49F2C5BB" w14:textId="77777777" w:rsidR="00D25868" w:rsidRPr="00AB07B0" w:rsidRDefault="00D25868" w:rsidP="00D25868"/>
    <w:p w14:paraId="086ED245" w14:textId="5DE33E9B" w:rsidR="00AC257F" w:rsidRPr="00C73159" w:rsidRDefault="00AC257F" w:rsidP="00AC257F">
      <w:r w:rsidRPr="00C73159">
        <w:t>(</w:t>
      </w:r>
      <w:r w:rsidRPr="00C73159">
        <w:rPr>
          <w:shd w:val="clear" w:color="auto" w:fill="D18EC0"/>
        </w:rPr>
        <w:t xml:space="preserve">Art. </w:t>
      </w:r>
      <w:r w:rsidR="00AB07B0" w:rsidRPr="00C73159">
        <w:rPr>
          <w:shd w:val="clear" w:color="auto" w:fill="D18EC0"/>
        </w:rPr>
        <w:t>238</w:t>
      </w:r>
      <w:r w:rsidR="00C73159" w:rsidRPr="00C73159">
        <w:rPr>
          <w:shd w:val="clear" w:color="auto" w:fill="D18EC0"/>
        </w:rPr>
        <w:t xml:space="preserve">, al.3 </w:t>
      </w:r>
      <w:r w:rsidRPr="00C73159">
        <w:rPr>
          <w:shd w:val="clear" w:color="auto" w:fill="D18EC0"/>
        </w:rPr>
        <w:t>C.p.c.</w:t>
      </w:r>
      <w:r w:rsidRPr="00C73159">
        <w:t>)</w:t>
      </w:r>
      <w:r w:rsidR="00C73159" w:rsidRPr="00C73159">
        <w:t xml:space="preserve"> : les conclusions </w:t>
      </w:r>
      <w:r w:rsidR="00C73159">
        <w:t>de l’</w:t>
      </w:r>
      <w:r w:rsidR="00EA7C6B">
        <w:t>e</w:t>
      </w:r>
      <w:r w:rsidR="00C73159">
        <w:t xml:space="preserve">xpert ne lie pas les parties sauf si elles déclarent les accepter. </w:t>
      </w:r>
      <w:r w:rsidR="005B1AC9">
        <w:t xml:space="preserve">Notamment, celles-ci ne lient pas le tribunal. </w:t>
      </w:r>
    </w:p>
    <w:p w14:paraId="20600320" w14:textId="77777777" w:rsidR="00171526" w:rsidRDefault="00171526" w:rsidP="006A679F">
      <w:pPr>
        <w:rPr>
          <w:lang w:val="en-US"/>
        </w:rPr>
      </w:pPr>
    </w:p>
    <w:p w14:paraId="175A4D07" w14:textId="220A9AC8" w:rsidR="00171526" w:rsidRPr="00171526" w:rsidRDefault="00171526" w:rsidP="00171526">
      <w:pPr>
        <w:pStyle w:val="Heading2"/>
      </w:pPr>
      <w:r w:rsidRPr="00171526">
        <w:t xml:space="preserve">Le témoignage par </w:t>
      </w:r>
      <w:r>
        <w:t xml:space="preserve">déclaration assermentée </w:t>
      </w:r>
    </w:p>
    <w:p w14:paraId="713F98F6" w14:textId="77777777" w:rsidR="00171526" w:rsidRPr="00171526" w:rsidRDefault="00171526" w:rsidP="006A679F"/>
    <w:p w14:paraId="73A3FB9E" w14:textId="516822CF" w:rsidR="006A679F" w:rsidRDefault="003D2D68" w:rsidP="006A679F">
      <w:r w:rsidRPr="003D2D68">
        <w:t>C’est possible de rend</w:t>
      </w:r>
      <w:r w:rsidR="00712841">
        <w:t xml:space="preserve">re </w:t>
      </w:r>
      <w:r w:rsidRPr="003D2D68">
        <w:t>témoignage en d</w:t>
      </w:r>
      <w:r w:rsidR="00712841">
        <w:t>e</w:t>
      </w:r>
      <w:r w:rsidRPr="003D2D68">
        <w:t>hors de la salle de Cour</w:t>
      </w:r>
      <w:r>
        <w:t xml:space="preserve"> par l’intermédiaire d’une déclaration assermentée</w:t>
      </w:r>
      <w:r w:rsidR="00712841">
        <w:t xml:space="preserve"> </w:t>
      </w:r>
      <w:r w:rsidR="006A679F" w:rsidRPr="00712841">
        <w:t>(</w:t>
      </w:r>
      <w:r w:rsidR="006A679F" w:rsidRPr="00712841">
        <w:rPr>
          <w:shd w:val="clear" w:color="auto" w:fill="D18EC0"/>
        </w:rPr>
        <w:t>Art</w:t>
      </w:r>
      <w:r w:rsidR="00712841">
        <w:rPr>
          <w:shd w:val="clear" w:color="auto" w:fill="D18EC0"/>
        </w:rPr>
        <w:t xml:space="preserve">s. </w:t>
      </w:r>
      <w:r w:rsidR="00E52C14" w:rsidRPr="00712841">
        <w:rPr>
          <w:shd w:val="clear" w:color="auto" w:fill="D18EC0"/>
        </w:rPr>
        <w:t xml:space="preserve">105 </w:t>
      </w:r>
      <w:r w:rsidR="00712841">
        <w:rPr>
          <w:shd w:val="clear" w:color="auto" w:fill="D18EC0"/>
        </w:rPr>
        <w:t xml:space="preserve">et 106 </w:t>
      </w:r>
      <w:r w:rsidR="006A679F" w:rsidRPr="00712841">
        <w:rPr>
          <w:shd w:val="clear" w:color="auto" w:fill="D18EC0"/>
        </w:rPr>
        <w:t>C.</w:t>
      </w:r>
      <w:r w:rsidR="00E0504E" w:rsidRPr="00712841">
        <w:rPr>
          <w:shd w:val="clear" w:color="auto" w:fill="D18EC0"/>
        </w:rPr>
        <w:t>p.c.</w:t>
      </w:r>
      <w:r w:rsidR="006A679F" w:rsidRPr="00712841">
        <w:t>)</w:t>
      </w:r>
      <w:r w:rsidR="008C7CE9">
        <w:t xml:space="preserve">. </w:t>
      </w:r>
    </w:p>
    <w:p w14:paraId="230C372B" w14:textId="26AD298A" w:rsidR="00CD6715" w:rsidRDefault="00CD6715" w:rsidP="006A679F"/>
    <w:p w14:paraId="7DF554B3" w14:textId="43A9B875" w:rsidR="005D1446" w:rsidRPr="005D1446" w:rsidRDefault="00601813" w:rsidP="005D1446">
      <w:r>
        <w:t xml:space="preserve">Un témoignage écrit fait preuve de son contenu. </w:t>
      </w:r>
      <w:r w:rsidR="005D1446">
        <w:t>Selon l’</w:t>
      </w:r>
      <w:r w:rsidR="005D1446" w:rsidRPr="003D2D68">
        <w:rPr>
          <w:shd w:val="clear" w:color="auto" w:fill="D18EC0"/>
        </w:rPr>
        <w:t>Art. 2845 C.c.Q.</w:t>
      </w:r>
      <w:r w:rsidR="005D1446">
        <w:t xml:space="preserve">, celle-ci sera laissée à l’appréciation du tribunal. </w:t>
      </w:r>
    </w:p>
    <w:p w14:paraId="5C1F6075" w14:textId="47BF63AB" w:rsidR="00CD6715" w:rsidRPr="00712841" w:rsidRDefault="00CD6715" w:rsidP="006A679F"/>
    <w:p w14:paraId="5F2530B2" w14:textId="77777777" w:rsidR="00416BE5" w:rsidRDefault="00416BE5" w:rsidP="00E52C14">
      <w:pPr>
        <w:rPr>
          <w:lang w:val="en-US"/>
        </w:rPr>
      </w:pPr>
      <w:r w:rsidRPr="00E125DC">
        <w:t>Utilisation</w:t>
      </w:r>
      <w:r>
        <w:rPr>
          <w:lang w:val="en-US"/>
        </w:rPr>
        <w:t xml:space="preserve"> :</w:t>
      </w:r>
    </w:p>
    <w:p w14:paraId="532FD46D" w14:textId="77777777" w:rsidR="00416BE5" w:rsidRDefault="00416BE5" w:rsidP="00E52C14">
      <w:pPr>
        <w:rPr>
          <w:lang w:val="en-US"/>
        </w:rPr>
      </w:pPr>
    </w:p>
    <w:p w14:paraId="2655FC40" w14:textId="57BA6773" w:rsidR="00E52C14" w:rsidRDefault="00416BE5" w:rsidP="00D62F86">
      <w:pPr>
        <w:pStyle w:val="ListParagraph"/>
        <w:numPr>
          <w:ilvl w:val="0"/>
          <w:numId w:val="9"/>
        </w:numPr>
      </w:pPr>
      <w:r w:rsidRPr="00416BE5">
        <w:t xml:space="preserve">La preuve par défaut </w:t>
      </w:r>
      <w:r w:rsidR="00E52C14" w:rsidRPr="00416BE5">
        <w:t>(</w:t>
      </w:r>
      <w:r w:rsidR="00E52C14" w:rsidRPr="00D62F86">
        <w:rPr>
          <w:shd w:val="clear" w:color="auto" w:fill="D18EC0"/>
        </w:rPr>
        <w:t>Art</w:t>
      </w:r>
      <w:r w:rsidRPr="00D62F86">
        <w:rPr>
          <w:shd w:val="clear" w:color="auto" w:fill="D18EC0"/>
        </w:rPr>
        <w:t>s</w:t>
      </w:r>
      <w:r w:rsidR="00E52C14" w:rsidRPr="00D62F86">
        <w:rPr>
          <w:shd w:val="clear" w:color="auto" w:fill="D18EC0"/>
        </w:rPr>
        <w:t xml:space="preserve">. 181 </w:t>
      </w:r>
      <w:r w:rsidRPr="00D62F86">
        <w:rPr>
          <w:shd w:val="clear" w:color="auto" w:fill="D18EC0"/>
        </w:rPr>
        <w:t xml:space="preserve">et 182 </w:t>
      </w:r>
      <w:r w:rsidR="00E52C14" w:rsidRPr="00D62F86">
        <w:rPr>
          <w:shd w:val="clear" w:color="auto" w:fill="D18EC0"/>
        </w:rPr>
        <w:t>C.p.c.</w:t>
      </w:r>
      <w:r w:rsidR="00E52C14" w:rsidRPr="00416BE5">
        <w:t>)</w:t>
      </w:r>
    </w:p>
    <w:p w14:paraId="4BBAFD8A" w14:textId="394A9932" w:rsidR="00E52C14" w:rsidRDefault="00D62F86" w:rsidP="00E52C14">
      <w:pPr>
        <w:pStyle w:val="ListParagraph"/>
        <w:numPr>
          <w:ilvl w:val="0"/>
          <w:numId w:val="9"/>
        </w:numPr>
      </w:pPr>
      <w:r>
        <w:t xml:space="preserve">La demande d’injonction interlocutoire </w:t>
      </w:r>
      <w:r w:rsidR="00E52C14" w:rsidRPr="00D62F86">
        <w:t>(</w:t>
      </w:r>
      <w:r w:rsidR="00E52C14" w:rsidRPr="00D62F86">
        <w:rPr>
          <w:shd w:val="clear" w:color="auto" w:fill="D18EC0"/>
        </w:rPr>
        <w:t>Art</w:t>
      </w:r>
      <w:r w:rsidRPr="00D62F86">
        <w:rPr>
          <w:shd w:val="clear" w:color="auto" w:fill="D18EC0"/>
        </w:rPr>
        <w:t>s</w:t>
      </w:r>
      <w:r w:rsidR="00E52C14" w:rsidRPr="00D62F86">
        <w:rPr>
          <w:shd w:val="clear" w:color="auto" w:fill="D18EC0"/>
        </w:rPr>
        <w:t>. 1</w:t>
      </w:r>
      <w:r>
        <w:rPr>
          <w:shd w:val="clear" w:color="auto" w:fill="D18EC0"/>
        </w:rPr>
        <w:t>06</w:t>
      </w:r>
      <w:r w:rsidR="0027627C">
        <w:rPr>
          <w:shd w:val="clear" w:color="auto" w:fill="D18EC0"/>
        </w:rPr>
        <w:t>, al.2 (preuve orale permise)</w:t>
      </w:r>
      <w:r>
        <w:rPr>
          <w:shd w:val="clear" w:color="auto" w:fill="D18EC0"/>
        </w:rPr>
        <w:t xml:space="preserve">, 509 et ss </w:t>
      </w:r>
      <w:r w:rsidR="00E52C14" w:rsidRPr="00D62F86">
        <w:rPr>
          <w:shd w:val="clear" w:color="auto" w:fill="D18EC0"/>
        </w:rPr>
        <w:t>C.p.c.</w:t>
      </w:r>
      <w:r w:rsidR="00E52C14" w:rsidRPr="00D62F86">
        <w:t>)</w:t>
      </w:r>
    </w:p>
    <w:p w14:paraId="5F9D6C40" w14:textId="50D8FDD3" w:rsidR="00E52C14" w:rsidRDefault="009F5BA6" w:rsidP="00E52C14">
      <w:pPr>
        <w:pStyle w:val="ListParagraph"/>
        <w:numPr>
          <w:ilvl w:val="0"/>
          <w:numId w:val="9"/>
        </w:numPr>
      </w:pPr>
      <w:r>
        <w:t xml:space="preserve">Le pourvoi en contrôle judiciaire </w:t>
      </w:r>
      <w:r w:rsidR="00E52C14" w:rsidRPr="00A87195">
        <w:t>(</w:t>
      </w:r>
      <w:r w:rsidR="00E52C14" w:rsidRPr="00A87195">
        <w:rPr>
          <w:shd w:val="clear" w:color="auto" w:fill="D18EC0"/>
        </w:rPr>
        <w:t>Art</w:t>
      </w:r>
      <w:r w:rsidR="00A87195" w:rsidRPr="00A87195">
        <w:rPr>
          <w:shd w:val="clear" w:color="auto" w:fill="D18EC0"/>
        </w:rPr>
        <w:t>s</w:t>
      </w:r>
      <w:r w:rsidR="00E52C14" w:rsidRPr="00A87195">
        <w:rPr>
          <w:shd w:val="clear" w:color="auto" w:fill="D18EC0"/>
        </w:rPr>
        <w:t xml:space="preserve">. </w:t>
      </w:r>
      <w:r w:rsidR="000E11B7">
        <w:rPr>
          <w:shd w:val="clear" w:color="auto" w:fill="D18EC0"/>
        </w:rPr>
        <w:t>106,</w:t>
      </w:r>
      <w:r w:rsidR="0045608D">
        <w:rPr>
          <w:shd w:val="clear" w:color="auto" w:fill="D18EC0"/>
        </w:rPr>
        <w:t xml:space="preserve"> al.2 (preuve orale permise), </w:t>
      </w:r>
      <w:r w:rsidR="000E11B7">
        <w:rPr>
          <w:shd w:val="clear" w:color="auto" w:fill="D18EC0"/>
        </w:rPr>
        <w:t xml:space="preserve">529 et ss </w:t>
      </w:r>
      <w:r w:rsidR="00E52C14" w:rsidRPr="00A87195">
        <w:rPr>
          <w:shd w:val="clear" w:color="auto" w:fill="D18EC0"/>
        </w:rPr>
        <w:t>C.p.c.</w:t>
      </w:r>
      <w:r w:rsidR="00E52C14" w:rsidRPr="00A87195">
        <w:t>)</w:t>
      </w:r>
    </w:p>
    <w:p w14:paraId="26361BBC" w14:textId="2F7D8941" w:rsidR="00E52C14" w:rsidRDefault="00227148" w:rsidP="006A679F">
      <w:pPr>
        <w:pStyle w:val="ListParagraph"/>
        <w:numPr>
          <w:ilvl w:val="0"/>
          <w:numId w:val="9"/>
        </w:numPr>
      </w:pPr>
      <w:r>
        <w:t xml:space="preserve">La saisie avant jugement </w:t>
      </w:r>
      <w:r w:rsidR="00E52C14" w:rsidRPr="00227148">
        <w:t>(</w:t>
      </w:r>
      <w:r w:rsidR="00E52C14" w:rsidRPr="00227148">
        <w:rPr>
          <w:shd w:val="clear" w:color="auto" w:fill="D18EC0"/>
        </w:rPr>
        <w:t>Art</w:t>
      </w:r>
      <w:r w:rsidRPr="00227148">
        <w:rPr>
          <w:shd w:val="clear" w:color="auto" w:fill="D18EC0"/>
        </w:rPr>
        <w:t>s</w:t>
      </w:r>
      <w:r w:rsidR="00E52C14" w:rsidRPr="00227148">
        <w:rPr>
          <w:shd w:val="clear" w:color="auto" w:fill="D18EC0"/>
        </w:rPr>
        <w:t xml:space="preserve">. </w:t>
      </w:r>
      <w:r>
        <w:rPr>
          <w:shd w:val="clear" w:color="auto" w:fill="D18EC0"/>
        </w:rPr>
        <w:t xml:space="preserve">106, </w:t>
      </w:r>
      <w:r w:rsidR="0045608D">
        <w:rPr>
          <w:shd w:val="clear" w:color="auto" w:fill="D18EC0"/>
        </w:rPr>
        <w:t xml:space="preserve">al.2 (preuve orale permise), </w:t>
      </w:r>
      <w:r>
        <w:rPr>
          <w:shd w:val="clear" w:color="auto" w:fill="D18EC0"/>
        </w:rPr>
        <w:t xml:space="preserve">516 et ss </w:t>
      </w:r>
      <w:r w:rsidR="00E52C14" w:rsidRPr="00227148">
        <w:rPr>
          <w:shd w:val="clear" w:color="auto" w:fill="D18EC0"/>
        </w:rPr>
        <w:t>C.p.c.</w:t>
      </w:r>
      <w:r w:rsidR="00E52C14" w:rsidRPr="00227148">
        <w:t>)</w:t>
      </w:r>
    </w:p>
    <w:p w14:paraId="6B5D4EFC" w14:textId="4829975F" w:rsidR="008F54E4" w:rsidRPr="00704FAB" w:rsidRDefault="008563DC" w:rsidP="00BB0268">
      <w:pPr>
        <w:pStyle w:val="ListParagraph"/>
        <w:numPr>
          <w:ilvl w:val="0"/>
          <w:numId w:val="9"/>
        </w:numPr>
      </w:pPr>
      <w:r>
        <w:t xml:space="preserve">Les demandes en matière familiale </w:t>
      </w:r>
      <w:r w:rsidR="00291275" w:rsidRPr="002D134B">
        <w:t>(</w:t>
      </w:r>
      <w:r w:rsidR="00291275" w:rsidRPr="002D134B">
        <w:rPr>
          <w:shd w:val="clear" w:color="auto" w:fill="D18EC0"/>
        </w:rPr>
        <w:t xml:space="preserve">Art. </w:t>
      </w:r>
      <w:r w:rsidR="00E268AC" w:rsidRPr="002D134B">
        <w:rPr>
          <w:shd w:val="clear" w:color="auto" w:fill="D18EC0"/>
        </w:rPr>
        <w:t>414</w:t>
      </w:r>
      <w:r w:rsidR="00291275" w:rsidRPr="002D134B">
        <w:rPr>
          <w:shd w:val="clear" w:color="auto" w:fill="D18EC0"/>
        </w:rPr>
        <w:t xml:space="preserve"> C.p.c.</w:t>
      </w:r>
      <w:r w:rsidR="00291275" w:rsidRPr="002D134B">
        <w:t>)</w:t>
      </w:r>
    </w:p>
    <w:p w14:paraId="65173B7F" w14:textId="77777777" w:rsidR="008F54E4" w:rsidRPr="002B42AF" w:rsidRDefault="008F54E4" w:rsidP="00BB0268">
      <w:pPr>
        <w:rPr>
          <w:lang w:val="en-US"/>
        </w:rPr>
      </w:pPr>
    </w:p>
    <w:p w14:paraId="6194EA1F" w14:textId="233F6EE2" w:rsidR="00BB0268" w:rsidRDefault="00BB0268" w:rsidP="00BB0268">
      <w:pPr>
        <w:pStyle w:val="Heading1"/>
      </w:pPr>
      <w:r>
        <w:t>Section 2 : La prohibition du ouï-dire</w:t>
      </w:r>
    </w:p>
    <w:p w14:paraId="538DA373" w14:textId="2A30D020" w:rsidR="00E750A9" w:rsidRDefault="00E750A9" w:rsidP="00E750A9"/>
    <w:p w14:paraId="2DAD25F5" w14:textId="2405C215" w:rsidR="00EE0DE1" w:rsidRDefault="00EE0DE1" w:rsidP="00E750A9">
      <w:r w:rsidRPr="00EE0DE1">
        <w:t>La preuve par ouï-dire est en principe interdite, sous réserve de certaines exceptions. Une personne ne peut donc pas témoigner par l’intermédiaire d’une autre personne ou d’un écrit; elle doit comparaître comme témoin et témoigner des faits dont elle a eu personnellement connaissance.</w:t>
      </w:r>
    </w:p>
    <w:p w14:paraId="1F25C2F1" w14:textId="52C23B19" w:rsidR="00EE0DE1" w:rsidRDefault="00EE0DE1" w:rsidP="00E750A9"/>
    <w:p w14:paraId="00621FAD" w14:textId="5FC6DED6" w:rsidR="00693D43" w:rsidRDefault="00693D43" w:rsidP="00E750A9">
      <w:r>
        <w:rPr>
          <w:noProof/>
          <w:lang w:val="en-US"/>
        </w:rPr>
        <w:lastRenderedPageBreak/>
        <w:drawing>
          <wp:inline distT="0" distB="0" distL="0" distR="0" wp14:anchorId="6B5FA62F" wp14:editId="25DECEB8">
            <wp:extent cx="5486400" cy="330073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a:extLst>
                        <a:ext uri="{28A0092B-C50C-407E-A947-70E740481C1C}">
                          <a14:useLocalDpi xmlns:a14="http://schemas.microsoft.com/office/drawing/2010/main" val="0"/>
                        </a:ext>
                      </a:extLst>
                    </a:blip>
                    <a:stretch>
                      <a:fillRect/>
                    </a:stretch>
                  </pic:blipFill>
                  <pic:spPr>
                    <a:xfrm>
                      <a:off x="0" y="0"/>
                      <a:ext cx="5486400" cy="3300730"/>
                    </a:xfrm>
                    <a:prstGeom prst="rect">
                      <a:avLst/>
                    </a:prstGeom>
                  </pic:spPr>
                </pic:pic>
              </a:graphicData>
            </a:graphic>
          </wp:inline>
        </w:drawing>
      </w:r>
    </w:p>
    <w:p w14:paraId="14EB2084" w14:textId="3AFBBD88" w:rsidR="00693D43" w:rsidRDefault="00693D43" w:rsidP="00E750A9"/>
    <w:p w14:paraId="066E8F89" w14:textId="77777777" w:rsidR="004B6985" w:rsidRDefault="000A1C81" w:rsidP="000A1C81">
      <w:r w:rsidRPr="000A1C81">
        <w:t>(</w:t>
      </w:r>
      <w:r w:rsidRPr="000A1C81">
        <w:rPr>
          <w:shd w:val="clear" w:color="auto" w:fill="D18EC0"/>
        </w:rPr>
        <w:t>Art. 2832 C.c.Q.</w:t>
      </w:r>
      <w:r w:rsidRPr="000A1C81">
        <w:t xml:space="preserve">) : </w:t>
      </w:r>
      <w:r w:rsidR="00DC7DA6" w:rsidRPr="00DC7DA6">
        <w:t xml:space="preserve">L’écrit ni authentique ni semi-authentique qui rapporte un fait </w:t>
      </w:r>
      <w:r>
        <w:t xml:space="preserve">peut être rendu par écrit alors que techniquement cela va à l’encontre du ouï-dire. </w:t>
      </w:r>
    </w:p>
    <w:p w14:paraId="6FBA4564" w14:textId="4A578496" w:rsidR="000A1C81" w:rsidRDefault="000101AC" w:rsidP="004B6985">
      <w:pPr>
        <w:pStyle w:val="ListParagraph"/>
        <w:numPr>
          <w:ilvl w:val="0"/>
          <w:numId w:val="2"/>
        </w:numPr>
      </w:pPr>
      <w:r>
        <w:t xml:space="preserve">Lorsqu’il est précisé « </w:t>
      </w:r>
      <w:r w:rsidRPr="000101AC">
        <w:t>sous réserve des règles contenues dans ce livre</w:t>
      </w:r>
      <w:r>
        <w:t xml:space="preserve"> » </w:t>
      </w:r>
      <w:r w:rsidR="007D3FA0">
        <w:t xml:space="preserve">cela fait référence aux cas d’exceptions prévues plus loin dans le C.c.Q. </w:t>
      </w:r>
    </w:p>
    <w:p w14:paraId="5134905E" w14:textId="77777777" w:rsidR="00D94F32" w:rsidRDefault="00D94F32" w:rsidP="00D94F32"/>
    <w:p w14:paraId="03D23310" w14:textId="71166E9D" w:rsidR="00D94F32" w:rsidRDefault="00D94F32" w:rsidP="00D94F32">
      <w:r>
        <w:t xml:space="preserve">Exemple de ouï-dire écrit : un témoin qui est absolument terrorisé d’aller devant le tribunal et fait un écrit et signer l’écrit pour la présenter devant le tribunal (en principe, c’est interdit car le témoin n’est pas présent pour le témoigner et seul sa feuille est présente). </w:t>
      </w:r>
    </w:p>
    <w:p w14:paraId="178CB44E" w14:textId="77777777" w:rsidR="00D94F32" w:rsidRDefault="00D94F32" w:rsidP="00D94F32"/>
    <w:p w14:paraId="3E44EF25" w14:textId="362152BF" w:rsidR="00D94F32" w:rsidRDefault="00D94F32" w:rsidP="00D94F32">
      <w:r>
        <w:t xml:space="preserve">Exemple de ouï-dire orale : « Roger m’a dit qu’il à vue un ours » … </w:t>
      </w:r>
      <w:r w:rsidRPr="00D94F32">
        <w:rPr>
          <w:color w:val="FF0000"/>
        </w:rPr>
        <w:t>pas admissible</w:t>
      </w:r>
      <w:r>
        <w:t xml:space="preserve"> si la véracité de son témoignage tente de prouver la présence d’un ours. (Roger doit être présent pour en témoigner et être contre-interroger à ce sujet)</w:t>
      </w:r>
    </w:p>
    <w:p w14:paraId="524CE9F4" w14:textId="4A8E9333" w:rsidR="000A1C81" w:rsidRDefault="000A1C81" w:rsidP="00E750A9"/>
    <w:p w14:paraId="65B0BDB1" w14:textId="77777777" w:rsidR="00D94F32" w:rsidRDefault="00D94F32" w:rsidP="00E750A9"/>
    <w:p w14:paraId="2BD2C35E" w14:textId="77777777" w:rsidR="00D94F32" w:rsidRDefault="00D94F32" w:rsidP="00E750A9"/>
    <w:p w14:paraId="6E0821B5" w14:textId="77777777" w:rsidR="00D94F32" w:rsidRDefault="00D94F32" w:rsidP="00E750A9"/>
    <w:p w14:paraId="6EDECE9D" w14:textId="77777777" w:rsidR="00D94F32" w:rsidRDefault="00D94F32" w:rsidP="00E750A9"/>
    <w:p w14:paraId="1E6DF5E0" w14:textId="77777777" w:rsidR="00D94F32" w:rsidRDefault="00D94F32" w:rsidP="00E750A9"/>
    <w:p w14:paraId="3866F58E" w14:textId="77777777" w:rsidR="00D94F32" w:rsidRDefault="00D94F32" w:rsidP="00E750A9"/>
    <w:p w14:paraId="1CF58EB9" w14:textId="77777777" w:rsidR="00D94F32" w:rsidRDefault="00D94F32" w:rsidP="00E750A9"/>
    <w:p w14:paraId="726C7AA3" w14:textId="77777777" w:rsidR="00D94F32" w:rsidRDefault="00D94F32" w:rsidP="00E750A9"/>
    <w:p w14:paraId="7A29B1B7" w14:textId="77777777" w:rsidR="00D94F32" w:rsidRDefault="00D94F32" w:rsidP="00E750A9"/>
    <w:p w14:paraId="3BEDCD63" w14:textId="77777777" w:rsidR="00D94F32" w:rsidRDefault="00D94F32" w:rsidP="00E750A9"/>
    <w:p w14:paraId="1EBC759C" w14:textId="77777777" w:rsidR="00D94F32" w:rsidRDefault="00D94F32" w:rsidP="00E750A9"/>
    <w:p w14:paraId="62677A00" w14:textId="77777777" w:rsidR="00D94F32" w:rsidRDefault="00D94F32" w:rsidP="00E750A9"/>
    <w:p w14:paraId="4F471E37" w14:textId="77777777" w:rsidR="00A47518" w:rsidRPr="00A63524" w:rsidRDefault="00A47518" w:rsidP="00A47518">
      <w:pPr>
        <w:pStyle w:val="Heading2"/>
      </w:pPr>
      <w:r w:rsidRPr="00A63524">
        <w:lastRenderedPageBreak/>
        <w:t xml:space="preserve">Les déclarations </w:t>
      </w:r>
      <w:r>
        <w:t>extrajudiciaires non visées par l’interdiction du ouï-dire</w:t>
      </w:r>
    </w:p>
    <w:p w14:paraId="5AB1D867" w14:textId="73C7CF31" w:rsidR="00A47518" w:rsidRDefault="00A47518" w:rsidP="00E750A9"/>
    <w:p w14:paraId="53647A98" w14:textId="58798EA8" w:rsidR="00A47518" w:rsidRDefault="00651709" w:rsidP="00E750A9">
      <w:r>
        <w:t xml:space="preserve">A </w:t>
      </w:r>
      <w:r w:rsidR="002C6CEA">
        <w:t>priori</w:t>
      </w:r>
      <w:r w:rsidR="00361E8B">
        <w:t xml:space="preserve">, ces déclarations </w:t>
      </w:r>
      <w:r>
        <w:t>ressemble</w:t>
      </w:r>
      <w:r w:rsidR="00361E8B">
        <w:t>nt</w:t>
      </w:r>
      <w:r>
        <w:t xml:space="preserve"> à du ouï-dire, mais</w:t>
      </w:r>
      <w:r w:rsidR="00E642DD">
        <w:t xml:space="preserve"> elles</w:t>
      </w:r>
      <w:r>
        <w:t xml:space="preserve"> ne le sont pas. </w:t>
      </w:r>
    </w:p>
    <w:p w14:paraId="6EE7D79A" w14:textId="77777777" w:rsidR="00A47518" w:rsidRDefault="00A47518" w:rsidP="00E750A9"/>
    <w:p w14:paraId="67F5823B" w14:textId="57D33AA6" w:rsidR="00693D43" w:rsidRDefault="00693D43" w:rsidP="00E750A9">
      <w:r>
        <w:rPr>
          <w:noProof/>
          <w:lang w:val="en-US"/>
        </w:rPr>
        <w:drawing>
          <wp:inline distT="0" distB="0" distL="0" distR="0" wp14:anchorId="5D7DC805" wp14:editId="3966996A">
            <wp:extent cx="5486400" cy="293958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6">
                      <a:extLst>
                        <a:ext uri="{28A0092B-C50C-407E-A947-70E740481C1C}">
                          <a14:useLocalDpi xmlns:a14="http://schemas.microsoft.com/office/drawing/2010/main" val="0"/>
                        </a:ext>
                      </a:extLst>
                    </a:blip>
                    <a:srcRect b="10942"/>
                    <a:stretch/>
                  </pic:blipFill>
                  <pic:spPr bwMode="auto">
                    <a:xfrm>
                      <a:off x="0" y="0"/>
                      <a:ext cx="5487181" cy="2940000"/>
                    </a:xfrm>
                    <a:prstGeom prst="rect">
                      <a:avLst/>
                    </a:prstGeom>
                    <a:ln>
                      <a:noFill/>
                    </a:ln>
                    <a:extLst>
                      <a:ext uri="{53640926-AAD7-44D8-BBD7-CCE9431645EC}">
                        <a14:shadowObscured xmlns:a14="http://schemas.microsoft.com/office/drawing/2010/main"/>
                      </a:ext>
                    </a:extLst>
                  </pic:spPr>
                </pic:pic>
              </a:graphicData>
            </a:graphic>
          </wp:inline>
        </w:drawing>
      </w:r>
    </w:p>
    <w:p w14:paraId="2C5F5183" w14:textId="559DC2E7" w:rsidR="00693D43" w:rsidRDefault="00693D43" w:rsidP="00E750A9"/>
    <w:p w14:paraId="204AFAC0" w14:textId="778261A0" w:rsidR="008F2176" w:rsidRDefault="008F2176" w:rsidP="00E750A9"/>
    <w:p w14:paraId="5FE83B12" w14:textId="35F5B2A2" w:rsidR="008F2176" w:rsidRDefault="00F0469B" w:rsidP="00E750A9">
      <w:r>
        <w:t>L</w:t>
      </w:r>
      <w:r w:rsidR="008F2176">
        <w:t xml:space="preserve">’aveu a besoin du support d’un témoin mise en preuve. Il se peut qu’une personne soit assermentée et rende témoignage, mais ce n’est pas le cas, elle est en train de mettre en preuve un aveu. </w:t>
      </w:r>
    </w:p>
    <w:p w14:paraId="27585183" w14:textId="023BCD75" w:rsidR="00712663" w:rsidRDefault="00712663" w:rsidP="00E750A9"/>
    <w:p w14:paraId="0EAB64B7" w14:textId="2D524CFE" w:rsidR="003C174E" w:rsidRDefault="00712663" w:rsidP="00E750A9">
      <w:r w:rsidRPr="00712663">
        <w:t>(</w:t>
      </w:r>
      <w:r w:rsidRPr="00712663">
        <w:rPr>
          <w:shd w:val="clear" w:color="auto" w:fill="D18EC0"/>
        </w:rPr>
        <w:t>Art. 2850 C.c.Q.</w:t>
      </w:r>
      <w:r w:rsidRPr="00712663">
        <w:t>): L’aveu est la reconnaissance d’un fait de nature à produire des conséquences juridiques contre son auteur.</w:t>
      </w:r>
    </w:p>
    <w:p w14:paraId="070535C5" w14:textId="77777777" w:rsidR="00D94F32" w:rsidRDefault="00D94F32" w:rsidP="006858E1">
      <w:pPr>
        <w:pStyle w:val="Heading2"/>
      </w:pPr>
    </w:p>
    <w:p w14:paraId="25351C9C" w14:textId="77777777" w:rsidR="00D94F32" w:rsidRDefault="00D94F32" w:rsidP="006858E1">
      <w:pPr>
        <w:pStyle w:val="Heading2"/>
      </w:pPr>
    </w:p>
    <w:p w14:paraId="2353BA2B" w14:textId="77777777" w:rsidR="00D94F32" w:rsidRDefault="00D94F32" w:rsidP="006858E1">
      <w:pPr>
        <w:pStyle w:val="Heading2"/>
      </w:pPr>
    </w:p>
    <w:p w14:paraId="1D07C672" w14:textId="77777777" w:rsidR="00D94F32" w:rsidRDefault="00D94F32" w:rsidP="006858E1">
      <w:pPr>
        <w:pStyle w:val="Heading2"/>
      </w:pPr>
    </w:p>
    <w:p w14:paraId="254C1FBB" w14:textId="77777777" w:rsidR="00D94F32" w:rsidRDefault="00D94F32" w:rsidP="006858E1">
      <w:pPr>
        <w:pStyle w:val="Heading2"/>
      </w:pPr>
    </w:p>
    <w:p w14:paraId="2557C807" w14:textId="77777777" w:rsidR="00D94F32" w:rsidRDefault="00D94F32" w:rsidP="006858E1">
      <w:pPr>
        <w:pStyle w:val="Heading2"/>
      </w:pPr>
    </w:p>
    <w:p w14:paraId="55C3AF96" w14:textId="77777777" w:rsidR="00D94F32" w:rsidRDefault="00D94F32" w:rsidP="006858E1">
      <w:pPr>
        <w:pStyle w:val="Heading2"/>
      </w:pPr>
    </w:p>
    <w:p w14:paraId="164CAD66" w14:textId="77777777" w:rsidR="00D94F32" w:rsidRDefault="00D94F32" w:rsidP="006858E1">
      <w:pPr>
        <w:pStyle w:val="Heading2"/>
      </w:pPr>
    </w:p>
    <w:p w14:paraId="4BFF9B52" w14:textId="77777777" w:rsidR="00D94F32" w:rsidRDefault="00D94F32" w:rsidP="006858E1">
      <w:pPr>
        <w:pStyle w:val="Heading2"/>
      </w:pPr>
    </w:p>
    <w:p w14:paraId="349E1BE7" w14:textId="77777777" w:rsidR="00D94F32" w:rsidRDefault="00D94F32" w:rsidP="006858E1">
      <w:pPr>
        <w:pStyle w:val="Heading2"/>
      </w:pPr>
    </w:p>
    <w:p w14:paraId="34D6E127" w14:textId="77777777" w:rsidR="00D94F32" w:rsidRDefault="00D94F32" w:rsidP="006858E1">
      <w:pPr>
        <w:pStyle w:val="Heading2"/>
      </w:pPr>
    </w:p>
    <w:p w14:paraId="33ECD5DF" w14:textId="77777777" w:rsidR="00D94F32" w:rsidRDefault="00D94F32" w:rsidP="006858E1">
      <w:pPr>
        <w:pStyle w:val="Heading2"/>
      </w:pPr>
    </w:p>
    <w:p w14:paraId="551C7A96" w14:textId="77777777" w:rsidR="00D94F32" w:rsidRDefault="00D94F32" w:rsidP="006858E1">
      <w:pPr>
        <w:pStyle w:val="Heading2"/>
      </w:pPr>
    </w:p>
    <w:p w14:paraId="15D1D12C" w14:textId="77777777" w:rsidR="00D94F32" w:rsidRDefault="00D94F32" w:rsidP="006858E1">
      <w:pPr>
        <w:pStyle w:val="Heading2"/>
      </w:pPr>
    </w:p>
    <w:p w14:paraId="1D68751A" w14:textId="4097ACED" w:rsidR="006858E1" w:rsidRDefault="006858E1" w:rsidP="006858E1">
      <w:pPr>
        <w:pStyle w:val="Heading2"/>
      </w:pPr>
      <w:r w:rsidRPr="00DD458F">
        <w:t xml:space="preserve">Les exceptions à la prohibition </w:t>
      </w:r>
      <w:r>
        <w:t>du ouï-dire</w:t>
      </w:r>
    </w:p>
    <w:p w14:paraId="126DEA7C" w14:textId="77777777" w:rsidR="00080D3E" w:rsidRPr="00712663" w:rsidRDefault="00080D3E" w:rsidP="00E750A9"/>
    <w:p w14:paraId="4183610E" w14:textId="05FBAB93" w:rsidR="00693D43" w:rsidRDefault="00693D43" w:rsidP="00E750A9">
      <w:r>
        <w:rPr>
          <w:noProof/>
          <w:lang w:val="en-US"/>
        </w:rPr>
        <w:lastRenderedPageBreak/>
        <w:drawing>
          <wp:inline distT="0" distB="0" distL="0" distR="0" wp14:anchorId="076638AE" wp14:editId="370D2ADC">
            <wp:extent cx="5486400" cy="372491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a:extLst>
                        <a:ext uri="{28A0092B-C50C-407E-A947-70E740481C1C}">
                          <a14:useLocalDpi xmlns:a14="http://schemas.microsoft.com/office/drawing/2010/main" val="0"/>
                        </a:ext>
                      </a:extLst>
                    </a:blip>
                    <a:stretch>
                      <a:fillRect/>
                    </a:stretch>
                  </pic:blipFill>
                  <pic:spPr>
                    <a:xfrm>
                      <a:off x="0" y="0"/>
                      <a:ext cx="5486400" cy="3724910"/>
                    </a:xfrm>
                    <a:prstGeom prst="rect">
                      <a:avLst/>
                    </a:prstGeom>
                  </pic:spPr>
                </pic:pic>
              </a:graphicData>
            </a:graphic>
          </wp:inline>
        </w:drawing>
      </w:r>
    </w:p>
    <w:p w14:paraId="30463E08" w14:textId="2A2F5AD5" w:rsidR="00693D43" w:rsidRDefault="00693D43" w:rsidP="00E750A9"/>
    <w:p w14:paraId="75BC727F" w14:textId="2E423BA6" w:rsidR="00715027" w:rsidRDefault="00715027" w:rsidP="00715027">
      <w:pPr>
        <w:pStyle w:val="ListParagraph"/>
        <w:numPr>
          <w:ilvl w:val="0"/>
          <w:numId w:val="10"/>
        </w:numPr>
      </w:pPr>
      <w:r>
        <w:t xml:space="preserve">Le consentement des parties </w:t>
      </w:r>
    </w:p>
    <w:p w14:paraId="524670CE" w14:textId="77777777" w:rsidR="00715027" w:rsidRDefault="00715027" w:rsidP="00E750A9"/>
    <w:p w14:paraId="417E3891" w14:textId="42FF5A34" w:rsidR="003B7CD3" w:rsidRPr="00F93A12" w:rsidRDefault="003B7CD3" w:rsidP="003B7CD3">
      <w:r w:rsidRPr="00F93A12">
        <w:t>(</w:t>
      </w:r>
      <w:r w:rsidRPr="00F93A12">
        <w:rPr>
          <w:shd w:val="clear" w:color="auto" w:fill="D18EC0"/>
        </w:rPr>
        <w:t>Art</w:t>
      </w:r>
      <w:r w:rsidR="00EE0DE1" w:rsidRPr="00F93A12">
        <w:rPr>
          <w:shd w:val="clear" w:color="auto" w:fill="D18EC0"/>
        </w:rPr>
        <w:t xml:space="preserve">s. </w:t>
      </w:r>
      <w:r w:rsidR="00F93A12" w:rsidRPr="00F93A12">
        <w:rPr>
          <w:shd w:val="clear" w:color="auto" w:fill="D18EC0"/>
        </w:rPr>
        <w:t xml:space="preserve">2859 </w:t>
      </w:r>
      <w:r w:rsidRPr="00F93A12">
        <w:rPr>
          <w:shd w:val="clear" w:color="auto" w:fill="D18EC0"/>
        </w:rPr>
        <w:t>C.p.c.</w:t>
      </w:r>
      <w:r w:rsidRPr="00F93A12">
        <w:t>)</w:t>
      </w:r>
      <w:r w:rsidR="00F93A12" w:rsidRPr="00F93A12">
        <w:t xml:space="preserve"> : à défaut de s</w:t>
      </w:r>
      <w:r w:rsidR="00F93A12">
        <w:t>’</w:t>
      </w:r>
      <w:r w:rsidR="00F93A12" w:rsidRPr="00F93A12">
        <w:t>objecter à une preuve de ou</w:t>
      </w:r>
      <w:r w:rsidR="00F93A12">
        <w:t xml:space="preserve">ï-dire, </w:t>
      </w:r>
      <w:r w:rsidR="00CA72A9">
        <w:t xml:space="preserve">celui-ci est admis de consentement tacite entre les parties et le tribunal sera en droit de croire que vous permettez que pareil preuve soit faite. </w:t>
      </w:r>
    </w:p>
    <w:p w14:paraId="1A8C522D" w14:textId="79786326" w:rsidR="008C7A1F" w:rsidRDefault="008C7A1F" w:rsidP="003B7CD3"/>
    <w:p w14:paraId="15DD192C" w14:textId="236EF396" w:rsidR="00932209" w:rsidRPr="00932209" w:rsidRDefault="00932209" w:rsidP="00932209">
      <w:r>
        <w:t>Inversement, l’</w:t>
      </w:r>
      <w:r w:rsidRPr="00932209">
        <w:rPr>
          <w:shd w:val="clear" w:color="auto" w:fill="D18EC0"/>
        </w:rPr>
        <w:t>Art. 2869 C.c.Q.</w:t>
      </w:r>
      <w:r>
        <w:t xml:space="preserve"> prévoit que les parties peuvent </w:t>
      </w:r>
      <w:r w:rsidR="0083084C">
        <w:t>y</w:t>
      </w:r>
      <w:r>
        <w:t xml:space="preserve"> consent</w:t>
      </w:r>
      <w:r w:rsidR="0083084C">
        <w:t xml:space="preserve">ir </w:t>
      </w:r>
      <w:r>
        <w:t>explicite</w:t>
      </w:r>
      <w:r w:rsidR="0083084C">
        <w:t xml:space="preserve">ment. </w:t>
      </w:r>
    </w:p>
    <w:p w14:paraId="1A8099A6" w14:textId="78277D85" w:rsidR="00932209" w:rsidRDefault="00932209" w:rsidP="003B7CD3"/>
    <w:p w14:paraId="1E075247" w14:textId="05710692" w:rsidR="00926BD4" w:rsidRDefault="00926BD4" w:rsidP="003B7CD3">
      <w:r w:rsidRPr="007135AC">
        <w:rPr>
          <w:shd w:val="clear" w:color="auto" w:fill="D18EC0"/>
        </w:rPr>
        <w:t>L’art. 266, al.2 C</w:t>
      </w:r>
      <w:r w:rsidR="007E0ABC" w:rsidRPr="007135AC">
        <w:rPr>
          <w:shd w:val="clear" w:color="auto" w:fill="D18EC0"/>
        </w:rPr>
        <w:t>.p.c.</w:t>
      </w:r>
      <w:r w:rsidR="007E0ABC">
        <w:t xml:space="preserve"> : </w:t>
      </w:r>
      <w:r w:rsidR="00DC04FE" w:rsidRPr="00DC04FE">
        <w:t>Cependant, si la partie justifie de sa diligence et établit que le témoin absent est nécessaire et que son absence n’est due à aucune manoeuvre de sa part, le tribunal peut ajourner l’instruction. L’ajournement peut être évité si l’autre partie consent à ce que la partie expose, sous serment, les faits que le témoin défaillant rapporterait et admette soit la vérité de ces faits, soit que le témoin en déposerait.</w:t>
      </w:r>
    </w:p>
    <w:p w14:paraId="133260D4" w14:textId="5BB94A49" w:rsidR="00926BD4" w:rsidRDefault="00926BD4" w:rsidP="003B7CD3"/>
    <w:p w14:paraId="6E63B220" w14:textId="65E99C8B" w:rsidR="007118C4" w:rsidRDefault="00907B57" w:rsidP="00904353">
      <w:pPr>
        <w:pStyle w:val="ListParagraph"/>
        <w:numPr>
          <w:ilvl w:val="0"/>
          <w:numId w:val="10"/>
        </w:numPr>
      </w:pPr>
      <w:r>
        <w:t xml:space="preserve">La loi </w:t>
      </w:r>
    </w:p>
    <w:p w14:paraId="3ECB5580" w14:textId="568EA5CE" w:rsidR="00904353" w:rsidRDefault="00904353" w:rsidP="003B7CD3"/>
    <w:p w14:paraId="397BB25E" w14:textId="1D822498" w:rsidR="007F413F" w:rsidRPr="007F413F" w:rsidRDefault="007F413F" w:rsidP="003B7CD3">
      <w:pPr>
        <w:rPr>
          <w:u w:val="single"/>
        </w:rPr>
      </w:pPr>
      <w:r w:rsidRPr="007F413F">
        <w:rPr>
          <w:u w:val="single"/>
        </w:rPr>
        <w:t>Le témoignage par déclaration</w:t>
      </w:r>
    </w:p>
    <w:p w14:paraId="352C7A06" w14:textId="77777777" w:rsidR="007F413F" w:rsidRDefault="007F413F" w:rsidP="003B7CD3"/>
    <w:p w14:paraId="7A157FC0" w14:textId="77777777" w:rsidR="00FE6C54" w:rsidRPr="00140437" w:rsidRDefault="0001721B" w:rsidP="00FE6C54">
      <w:r w:rsidRPr="00140437">
        <w:t>(</w:t>
      </w:r>
      <w:r w:rsidRPr="00140437">
        <w:rPr>
          <w:shd w:val="clear" w:color="auto" w:fill="D18EC0"/>
        </w:rPr>
        <w:t>Art. 292 C.p.c.</w:t>
      </w:r>
      <w:r w:rsidRPr="00140437">
        <w:t>)</w:t>
      </w:r>
      <w:r w:rsidR="00FE6C54" w:rsidRPr="00140437">
        <w:t xml:space="preserve"> : Une partie peut produire à titre de témoignage, outre une déclaration prévue au livre De la preuve du Code civil, la déclaration écrite de son témoin, y compris un constat d’huissier, pourvu que cette déclaration </w:t>
      </w:r>
      <w:r w:rsidR="00FE6C54" w:rsidRPr="00140437">
        <w:rPr>
          <w:u w:val="single"/>
        </w:rPr>
        <w:t>ne vise à prouver qu’un fait secondaire du litige et qu’elle ait été préalablement notifiée aux autres parties</w:t>
      </w:r>
      <w:r w:rsidR="00FE6C54" w:rsidRPr="00140437">
        <w:t>.</w:t>
      </w:r>
    </w:p>
    <w:p w14:paraId="7FD17159" w14:textId="77777777" w:rsidR="00FE6C54" w:rsidRPr="00140437" w:rsidRDefault="00FE6C54" w:rsidP="00FE6C54"/>
    <w:p w14:paraId="4D3CAE21" w14:textId="26BB7057" w:rsidR="0001721B" w:rsidRPr="00140437" w:rsidRDefault="00FE6C54" w:rsidP="00FE6C54">
      <w:r w:rsidRPr="00140437">
        <w:lastRenderedPageBreak/>
        <w:t>Une autre partie peut, avant la date fixée pour l’instruction, exiger la présence à l’enquête du témoin concerné ou encore obtenir l’autorisation du tribunal de l’interroger hors sa présence.</w:t>
      </w:r>
    </w:p>
    <w:p w14:paraId="1311F41C" w14:textId="24C28E19" w:rsidR="0001721B" w:rsidRDefault="0001721B" w:rsidP="003B7CD3"/>
    <w:p w14:paraId="56D2155F" w14:textId="273465E7" w:rsidR="007F413F" w:rsidRPr="00BD032D" w:rsidRDefault="007F413F" w:rsidP="003B7CD3">
      <w:pPr>
        <w:rPr>
          <w:u w:val="single"/>
        </w:rPr>
      </w:pPr>
      <w:r w:rsidRPr="00BD032D">
        <w:rPr>
          <w:u w:val="single"/>
        </w:rPr>
        <w:t>Le</w:t>
      </w:r>
      <w:r w:rsidR="00F71FCF" w:rsidRPr="00BD032D">
        <w:rPr>
          <w:u w:val="single"/>
        </w:rPr>
        <w:t xml:space="preserve">s </w:t>
      </w:r>
      <w:r w:rsidRPr="00BD032D">
        <w:rPr>
          <w:u w:val="single"/>
        </w:rPr>
        <w:t>dossier</w:t>
      </w:r>
      <w:r w:rsidR="00F71FCF" w:rsidRPr="00BD032D">
        <w:rPr>
          <w:u w:val="single"/>
        </w:rPr>
        <w:t>s</w:t>
      </w:r>
      <w:r w:rsidRPr="00BD032D">
        <w:rPr>
          <w:u w:val="single"/>
        </w:rPr>
        <w:t xml:space="preserve"> médica</w:t>
      </w:r>
      <w:r w:rsidR="00F71FCF" w:rsidRPr="00BD032D">
        <w:rPr>
          <w:u w:val="single"/>
        </w:rPr>
        <w:t>ux</w:t>
      </w:r>
      <w:r w:rsidRPr="00BD032D">
        <w:rPr>
          <w:u w:val="single"/>
        </w:rPr>
        <w:t xml:space="preserve"> </w:t>
      </w:r>
    </w:p>
    <w:p w14:paraId="3C380C4D" w14:textId="40DB5D3B" w:rsidR="0001721B" w:rsidRDefault="0001721B" w:rsidP="003B7CD3"/>
    <w:p w14:paraId="3A948763" w14:textId="5EA95BBB" w:rsidR="00895F7B" w:rsidRDefault="00895F7B" w:rsidP="003B7CD3">
      <w:r>
        <w:t xml:space="preserve">Les dossiers médicaux sont des écrit rapportant des faits au sens de </w:t>
      </w:r>
      <w:r w:rsidRPr="009E00B8">
        <w:rPr>
          <w:shd w:val="clear" w:color="auto" w:fill="D18EC0"/>
        </w:rPr>
        <w:t>l’art. 2832 C.c.Q</w:t>
      </w:r>
      <w:r>
        <w:t xml:space="preserve">. </w:t>
      </w:r>
      <w:r w:rsidR="004A4236">
        <w:t xml:space="preserve">Il est </w:t>
      </w:r>
      <w:r w:rsidR="009E00B8">
        <w:t>re</w:t>
      </w:r>
      <w:r w:rsidR="004A4236">
        <w:t xml:space="preserve">connu </w:t>
      </w:r>
      <w:r w:rsidR="009E00B8">
        <w:t xml:space="preserve">par la CSC </w:t>
      </w:r>
      <w:r w:rsidR="004A4236">
        <w:t xml:space="preserve">que les </w:t>
      </w:r>
      <w:r w:rsidR="00920482">
        <w:t xml:space="preserve">annotations </w:t>
      </w:r>
      <w:r w:rsidR="004A4236">
        <w:t xml:space="preserve">au dossier médical </w:t>
      </w:r>
      <w:r w:rsidR="00306837">
        <w:t>constituent</w:t>
      </w:r>
      <w:r w:rsidR="009A2037">
        <w:t xml:space="preserve"> </w:t>
      </w:r>
      <w:r w:rsidR="00830CF5">
        <w:t xml:space="preserve">une preuve fiable </w:t>
      </w:r>
      <w:r w:rsidR="00891F54">
        <w:t xml:space="preserve">alors, une exception </w:t>
      </w:r>
      <w:r w:rsidR="005C0090">
        <w:t>à la prohibition du</w:t>
      </w:r>
      <w:r w:rsidR="00891F54">
        <w:t xml:space="preserve"> ouï-dire.</w:t>
      </w:r>
    </w:p>
    <w:p w14:paraId="2231009C" w14:textId="4CF114D2" w:rsidR="00591027" w:rsidRDefault="00591027" w:rsidP="003B7CD3"/>
    <w:p w14:paraId="57B8A650" w14:textId="3D925284" w:rsidR="00591027" w:rsidRDefault="00591027" w:rsidP="003B7CD3">
      <w:pPr>
        <w:rPr>
          <w:u w:val="single"/>
        </w:rPr>
      </w:pPr>
      <w:r w:rsidRPr="007E0786">
        <w:rPr>
          <w:u w:val="single"/>
        </w:rPr>
        <w:t>Déclarations sous serment à l’appui de la demande en injonction ainsi qu’à l’avis d’exécution</w:t>
      </w:r>
    </w:p>
    <w:p w14:paraId="31746BA5" w14:textId="77777777" w:rsidR="00254A75" w:rsidRPr="007E0786" w:rsidRDefault="00254A75" w:rsidP="003B7CD3">
      <w:pPr>
        <w:rPr>
          <w:u w:val="single"/>
        </w:rPr>
      </w:pPr>
    </w:p>
    <w:p w14:paraId="27206564" w14:textId="27790C50" w:rsidR="003B7CD3" w:rsidRPr="00F13E60" w:rsidRDefault="00906AC4" w:rsidP="00F13E60">
      <w:pPr>
        <w:pStyle w:val="ListParagraph"/>
        <w:numPr>
          <w:ilvl w:val="0"/>
          <w:numId w:val="2"/>
        </w:numPr>
        <w:rPr>
          <w:lang w:val="en-US"/>
        </w:rPr>
      </w:pPr>
      <w:proofErr w:type="spellStart"/>
      <w:r w:rsidRPr="00F13E60">
        <w:rPr>
          <w:lang w:val="en-US"/>
        </w:rPr>
        <w:t>Injonction</w:t>
      </w:r>
      <w:proofErr w:type="spellEnd"/>
      <w:r w:rsidRPr="00F13E60">
        <w:rPr>
          <w:lang w:val="en-US"/>
        </w:rPr>
        <w:t xml:space="preserve"> </w:t>
      </w:r>
      <w:r w:rsidR="00254A75" w:rsidRPr="00F13E60">
        <w:rPr>
          <w:lang w:val="en-US"/>
        </w:rPr>
        <w:t>(</w:t>
      </w:r>
      <w:r w:rsidR="00254A75" w:rsidRPr="00F13E60">
        <w:rPr>
          <w:shd w:val="clear" w:color="auto" w:fill="D18EC0"/>
          <w:lang w:val="en-US"/>
        </w:rPr>
        <w:t>Art. 509 C.p.c.</w:t>
      </w:r>
      <w:r w:rsidR="00254A75" w:rsidRPr="00F13E60">
        <w:rPr>
          <w:lang w:val="en-US"/>
        </w:rPr>
        <w:t>)</w:t>
      </w:r>
    </w:p>
    <w:p w14:paraId="20DE78A2" w14:textId="254DB1B8" w:rsidR="003B7CD3" w:rsidRPr="00F13E60" w:rsidRDefault="00906AC4" w:rsidP="00F13E60">
      <w:pPr>
        <w:pStyle w:val="ListParagraph"/>
        <w:numPr>
          <w:ilvl w:val="0"/>
          <w:numId w:val="2"/>
        </w:numPr>
        <w:rPr>
          <w:lang w:val="en-US"/>
        </w:rPr>
      </w:pPr>
      <w:r w:rsidRPr="00F13E60">
        <w:rPr>
          <w:lang w:val="en-US"/>
        </w:rPr>
        <w:t xml:space="preserve">Avis </w:t>
      </w:r>
      <w:proofErr w:type="spellStart"/>
      <w:r w:rsidRPr="00F13E60">
        <w:rPr>
          <w:lang w:val="en-US"/>
        </w:rPr>
        <w:t>d’exécution</w:t>
      </w:r>
      <w:proofErr w:type="spellEnd"/>
      <w:r w:rsidRPr="00F13E60">
        <w:rPr>
          <w:lang w:val="en-US"/>
        </w:rPr>
        <w:t xml:space="preserve"> </w:t>
      </w:r>
      <w:r w:rsidR="00254A75" w:rsidRPr="00F13E60">
        <w:rPr>
          <w:lang w:val="en-US"/>
        </w:rPr>
        <w:t>(</w:t>
      </w:r>
      <w:r w:rsidR="00254A75" w:rsidRPr="00F13E60">
        <w:rPr>
          <w:shd w:val="clear" w:color="auto" w:fill="D18EC0"/>
          <w:lang w:val="en-US"/>
        </w:rPr>
        <w:t>Art. 520 C.p.c.</w:t>
      </w:r>
      <w:r w:rsidR="00254A75" w:rsidRPr="00F13E60">
        <w:rPr>
          <w:lang w:val="en-US"/>
        </w:rPr>
        <w:t>)</w:t>
      </w:r>
    </w:p>
    <w:p w14:paraId="32E5D879" w14:textId="77777777" w:rsidR="00F13E60" w:rsidRDefault="00F13E60" w:rsidP="003B7CD3">
      <w:pPr>
        <w:rPr>
          <w:lang w:val="en-US"/>
        </w:rPr>
      </w:pPr>
    </w:p>
    <w:p w14:paraId="5C49FA0A" w14:textId="43F09897" w:rsidR="00F13E60" w:rsidRDefault="00F2781C" w:rsidP="003B7CD3">
      <w:r w:rsidRPr="00F2781C">
        <w:t>Ces d</w:t>
      </w:r>
      <w:r w:rsidR="007F5898">
        <w:t>éc</w:t>
      </w:r>
      <w:r w:rsidRPr="00F2781C">
        <w:t>larations peuvent cont</w:t>
      </w:r>
      <w:r>
        <w:t xml:space="preserve">enir du ouï-dire dans le cas où le déclarant déclare ses sources. </w:t>
      </w:r>
    </w:p>
    <w:p w14:paraId="6021775E" w14:textId="77777777" w:rsidR="007F5898" w:rsidRPr="00F2781C" w:rsidRDefault="007F5898" w:rsidP="003B7CD3"/>
    <w:p w14:paraId="792BC018" w14:textId="24B47A10" w:rsidR="006228C6" w:rsidRPr="0024228C" w:rsidRDefault="0024228C" w:rsidP="006228C6">
      <w:pPr>
        <w:pStyle w:val="ListParagraph"/>
        <w:numPr>
          <w:ilvl w:val="0"/>
          <w:numId w:val="10"/>
        </w:numPr>
      </w:pPr>
      <w:r>
        <w:t>Déclarations extrajudiciaires</w:t>
      </w:r>
      <w:r w:rsidR="008A166A">
        <w:t xml:space="preserve"> légalement </w:t>
      </w:r>
      <w:r w:rsidR="004350AB">
        <w:t xml:space="preserve">admissibles </w:t>
      </w:r>
      <w:r w:rsidR="006228C6" w:rsidRPr="0024228C">
        <w:t>(</w:t>
      </w:r>
      <w:r w:rsidR="006228C6" w:rsidRPr="006228C6">
        <w:rPr>
          <w:shd w:val="clear" w:color="auto" w:fill="D18EC0"/>
        </w:rPr>
        <w:t xml:space="preserve">Arts. 2870 et </w:t>
      </w:r>
      <w:r w:rsidR="00A45CCD">
        <w:rPr>
          <w:shd w:val="clear" w:color="auto" w:fill="D18EC0"/>
        </w:rPr>
        <w:t xml:space="preserve">2871 </w:t>
      </w:r>
      <w:r w:rsidR="006228C6" w:rsidRPr="006228C6">
        <w:rPr>
          <w:shd w:val="clear" w:color="auto" w:fill="D18EC0"/>
        </w:rPr>
        <w:t>C.c.Q.</w:t>
      </w:r>
      <w:r w:rsidR="006228C6" w:rsidRPr="0024228C">
        <w:t>)</w:t>
      </w:r>
    </w:p>
    <w:p w14:paraId="19C7A7AC" w14:textId="77777777" w:rsidR="00ED17EA" w:rsidRDefault="00ED17EA" w:rsidP="003B7CD3"/>
    <w:p w14:paraId="40858A0C" w14:textId="3404B190" w:rsidR="001B2725" w:rsidRDefault="00272465" w:rsidP="003B7CD3">
      <w:r>
        <w:t xml:space="preserve">Possible d’avoir besoin de faire témoigner une personne </w:t>
      </w:r>
      <w:r w:rsidR="00A03B4C">
        <w:t xml:space="preserve">et de lui faire dire </w:t>
      </w:r>
      <w:r>
        <w:t>ce qu’une autre personne aurait dit</w:t>
      </w:r>
      <w:r w:rsidR="00A03B4C">
        <w:t xml:space="preserve"> ou encore, faire témoigner une personne pour établir ce qu’une autre personne a</w:t>
      </w:r>
      <w:r w:rsidR="00F257BF">
        <w:t xml:space="preserve">urait </w:t>
      </w:r>
      <w:r w:rsidR="00A03B4C">
        <w:t>affirmé</w:t>
      </w:r>
      <w:r w:rsidR="00F257BF">
        <w:t xml:space="preserve"> dans un écrit</w:t>
      </w:r>
      <w:r w:rsidR="00A03B4C">
        <w:t xml:space="preserve"> </w:t>
      </w:r>
      <w:r w:rsidR="00F257BF">
        <w:t xml:space="preserve">que cette personne aurait </w:t>
      </w:r>
      <w:r w:rsidR="001439D3">
        <w:t>fait</w:t>
      </w:r>
      <w:r w:rsidR="001B2725">
        <w:t>.</w:t>
      </w:r>
    </w:p>
    <w:p w14:paraId="4FD7B471" w14:textId="77777777" w:rsidR="001B2725" w:rsidRDefault="001B2725" w:rsidP="003B7CD3"/>
    <w:p w14:paraId="11C6A763" w14:textId="189651F1" w:rsidR="003B7CD3" w:rsidRPr="00F2781C" w:rsidRDefault="00C11E8C" w:rsidP="003B7CD3">
      <w:r>
        <w:t xml:space="preserve">Ces déclarations seront admissibles si on avise </w:t>
      </w:r>
      <w:r w:rsidR="001E6443">
        <w:t xml:space="preserve">l’autre partie </w:t>
      </w:r>
      <w:r w:rsidR="003D2F40">
        <w:t xml:space="preserve">qu’on entend </w:t>
      </w:r>
      <w:r w:rsidR="001439D3">
        <w:t>utiliser pareil déclaration, si elle écrite, on doit notamment communiquer cet écrit</w:t>
      </w:r>
      <w:r w:rsidR="005204FC">
        <w:t xml:space="preserve">. La partie adverse peut consentir </w:t>
      </w:r>
      <w:r w:rsidR="003B7CD3" w:rsidRPr="00F2781C">
        <w:t>(</w:t>
      </w:r>
      <w:r w:rsidR="003B7CD3" w:rsidRPr="00F2781C">
        <w:rPr>
          <w:shd w:val="clear" w:color="auto" w:fill="D18EC0"/>
        </w:rPr>
        <w:t xml:space="preserve">Art. </w:t>
      </w:r>
      <w:r w:rsidR="005204FC">
        <w:rPr>
          <w:shd w:val="clear" w:color="auto" w:fill="D18EC0"/>
        </w:rPr>
        <w:t xml:space="preserve">2869 </w:t>
      </w:r>
      <w:r w:rsidR="003B7CD3" w:rsidRPr="00F2781C">
        <w:rPr>
          <w:shd w:val="clear" w:color="auto" w:fill="D18EC0"/>
        </w:rPr>
        <w:t>C.p.c.</w:t>
      </w:r>
      <w:r w:rsidR="003B7CD3" w:rsidRPr="00F2781C">
        <w:t>)</w:t>
      </w:r>
      <w:r w:rsidR="005204FC">
        <w:t xml:space="preserve"> ou refuser auquel cas l’autorisation du tribunal sera nécessaire. </w:t>
      </w:r>
    </w:p>
    <w:p w14:paraId="0D102DDA" w14:textId="5C1AD24C" w:rsidR="003B7CD3" w:rsidRDefault="003B7CD3" w:rsidP="003B7CD3">
      <w:pPr>
        <w:rPr>
          <w:lang w:val="en-US"/>
        </w:rPr>
      </w:pPr>
      <w:r w:rsidRPr="00AC257F">
        <w:rPr>
          <w:lang w:val="en-US"/>
        </w:rPr>
        <w:t>(</w:t>
      </w:r>
      <w:r w:rsidRPr="00AC257F">
        <w:rPr>
          <w:shd w:val="clear" w:color="auto" w:fill="D18EC0"/>
          <w:lang w:val="en-US"/>
        </w:rPr>
        <w:t xml:space="preserve">Art. </w:t>
      </w:r>
      <w:r w:rsidR="00E5317B">
        <w:rPr>
          <w:shd w:val="clear" w:color="auto" w:fill="D18EC0"/>
          <w:lang w:val="en-US"/>
        </w:rPr>
        <w:t xml:space="preserve">2870, al.1 </w:t>
      </w:r>
      <w:r w:rsidRPr="00AC257F">
        <w:rPr>
          <w:shd w:val="clear" w:color="auto" w:fill="D18EC0"/>
          <w:lang w:val="en-US"/>
        </w:rPr>
        <w:t>C.p.c.</w:t>
      </w:r>
      <w:r w:rsidRPr="00AC257F">
        <w:rPr>
          <w:lang w:val="en-US"/>
        </w:rPr>
        <w:t>)</w:t>
      </w:r>
      <w:r w:rsidR="00B410BC">
        <w:rPr>
          <w:lang w:val="en-US"/>
        </w:rPr>
        <w:t xml:space="preserve">. </w:t>
      </w:r>
    </w:p>
    <w:p w14:paraId="0C028F78" w14:textId="5946AA9C" w:rsidR="00BC4B13" w:rsidRDefault="00BC4B13" w:rsidP="003B7CD3">
      <w:pPr>
        <w:rPr>
          <w:lang w:val="en-US"/>
        </w:rPr>
      </w:pPr>
    </w:p>
    <w:p w14:paraId="4FDD5F37" w14:textId="77777777" w:rsidR="001E1DAB" w:rsidRDefault="00BC4B13" w:rsidP="00BC4B13">
      <w:pPr>
        <w:pStyle w:val="ListParagraph"/>
        <w:numPr>
          <w:ilvl w:val="0"/>
          <w:numId w:val="2"/>
        </w:numPr>
      </w:pPr>
      <w:r w:rsidRPr="00BC4B13">
        <w:t xml:space="preserve">Exemple : </w:t>
      </w:r>
      <w:r w:rsidR="00235DF6">
        <w:t>j’</w:t>
      </w:r>
      <w:r w:rsidRPr="00BC4B13">
        <w:t>app</w:t>
      </w:r>
      <w:r w:rsidR="00235DF6">
        <w:t>el</w:t>
      </w:r>
      <w:r w:rsidRPr="00BC4B13">
        <w:t>le à la pi</w:t>
      </w:r>
      <w:r>
        <w:t>zzéria, la serveuse répond et prend la command</w:t>
      </w:r>
      <w:r w:rsidR="00574F8A">
        <w:t>e et dit : oh le four à bois explose</w:t>
      </w:r>
      <w:r w:rsidR="003963D5">
        <w:t xml:space="preserve">, </w:t>
      </w:r>
      <w:r w:rsidR="00235DF6">
        <w:t>incendiant</w:t>
      </w:r>
      <w:r w:rsidR="002671FF">
        <w:t xml:space="preserve"> ainsi</w:t>
      </w:r>
      <w:r w:rsidR="00235DF6">
        <w:t xml:space="preserve"> le restaurant au complet. </w:t>
      </w:r>
      <w:r w:rsidR="006823A6">
        <w:t xml:space="preserve">Ensuite, </w:t>
      </w:r>
      <w:r w:rsidR="009C1831">
        <w:t>lors du procès, la cause de l’explosion doit être prouvée</w:t>
      </w:r>
      <w:r w:rsidR="00CD067E">
        <w:t>. Un seul témoin a vu réellement ce qui s’est passé et c’est la serveuse</w:t>
      </w:r>
      <w:r w:rsidR="003B7F93">
        <w:t xml:space="preserve"> qui n’est plus vivante</w:t>
      </w:r>
      <w:r w:rsidR="00AC42AF">
        <w:t xml:space="preserve"> alors, </w:t>
      </w:r>
      <w:r w:rsidR="007F5E38">
        <w:t xml:space="preserve">on voudra utiliser ce que </w:t>
      </w:r>
      <w:r w:rsidR="0096118C">
        <w:t xml:space="preserve">j’ai </w:t>
      </w:r>
      <w:r w:rsidR="007F5E38">
        <w:t xml:space="preserve">entendu </w:t>
      </w:r>
      <w:r w:rsidR="00454CE7">
        <w:t xml:space="preserve">pour prouver qu’il y a eu une explosion même si je n’ai pas été </w:t>
      </w:r>
      <w:r w:rsidR="0096118C">
        <w:t xml:space="preserve">personnellement témoin. </w:t>
      </w:r>
      <w:r w:rsidR="003C345D">
        <w:t xml:space="preserve">Je devrais dans ce cas demander la permission au </w:t>
      </w:r>
      <w:proofErr w:type="spellStart"/>
      <w:r w:rsidR="003C345D">
        <w:t>tribunala</w:t>
      </w:r>
      <w:proofErr w:type="spellEnd"/>
      <w:r w:rsidR="003C345D">
        <w:t xml:space="preserve"> en vertu de </w:t>
      </w:r>
      <w:r w:rsidR="003C345D" w:rsidRPr="00414CA8">
        <w:rPr>
          <w:shd w:val="clear" w:color="auto" w:fill="D18EC0"/>
        </w:rPr>
        <w:t xml:space="preserve">l’art. 25 C.p.c. </w:t>
      </w:r>
      <w:r w:rsidR="006F549C" w:rsidRPr="00414CA8">
        <w:rPr>
          <w:shd w:val="clear" w:color="auto" w:fill="D18EC0"/>
        </w:rPr>
        <w:t>et 2870 C.c.Q</w:t>
      </w:r>
      <w:r w:rsidR="006F549C">
        <w:t xml:space="preserve">. </w:t>
      </w:r>
    </w:p>
    <w:p w14:paraId="20403DF4" w14:textId="77777777" w:rsidR="001E1DAB" w:rsidRDefault="001E1DAB" w:rsidP="001E1DAB">
      <w:r>
        <w:t>Ce que je dois démontrer :</w:t>
      </w:r>
    </w:p>
    <w:p w14:paraId="110903BD" w14:textId="77777777" w:rsidR="001E1DAB" w:rsidRDefault="001E1DAB" w:rsidP="001E1DAB"/>
    <w:p w14:paraId="7A118CAB" w14:textId="7DDAAD18" w:rsidR="001E1DAB" w:rsidRDefault="001E1DAB" w:rsidP="001E1DAB">
      <w:pPr>
        <w:pStyle w:val="ListParagraph"/>
        <w:numPr>
          <w:ilvl w:val="0"/>
          <w:numId w:val="2"/>
        </w:numPr>
      </w:pPr>
      <w:r>
        <w:t>La nécessité de</w:t>
      </w:r>
      <w:r w:rsidR="00545B08">
        <w:t xml:space="preserve"> </w:t>
      </w:r>
      <w:r>
        <w:t xml:space="preserve">recevoir la déclaration </w:t>
      </w:r>
    </w:p>
    <w:p w14:paraId="070C0F79" w14:textId="28F74928" w:rsidR="00BC4B13" w:rsidRDefault="00BA51CD" w:rsidP="001E1DAB">
      <w:pPr>
        <w:pStyle w:val="ListParagraph"/>
        <w:numPr>
          <w:ilvl w:val="0"/>
          <w:numId w:val="2"/>
        </w:numPr>
      </w:pPr>
      <w:r>
        <w:t xml:space="preserve">Pour démontrer la véracité </w:t>
      </w:r>
      <w:r w:rsidR="00E0283D">
        <w:t>de ce qui s’est passé</w:t>
      </w:r>
    </w:p>
    <w:p w14:paraId="31BE488B" w14:textId="6518EE95" w:rsidR="00E0283D" w:rsidRDefault="00E0283D" w:rsidP="001E1DAB">
      <w:pPr>
        <w:pStyle w:val="ListParagraph"/>
        <w:numPr>
          <w:ilvl w:val="0"/>
          <w:numId w:val="2"/>
        </w:numPr>
      </w:pPr>
      <w:r>
        <w:t>Impossible ou déraisonnable d’exiger la présence du témoin</w:t>
      </w:r>
    </w:p>
    <w:p w14:paraId="0885BA73" w14:textId="27D8A9C6" w:rsidR="006F39B7" w:rsidRDefault="00E97E75" w:rsidP="001E1DAB">
      <w:pPr>
        <w:pStyle w:val="ListParagraph"/>
        <w:numPr>
          <w:ilvl w:val="0"/>
          <w:numId w:val="2"/>
        </w:numPr>
      </w:pPr>
      <w:r>
        <w:t>Démontrer la fiabilité de la déclaration</w:t>
      </w:r>
      <w:r w:rsidR="008E2981">
        <w:t> : devant une personne en autorité par exemple</w:t>
      </w:r>
    </w:p>
    <w:p w14:paraId="4EC21A44" w14:textId="642A92AA" w:rsidR="0001789C" w:rsidRDefault="0001789C" w:rsidP="0001789C"/>
    <w:p w14:paraId="50496876" w14:textId="4E409BDC" w:rsidR="0001789C" w:rsidRDefault="0001789C" w:rsidP="0001789C">
      <w:r>
        <w:t>Trois situations où une déclaration est présumée fiable </w:t>
      </w:r>
      <w:r w:rsidR="00D106DD">
        <w:t>(</w:t>
      </w:r>
      <w:r w:rsidR="00D106DD" w:rsidRPr="00C1697A">
        <w:rPr>
          <w:shd w:val="clear" w:color="auto" w:fill="D18EC0"/>
        </w:rPr>
        <w:t>Art. 2870, al.3 C.c.Q.</w:t>
      </w:r>
      <w:r w:rsidR="00C1697A">
        <w:t>)</w:t>
      </w:r>
      <w:r>
        <w:t>:</w:t>
      </w:r>
    </w:p>
    <w:p w14:paraId="1D597B6F" w14:textId="23B1BE0D" w:rsidR="0001789C" w:rsidRDefault="0001789C" w:rsidP="0001789C"/>
    <w:p w14:paraId="74D4B890" w14:textId="4FFD6800" w:rsidR="00C80349" w:rsidRDefault="00A6108C" w:rsidP="00C80349">
      <w:pPr>
        <w:pStyle w:val="ListParagraph"/>
        <w:numPr>
          <w:ilvl w:val="0"/>
          <w:numId w:val="11"/>
        </w:numPr>
      </w:pPr>
      <w:r>
        <w:t>Si pareil déclaration est effectuée dans le cadre des activités d’une entreprise</w:t>
      </w:r>
    </w:p>
    <w:p w14:paraId="11DA7420" w14:textId="03524C1F" w:rsidR="0015317A" w:rsidRDefault="0015317A" w:rsidP="00C80349">
      <w:pPr>
        <w:pStyle w:val="ListParagraph"/>
        <w:numPr>
          <w:ilvl w:val="0"/>
          <w:numId w:val="11"/>
        </w:numPr>
      </w:pPr>
      <w:r>
        <w:t>L</w:t>
      </w:r>
      <w:r w:rsidRPr="0015317A">
        <w:t>es documents insérés dans un registre dont la tenue est exigée par la loi</w:t>
      </w:r>
      <w:r w:rsidR="00ED625F">
        <w:t xml:space="preserve"> (Art 343 C.c.Q.)</w:t>
      </w:r>
    </w:p>
    <w:p w14:paraId="478B9FD1" w14:textId="08B4791B" w:rsidR="00A6108C" w:rsidRPr="00BC4B13" w:rsidRDefault="0015317A" w:rsidP="00C80349">
      <w:pPr>
        <w:pStyle w:val="ListParagraph"/>
        <w:numPr>
          <w:ilvl w:val="0"/>
          <w:numId w:val="11"/>
        </w:numPr>
      </w:pPr>
      <w:r>
        <w:t>L</w:t>
      </w:r>
      <w:r w:rsidRPr="0015317A">
        <w:t>es déclarations spontanées et contemporaines de la survenance des faits.</w:t>
      </w:r>
      <w:r w:rsidR="00ED625F">
        <w:t xml:space="preserve"> (Exemple de la Pizzeria)</w:t>
      </w:r>
    </w:p>
    <w:p w14:paraId="3BBE3B7C" w14:textId="0BFCDFFD" w:rsidR="0053076D" w:rsidRDefault="0053076D" w:rsidP="003B7CD3"/>
    <w:p w14:paraId="7F299B83" w14:textId="2BA8A20F" w:rsidR="0053076D" w:rsidRDefault="0053076D" w:rsidP="003B7CD3">
      <w:r>
        <w:t>Une fois le fardeau comblé</w:t>
      </w:r>
      <w:r w:rsidR="00BB2621">
        <w:t>, je pourrais témoigner et démontrer que l’incend</w:t>
      </w:r>
      <w:r w:rsidR="006023DE">
        <w:t>i</w:t>
      </w:r>
      <w:r w:rsidR="00BB2621">
        <w:t>e est dû à l’</w:t>
      </w:r>
      <w:r w:rsidR="00F1001A">
        <w:t>e</w:t>
      </w:r>
      <w:r w:rsidR="00BB2621">
        <w:t>xplosion du four à bois.</w:t>
      </w:r>
    </w:p>
    <w:p w14:paraId="47A486C5" w14:textId="10761780" w:rsidR="006B383F" w:rsidRPr="00642E6C" w:rsidRDefault="006B383F" w:rsidP="00396C4D"/>
    <w:p w14:paraId="1D7044FF" w14:textId="462BDD14" w:rsidR="002D0BFD" w:rsidRPr="002D0BFD" w:rsidRDefault="002D0BFD" w:rsidP="00396C4D">
      <w:r w:rsidRPr="002D0BFD">
        <w:t>Tout comme le témo</w:t>
      </w:r>
      <w:r>
        <w:t>ignage, cette déclaration sera laissée à l’appréciation du tribunal (</w:t>
      </w:r>
      <w:r w:rsidRPr="004E7B84">
        <w:rPr>
          <w:shd w:val="clear" w:color="auto" w:fill="D18EC0"/>
        </w:rPr>
        <w:t>art. 2845 C.c.Q.)</w:t>
      </w:r>
    </w:p>
    <w:p w14:paraId="47ED4177" w14:textId="77777777" w:rsidR="002D0BFD" w:rsidRPr="002D0BFD" w:rsidRDefault="002D0BFD" w:rsidP="00396C4D"/>
    <w:p w14:paraId="284CB458" w14:textId="5D501CA6" w:rsidR="002E4AF0" w:rsidRPr="00C639EE" w:rsidRDefault="002E4AF0" w:rsidP="002E4AF0">
      <w:pPr>
        <w:rPr>
          <w:b/>
          <w:bCs/>
        </w:rPr>
      </w:pPr>
      <w:r w:rsidRPr="00C639EE">
        <w:rPr>
          <w:b/>
          <w:bCs/>
        </w:rPr>
        <w:t>Vrai/Faux</w:t>
      </w:r>
    </w:p>
    <w:p w14:paraId="5E8538DE" w14:textId="77777777" w:rsidR="002E4AF0" w:rsidRPr="002E4AF0" w:rsidRDefault="002E4AF0" w:rsidP="002E4AF0"/>
    <w:p w14:paraId="37E37810" w14:textId="77777777" w:rsidR="002E4AF0" w:rsidRPr="002E4AF0" w:rsidRDefault="002E4AF0" w:rsidP="002E4AF0">
      <w:r w:rsidRPr="002E4AF0">
        <w:t>Dans une affaire opposant Robert à Jacqueline, Me Arnaud Smith, avocat de Jacqueline, fait entendre Luc au sujet d’une conversation dont il a été témoin alors qu’il attendait dans le cabinet du notaire :</w:t>
      </w:r>
    </w:p>
    <w:p w14:paraId="2C81C85E" w14:textId="77777777" w:rsidR="002E4AF0" w:rsidRPr="002E4AF0" w:rsidRDefault="002E4AF0" w:rsidP="002E4AF0"/>
    <w:p w14:paraId="6C79C84C" w14:textId="4CAF4C18" w:rsidR="002E4AF0" w:rsidRPr="00C639EE" w:rsidRDefault="002E4AF0" w:rsidP="002E4AF0">
      <w:r w:rsidRPr="00C639EE">
        <w:t>Q</w:t>
      </w:r>
      <w:r w:rsidR="00C639EE">
        <w:t> :</w:t>
      </w:r>
      <w:r w:rsidR="00C639EE">
        <w:tab/>
      </w:r>
      <w:r w:rsidRPr="00C639EE">
        <w:t>Qui était dans la salle d’attente avec vous?</w:t>
      </w:r>
    </w:p>
    <w:p w14:paraId="5C4DEFC3" w14:textId="2DCB3337" w:rsidR="002E4AF0" w:rsidRPr="00C639EE" w:rsidRDefault="002E4AF0" w:rsidP="002E4AF0">
      <w:r w:rsidRPr="00C639EE">
        <w:t>R</w:t>
      </w:r>
      <w:r w:rsidR="00C639EE">
        <w:t> :</w:t>
      </w:r>
      <w:r w:rsidR="00C639EE">
        <w:tab/>
      </w:r>
      <w:r w:rsidRPr="00C639EE">
        <w:t>Jacqueline et Robert.</w:t>
      </w:r>
    </w:p>
    <w:p w14:paraId="0CF2A80C" w14:textId="67788F62" w:rsidR="002E4AF0" w:rsidRPr="00C639EE" w:rsidRDefault="002E4AF0" w:rsidP="002E4AF0">
      <w:r w:rsidRPr="00C639EE">
        <w:t>Q</w:t>
      </w:r>
      <w:r w:rsidR="00C639EE">
        <w:t> </w:t>
      </w:r>
      <w:r w:rsidRPr="00C639EE">
        <w:t>:</w:t>
      </w:r>
      <w:r w:rsidR="00C639EE">
        <w:tab/>
      </w:r>
      <w:r w:rsidRPr="00C639EE">
        <w:t>Comment était Jacqueline?</w:t>
      </w:r>
    </w:p>
    <w:p w14:paraId="54259ACB" w14:textId="539EA831" w:rsidR="002E4AF0" w:rsidRPr="00C639EE" w:rsidRDefault="002E4AF0" w:rsidP="00760FAA">
      <w:pPr>
        <w:ind w:left="700" w:hanging="700"/>
      </w:pPr>
      <w:r w:rsidRPr="00C639EE">
        <w:t>R</w:t>
      </w:r>
      <w:r w:rsidR="008A7AA4">
        <w:t> :</w:t>
      </w:r>
      <w:r w:rsidR="008A7AA4">
        <w:tab/>
      </w:r>
      <w:r w:rsidRPr="00C639EE">
        <w:t>Elle n’était pas bien du tout. Elle était comme en transe. La secrétaire du notaire est venue la chercher, s’est présentée et lui a demandé si elle était bien Jacqueline. Jacqueline l’a regardée comme si elle ne comprenait pas sa question et c’est Robert qui a répondu : « Oui c’est bien elle, mais elle n’a pas son appareil auditif. »</w:t>
      </w:r>
    </w:p>
    <w:p w14:paraId="41B02DB2" w14:textId="77777777" w:rsidR="002E4AF0" w:rsidRPr="00C639EE" w:rsidRDefault="002E4AF0" w:rsidP="002E4AF0"/>
    <w:p w14:paraId="2CB64997" w14:textId="1ED5D83D" w:rsidR="002E4AF0" w:rsidRPr="00C639EE" w:rsidRDefault="002E4AF0" w:rsidP="002E4AF0">
      <w:r w:rsidRPr="00C639EE">
        <w:t>Vous pouvez formuler une objection au motif que le témoin rapporte les paroles du défendeur et cela constitue du ouï-dire.</w:t>
      </w:r>
    </w:p>
    <w:p w14:paraId="7BCD7880" w14:textId="07F33A28" w:rsidR="00760FAA" w:rsidRDefault="00760FAA" w:rsidP="003B7CD3"/>
    <w:p w14:paraId="190ACBE1" w14:textId="3E91BC3C" w:rsidR="008E14FE" w:rsidRDefault="007350A9" w:rsidP="003B7CD3">
      <w:r>
        <w:t xml:space="preserve">Faux, </w:t>
      </w:r>
      <w:r w:rsidR="00EB3004" w:rsidRPr="00EB3004">
        <w:t>puisque la déclaration provient de la partie adverse, Robert, qui est présent, ce qui constitue un cas où le ouï-dire est permis.</w:t>
      </w:r>
    </w:p>
    <w:p w14:paraId="2C0A8862" w14:textId="77777777" w:rsidR="00760FAA" w:rsidRPr="00C639EE" w:rsidRDefault="00760FAA" w:rsidP="003B7CD3"/>
    <w:p w14:paraId="6FDA6DB8" w14:textId="12C7B37B" w:rsidR="008F06EE" w:rsidRDefault="003B7CD3" w:rsidP="003B7CD3">
      <w:pPr>
        <w:pStyle w:val="Heading1"/>
      </w:pPr>
      <w:r w:rsidRPr="003B7CD3">
        <w:t>Section 3 : L’irrecevabilité de la preuve testimonial</w:t>
      </w:r>
      <w:r w:rsidR="00704918">
        <w:t>e</w:t>
      </w:r>
    </w:p>
    <w:p w14:paraId="123D1F46" w14:textId="4DE56CA3" w:rsidR="00704918" w:rsidRDefault="00704918" w:rsidP="00704918"/>
    <w:p w14:paraId="7585897F" w14:textId="663042C9" w:rsidR="00704918" w:rsidRDefault="00EE0DE1" w:rsidP="00704918">
      <w:r w:rsidRPr="00EE0DE1">
        <w:t xml:space="preserve">La règle de la meilleure preuve exige la production de l’original de l’écrit ou d’une copie qui en tient lieu légalement afin de prouver l’acte juridique qui y est constaté. Il existe toutefois </w:t>
      </w:r>
      <w:r w:rsidR="00C90386">
        <w:t>(3</w:t>
      </w:r>
      <w:proofErr w:type="gramStart"/>
      <w:r w:rsidR="00C90386">
        <w:t xml:space="preserve">) </w:t>
      </w:r>
      <w:r w:rsidRPr="00EE0DE1">
        <w:t xml:space="preserve"> exceptions</w:t>
      </w:r>
      <w:proofErr w:type="gramEnd"/>
      <w:r w:rsidRPr="00EE0DE1">
        <w:t xml:space="preserve"> à cette règle.</w:t>
      </w:r>
    </w:p>
    <w:p w14:paraId="5051F7AF" w14:textId="2BC499F3" w:rsidR="000630B4" w:rsidRDefault="000630B4" w:rsidP="00704918"/>
    <w:p w14:paraId="3052D9B8" w14:textId="5925E41B" w:rsidR="00943692" w:rsidRDefault="00943692" w:rsidP="009864D4">
      <w:pPr>
        <w:pStyle w:val="Heading2"/>
        <w:numPr>
          <w:ilvl w:val="0"/>
          <w:numId w:val="12"/>
        </w:numPr>
      </w:pPr>
      <w:r w:rsidRPr="003B7CD3">
        <w:t>L’irrecevabilité</w:t>
      </w:r>
      <w:r>
        <w:t xml:space="preserve"> de </w:t>
      </w:r>
      <w:r w:rsidRPr="00FE7127">
        <w:rPr>
          <w:shd w:val="clear" w:color="auto" w:fill="D18EC0"/>
        </w:rPr>
        <w:t>l’art. 2860 C.c.Q.</w:t>
      </w:r>
    </w:p>
    <w:p w14:paraId="76C17A8D" w14:textId="77777777" w:rsidR="00943692" w:rsidRDefault="00943692" w:rsidP="00704918"/>
    <w:p w14:paraId="6B0FAE3E" w14:textId="77777777" w:rsidR="00695A77" w:rsidRPr="00695A77" w:rsidRDefault="000630B4" w:rsidP="00695A77">
      <w:pPr>
        <w:rPr>
          <w:rFonts w:eastAsia="Times New Roman" w:cs="Times New Roman"/>
          <w:lang w:eastAsia="fr-CA"/>
        </w:rPr>
      </w:pPr>
      <w:r w:rsidRPr="00695A77">
        <w:t>(</w:t>
      </w:r>
      <w:r w:rsidRPr="00695A77">
        <w:rPr>
          <w:shd w:val="clear" w:color="auto" w:fill="D18EC0"/>
        </w:rPr>
        <w:t>Art. 2860 C.</w:t>
      </w:r>
      <w:r w:rsidR="00D45059" w:rsidRPr="00695A77">
        <w:rPr>
          <w:shd w:val="clear" w:color="auto" w:fill="D18EC0"/>
        </w:rPr>
        <w:t>c.Q.</w:t>
      </w:r>
      <w:r w:rsidRPr="00695A77">
        <w:t>)</w:t>
      </w:r>
      <w:r w:rsidR="00695A77" w:rsidRPr="00695A77">
        <w:t xml:space="preserve">: </w:t>
      </w:r>
      <w:r w:rsidR="00695A77" w:rsidRPr="00695A77">
        <w:rPr>
          <w:rFonts w:eastAsia="Times New Roman" w:cs="Times New Roman"/>
          <w:lang w:eastAsia="fr-CA"/>
        </w:rPr>
        <w:t> L’acte juridique constaté dans un écrit ou le contenu d’un écrit doit être prouvé par la production de l’original ou d’une copie qui légalement en tient lieu.</w:t>
      </w:r>
    </w:p>
    <w:p w14:paraId="539C62AE" w14:textId="404FDBD4" w:rsidR="00695A77" w:rsidRDefault="00695A77" w:rsidP="00CB45B0">
      <w:pPr>
        <w:rPr>
          <w:rFonts w:eastAsia="Times New Roman" w:cs="Times New Roman"/>
          <w:lang w:eastAsia="fr-CA"/>
        </w:rPr>
      </w:pPr>
      <w:r w:rsidRPr="00695A77">
        <w:rPr>
          <w:rFonts w:eastAsia="Times New Roman" w:cs="Times New Roman"/>
          <w:lang w:eastAsia="fr-CA"/>
        </w:rPr>
        <w:t>Toutefois, lorsqu’une partie ne peut, malgré sa bonne foi et sa diligence, produire l’original de l’écrit ou la copie qui légalement en tient lieu, la preuve peut être faite par tous moyens.</w:t>
      </w:r>
    </w:p>
    <w:p w14:paraId="52B13A5E" w14:textId="77777777" w:rsidR="0010316C" w:rsidRPr="00695A77" w:rsidRDefault="0010316C" w:rsidP="00CB45B0">
      <w:pPr>
        <w:rPr>
          <w:rFonts w:eastAsia="Times New Roman" w:cs="Times New Roman"/>
          <w:lang w:eastAsia="fr-CA"/>
        </w:rPr>
      </w:pPr>
    </w:p>
    <w:p w14:paraId="31828541" w14:textId="77777777" w:rsidR="00695A77" w:rsidRPr="00695A77" w:rsidRDefault="00695A77" w:rsidP="00CB45B0">
      <w:pPr>
        <w:rPr>
          <w:rFonts w:eastAsia="Times New Roman" w:cs="Times New Roman"/>
          <w:lang w:eastAsia="fr-CA"/>
        </w:rPr>
      </w:pPr>
      <w:r w:rsidRPr="00695A77">
        <w:rPr>
          <w:rFonts w:eastAsia="Times New Roman" w:cs="Times New Roman"/>
          <w:lang w:eastAsia="fr-CA"/>
        </w:rPr>
        <w:lastRenderedPageBreak/>
        <w:t>À l’égard d’un document technologique, la fonction d’original est remplie par un document qui répond aux exigences de l’article 12 de la Loi concernant le cadre juridique des technologies de l’information (</w:t>
      </w:r>
      <w:hyperlink r:id="rId8" w:tgtFrame="_blank" w:history="1">
        <w:r w:rsidRPr="00695A77">
          <w:rPr>
            <w:rFonts w:eastAsia="Times New Roman" w:cs="Times New Roman"/>
            <w:color w:val="375D9D"/>
            <w:u w:val="single"/>
            <w:lang w:eastAsia="fr-CA"/>
          </w:rPr>
          <w:t>chapitre C-1.1</w:t>
        </w:r>
      </w:hyperlink>
      <w:r w:rsidRPr="00695A77">
        <w:rPr>
          <w:rFonts w:eastAsia="Times New Roman" w:cs="Times New Roman"/>
          <w:lang w:eastAsia="fr-CA"/>
        </w:rPr>
        <w:t>) et celle de copie qui en tient lieu, par la copie d’un document certifiée qui satisfait aux exigences de l’article 16 de cette loi.</w:t>
      </w:r>
    </w:p>
    <w:p w14:paraId="773ED27F" w14:textId="77777777" w:rsidR="00695A77" w:rsidRPr="00695A77" w:rsidRDefault="00695A77" w:rsidP="00695A77">
      <w:pPr>
        <w:jc w:val="left"/>
        <w:rPr>
          <w:rFonts w:eastAsia="Times New Roman" w:cs="Times New Roman"/>
          <w:lang w:eastAsia="fr-CA"/>
        </w:rPr>
      </w:pPr>
    </w:p>
    <w:p w14:paraId="0FA4E6F2" w14:textId="0C5A598F" w:rsidR="00D30E66" w:rsidRDefault="00ED6E4C" w:rsidP="00C81844">
      <w:pPr>
        <w:pStyle w:val="ListParagraph"/>
        <w:numPr>
          <w:ilvl w:val="0"/>
          <w:numId w:val="2"/>
        </w:numPr>
      </w:pPr>
      <w:r>
        <w:t>Ne peut pas par le témoignage prouver l</w:t>
      </w:r>
      <w:r w:rsidR="00E057C6">
        <w:t xml:space="preserve">e contenu d’un écrit alors même que l’écrit existe. </w:t>
      </w:r>
    </w:p>
    <w:p w14:paraId="012A74DC" w14:textId="35954805" w:rsidR="00B501AE" w:rsidRPr="00695A77" w:rsidRDefault="00B501AE" w:rsidP="00C81844">
      <w:pPr>
        <w:pStyle w:val="ListParagraph"/>
        <w:numPr>
          <w:ilvl w:val="0"/>
          <w:numId w:val="2"/>
        </w:numPr>
      </w:pPr>
      <w:r>
        <w:t>Si ce n’est pas possible de produire l’original</w:t>
      </w:r>
      <w:r w:rsidR="004220CA">
        <w:t xml:space="preserve"> de</w:t>
      </w:r>
      <w:r w:rsidR="008B02B6">
        <w:t xml:space="preserve"> </w:t>
      </w:r>
      <w:r w:rsidR="004220CA">
        <w:t xml:space="preserve">l’écrit </w:t>
      </w:r>
      <w:r w:rsidR="003C5662">
        <w:t>ou la copie</w:t>
      </w:r>
      <w:r w:rsidR="00A11FB9">
        <w:t xml:space="preserve">, la preuve peut se faire par tous moyens et donc par témoignage. </w:t>
      </w:r>
    </w:p>
    <w:p w14:paraId="40433BFE" w14:textId="6E615464" w:rsidR="00943692" w:rsidRPr="00695A77" w:rsidRDefault="00943692" w:rsidP="000630B4"/>
    <w:p w14:paraId="26EF675B" w14:textId="37BBF5E3" w:rsidR="00943692" w:rsidRPr="00FE7127" w:rsidRDefault="00FE7127" w:rsidP="00DA6F06">
      <w:pPr>
        <w:pStyle w:val="Heading2"/>
        <w:numPr>
          <w:ilvl w:val="0"/>
          <w:numId w:val="12"/>
        </w:numPr>
      </w:pPr>
      <w:r w:rsidRPr="003B7CD3">
        <w:t>L’irrecevabilité</w:t>
      </w:r>
      <w:r>
        <w:t xml:space="preserve"> de </w:t>
      </w:r>
      <w:r w:rsidRPr="00A5721C">
        <w:rPr>
          <w:shd w:val="clear" w:color="auto" w:fill="D18EC0"/>
        </w:rPr>
        <w:t>l’art. 2862 C.c.Q.</w:t>
      </w:r>
    </w:p>
    <w:p w14:paraId="7A99FE5B" w14:textId="77777777" w:rsidR="00891530" w:rsidRPr="006B383F" w:rsidRDefault="00891530" w:rsidP="000630B4">
      <w:pPr>
        <w:rPr>
          <w:lang w:val="en-US"/>
        </w:rPr>
      </w:pPr>
    </w:p>
    <w:p w14:paraId="6302A93C" w14:textId="6DF7F7B4" w:rsidR="0015693E" w:rsidRPr="00891530" w:rsidRDefault="000630B4" w:rsidP="0015693E">
      <w:r w:rsidRPr="00891530">
        <w:t>(</w:t>
      </w:r>
      <w:r w:rsidRPr="00891530">
        <w:rPr>
          <w:shd w:val="clear" w:color="auto" w:fill="D18EC0"/>
        </w:rPr>
        <w:t xml:space="preserve">Art. </w:t>
      </w:r>
      <w:r w:rsidR="00B81AB5" w:rsidRPr="00891530">
        <w:rPr>
          <w:shd w:val="clear" w:color="auto" w:fill="D18EC0"/>
        </w:rPr>
        <w:t>2862 C.c.Q.</w:t>
      </w:r>
      <w:r w:rsidRPr="00891530">
        <w:t>)</w:t>
      </w:r>
      <w:r w:rsidR="0015693E" w:rsidRPr="00891530">
        <w:t xml:space="preserve"> :</w:t>
      </w:r>
      <w:r w:rsidR="0015693E" w:rsidRPr="0015693E">
        <w:t xml:space="preserve"> </w:t>
      </w:r>
      <w:r w:rsidR="0015693E" w:rsidRPr="00891530">
        <w:t>La preuve d’un acte juridique ne peut, entre les parties, se faire par témoignage lorsque la valeur du litige excède 1 500 $.</w:t>
      </w:r>
    </w:p>
    <w:p w14:paraId="5CE6B232" w14:textId="77777777" w:rsidR="0015693E" w:rsidRPr="00891530" w:rsidRDefault="0015693E" w:rsidP="0015693E"/>
    <w:p w14:paraId="5FE574F7" w14:textId="78235416" w:rsidR="000630B4" w:rsidRPr="00891530" w:rsidRDefault="0015693E" w:rsidP="0015693E">
      <w:r w:rsidRPr="00891530">
        <w:t>Néanmoins, en l’absence d’une preuve écrite et quelle que soit la valeur du litige, on peut prouver par témoignage tout acte juridique dès lors qu’il y a commencement de preuve; on peut aussi prouver par témoignage, contre une personne, tout acte juridique passé par elle dans le cours des activités d’une entreprise.</w:t>
      </w:r>
    </w:p>
    <w:p w14:paraId="6930A0F5" w14:textId="77777777" w:rsidR="00891530" w:rsidRDefault="00891530" w:rsidP="00891530">
      <w:pPr>
        <w:rPr>
          <w:lang w:val="en-US"/>
        </w:rPr>
      </w:pPr>
    </w:p>
    <w:p w14:paraId="2C0D7EDF" w14:textId="658477F4" w:rsidR="001D3866" w:rsidRDefault="00925E05" w:rsidP="00735E93">
      <w:r w:rsidRPr="00CC2E1D">
        <w:t xml:space="preserve">Plusieurs </w:t>
      </w:r>
      <w:r w:rsidR="00735E93" w:rsidRPr="00CC2E1D">
        <w:t>tempérament</w:t>
      </w:r>
      <w:r w:rsidRPr="00CC2E1D">
        <w:t xml:space="preserve"> à cette règle </w:t>
      </w:r>
      <w:r w:rsidR="00CC2E1D" w:rsidRPr="00CC2E1D">
        <w:t xml:space="preserve">: </w:t>
      </w:r>
    </w:p>
    <w:p w14:paraId="25FAC540" w14:textId="77777777" w:rsidR="001D3866" w:rsidRPr="00CC2E1D" w:rsidRDefault="001D3866" w:rsidP="00735E93"/>
    <w:p w14:paraId="575D6006" w14:textId="55BCE883" w:rsidR="00323503" w:rsidRPr="001D3866" w:rsidRDefault="00323503" w:rsidP="000630B4">
      <w:pPr>
        <w:pStyle w:val="ListParagraph"/>
        <w:numPr>
          <w:ilvl w:val="0"/>
          <w:numId w:val="13"/>
        </w:numPr>
        <w:rPr>
          <w:lang w:val="en-US"/>
        </w:rPr>
      </w:pPr>
      <w:r>
        <w:t>Absence d’écrit</w:t>
      </w:r>
      <w:r w:rsidR="001D3866">
        <w:t xml:space="preserve"> </w:t>
      </w:r>
      <w:r w:rsidR="001D3866" w:rsidRPr="004539F7">
        <w:rPr>
          <w:lang w:val="en-US"/>
        </w:rPr>
        <w:t>(</w:t>
      </w:r>
      <w:r w:rsidR="001D3866" w:rsidRPr="004539F7">
        <w:rPr>
          <w:shd w:val="clear" w:color="auto" w:fill="D18EC0"/>
          <w:lang w:val="en-US"/>
        </w:rPr>
        <w:t>Art. 2861 C.c.Q.</w:t>
      </w:r>
      <w:r w:rsidR="001D3866" w:rsidRPr="004539F7">
        <w:rPr>
          <w:lang w:val="en-US"/>
        </w:rPr>
        <w:t>)</w:t>
      </w:r>
    </w:p>
    <w:p w14:paraId="2A828811" w14:textId="6CAAD056" w:rsidR="00CF2DAA" w:rsidRDefault="00CF2DAA" w:rsidP="000630B4"/>
    <w:p w14:paraId="12AF4BF5" w14:textId="7CD1B15B" w:rsidR="00014175" w:rsidRDefault="00CF2DAA" w:rsidP="00014175">
      <w:pPr>
        <w:pStyle w:val="ListParagraph"/>
        <w:numPr>
          <w:ilvl w:val="0"/>
          <w:numId w:val="2"/>
        </w:numPr>
      </w:pPr>
      <w:r>
        <w:t>Exemple : dans une relation de proximité entre deux personnes de la même famille</w:t>
      </w:r>
      <w:r w:rsidR="00A23539">
        <w:t xml:space="preserve">, c’est possible de ne pas </w:t>
      </w:r>
      <w:r w:rsidR="008F6355">
        <w:t xml:space="preserve">faire un contrat. </w:t>
      </w:r>
    </w:p>
    <w:p w14:paraId="21FBEEA5" w14:textId="5BE7025C" w:rsidR="00323503" w:rsidRDefault="00323503" w:rsidP="000630B4"/>
    <w:p w14:paraId="48525C36" w14:textId="752972FA" w:rsidR="00742E38" w:rsidRDefault="00742E38" w:rsidP="00742E38">
      <w:pPr>
        <w:pStyle w:val="ListParagraph"/>
        <w:numPr>
          <w:ilvl w:val="0"/>
          <w:numId w:val="13"/>
        </w:numPr>
      </w:pPr>
      <w:r>
        <w:t>Valeur du litige de moins de 1 500 $</w:t>
      </w:r>
      <w:r w:rsidR="0000240F">
        <w:t xml:space="preserve"> (</w:t>
      </w:r>
      <w:r w:rsidR="0000240F" w:rsidRPr="00063F0D">
        <w:rPr>
          <w:shd w:val="clear" w:color="auto" w:fill="D18EC0"/>
        </w:rPr>
        <w:t>art. 2862, al.1 C.c.Q.</w:t>
      </w:r>
      <w:r w:rsidR="0000240F">
        <w:t>)</w:t>
      </w:r>
    </w:p>
    <w:p w14:paraId="497D7302" w14:textId="2AF09855" w:rsidR="00742E38" w:rsidRDefault="00742E38" w:rsidP="000630B4"/>
    <w:p w14:paraId="6B10CAE5" w14:textId="20DCBE5D" w:rsidR="00240EA6" w:rsidRDefault="00240EA6" w:rsidP="00240EA6">
      <w:pPr>
        <w:pStyle w:val="ListParagraph"/>
        <w:numPr>
          <w:ilvl w:val="0"/>
          <w:numId w:val="13"/>
        </w:numPr>
      </w:pPr>
      <w:r>
        <w:t xml:space="preserve">Dans le cadre des activités d’une entreprise </w:t>
      </w:r>
      <w:r w:rsidR="005A0AAA">
        <w:t>(</w:t>
      </w:r>
      <w:r w:rsidR="005A0AAA" w:rsidRPr="00063F0D">
        <w:rPr>
          <w:shd w:val="clear" w:color="auto" w:fill="D18EC0"/>
        </w:rPr>
        <w:t xml:space="preserve">arts. 1525 et </w:t>
      </w:r>
      <w:r w:rsidR="007A600D" w:rsidRPr="00063F0D">
        <w:rPr>
          <w:shd w:val="clear" w:color="auto" w:fill="D18EC0"/>
        </w:rPr>
        <w:t>2862, al.2 C.c.Q.</w:t>
      </w:r>
      <w:r w:rsidR="007A600D">
        <w:t>)</w:t>
      </w:r>
    </w:p>
    <w:p w14:paraId="29E59AFF" w14:textId="67EF33A0" w:rsidR="00240EA6" w:rsidRDefault="00240EA6" w:rsidP="000630B4"/>
    <w:p w14:paraId="0C99D5E5" w14:textId="716DF36A" w:rsidR="00B50704" w:rsidRDefault="00BB536B" w:rsidP="009E0271">
      <w:pPr>
        <w:pStyle w:val="ListParagraph"/>
        <w:numPr>
          <w:ilvl w:val="0"/>
          <w:numId w:val="2"/>
        </w:numPr>
      </w:pPr>
      <w:r>
        <w:t xml:space="preserve">Exemple : </w:t>
      </w:r>
      <w:r w:rsidR="00437FA7">
        <w:t>un écrit produit dans le cours des activités d’un dépanneur pourra êt</w:t>
      </w:r>
      <w:r w:rsidR="00A601F2">
        <w:t>r</w:t>
      </w:r>
      <w:r w:rsidR="00437FA7">
        <w:t xml:space="preserve">e opposé </w:t>
      </w:r>
      <w:r w:rsidR="00A601F2">
        <w:t xml:space="preserve">le commerçant. </w:t>
      </w:r>
    </w:p>
    <w:p w14:paraId="22201E40" w14:textId="091E1457" w:rsidR="00C369E0" w:rsidRDefault="00C369E0" w:rsidP="003F55EA"/>
    <w:p w14:paraId="61FEF949" w14:textId="6305D339" w:rsidR="003F55EA" w:rsidRDefault="00022658" w:rsidP="003F55EA">
      <w:pPr>
        <w:pStyle w:val="ListParagraph"/>
        <w:numPr>
          <w:ilvl w:val="0"/>
          <w:numId w:val="13"/>
        </w:numPr>
      </w:pPr>
      <w:r>
        <w:t>Ne s’applique qu’entre les parties</w:t>
      </w:r>
    </w:p>
    <w:p w14:paraId="75E8E2BB" w14:textId="1661DAF8" w:rsidR="003F55EA" w:rsidRDefault="003F55EA" w:rsidP="003F55EA"/>
    <w:p w14:paraId="431A2C7E" w14:textId="25F634BD" w:rsidR="007E458B" w:rsidRDefault="007E458B" w:rsidP="003F55EA">
      <w:r>
        <w:t>Alors, un tiers par son propre témoignage pourrait prouver l’acte juridique</w:t>
      </w:r>
      <w:r w:rsidR="00A463C2">
        <w:t xml:space="preserve">. </w:t>
      </w:r>
    </w:p>
    <w:p w14:paraId="7151F6CC" w14:textId="7075DC87" w:rsidR="00FD369B" w:rsidRDefault="00FD369B" w:rsidP="003F55EA"/>
    <w:p w14:paraId="1D46073E" w14:textId="1AFDCB7D" w:rsidR="001C3F57" w:rsidRDefault="0050243C" w:rsidP="001C3F57">
      <w:pPr>
        <w:pStyle w:val="ListParagraph"/>
        <w:numPr>
          <w:ilvl w:val="0"/>
          <w:numId w:val="13"/>
        </w:numPr>
      </w:pPr>
      <w:r>
        <w:t xml:space="preserve">Ne s’applique pas lorsque nous sommes en présence d’un commencement de preuve </w:t>
      </w:r>
      <w:r w:rsidR="00A5721C" w:rsidRPr="00891530">
        <w:t>(</w:t>
      </w:r>
      <w:r w:rsidR="00A5721C" w:rsidRPr="008F0A92">
        <w:rPr>
          <w:shd w:val="clear" w:color="auto" w:fill="D18EC0"/>
        </w:rPr>
        <w:t>Art. 286</w:t>
      </w:r>
      <w:r w:rsidR="008F0A92">
        <w:rPr>
          <w:shd w:val="clear" w:color="auto" w:fill="D18EC0"/>
        </w:rPr>
        <w:t>2, al.2</w:t>
      </w:r>
      <w:r w:rsidR="00A5721C" w:rsidRPr="008F0A92">
        <w:rPr>
          <w:shd w:val="clear" w:color="auto" w:fill="D18EC0"/>
        </w:rPr>
        <w:t xml:space="preserve"> C.c.Q.</w:t>
      </w:r>
      <w:r w:rsidR="00A5721C" w:rsidRPr="00891530">
        <w:t>)</w:t>
      </w:r>
    </w:p>
    <w:p w14:paraId="1574450B" w14:textId="746EE323" w:rsidR="001C3F57" w:rsidRDefault="001C3F57" w:rsidP="001C3F57"/>
    <w:p w14:paraId="4D59A7CA" w14:textId="3B388A29" w:rsidR="00810A8B" w:rsidRPr="00413B14" w:rsidRDefault="00810A8B" w:rsidP="00810A8B">
      <w:r w:rsidRPr="00413B14">
        <w:t>(</w:t>
      </w:r>
      <w:r w:rsidRPr="00413B14">
        <w:rPr>
          <w:shd w:val="clear" w:color="auto" w:fill="D18EC0"/>
        </w:rPr>
        <w:t>Art. 2865 C.c.Q.</w:t>
      </w:r>
      <w:r w:rsidRPr="00413B14">
        <w:t>) : Le commencement de preuve peut résulter d’un aveu ou d’un écrit émanant de la partie adverse, de son témoignage ou de la présentation d’un élément matériel, lorsqu’un tel moyen rend vraisemblable le fait allégué.</w:t>
      </w:r>
    </w:p>
    <w:p w14:paraId="5D0CB744" w14:textId="059C61F0" w:rsidR="001C3F57" w:rsidRDefault="001C3F57" w:rsidP="001C3F57"/>
    <w:p w14:paraId="5B65D7C7" w14:textId="2EB81DF6" w:rsidR="0083611B" w:rsidRDefault="0083611B" w:rsidP="001C3F57">
      <w:r>
        <w:t>Élément doit provenir de la partie adverse.</w:t>
      </w:r>
    </w:p>
    <w:p w14:paraId="686227C7" w14:textId="77777777" w:rsidR="0083611B" w:rsidRDefault="0083611B" w:rsidP="001C3F57"/>
    <w:p w14:paraId="4B8C8FD0" w14:textId="07110E9C" w:rsidR="0083611B" w:rsidRPr="00891530" w:rsidRDefault="00413B14" w:rsidP="00C005CE">
      <w:pPr>
        <w:pStyle w:val="ListParagraph"/>
        <w:numPr>
          <w:ilvl w:val="0"/>
          <w:numId w:val="2"/>
        </w:numPr>
        <w:ind w:left="360"/>
      </w:pPr>
      <w:r>
        <w:t xml:space="preserve">Exemple : </w:t>
      </w:r>
      <w:r w:rsidR="003B0251">
        <w:t xml:space="preserve">près 50 000$ à Julie. Julie ne rembourse pas. J’engage des procédures judiciaires contre </w:t>
      </w:r>
      <w:r w:rsidR="00BB0D1C">
        <w:t>J</w:t>
      </w:r>
      <w:r w:rsidR="003B0251">
        <w:t>ulie</w:t>
      </w:r>
      <w:r w:rsidR="001C42B0">
        <w:t xml:space="preserve">. </w:t>
      </w:r>
      <w:r w:rsidR="0048103A">
        <w:t>Je ne pourrais ni pas mon témoignage, ni par celui de mes témoins tenter d’établir le près que j’ai fait à Julie</w:t>
      </w:r>
      <w:r w:rsidR="00FA6F1D">
        <w:t xml:space="preserve"> puisqu’entre les parties, le témoignage pour une réclamation de plus de 1 500$ n’est pas permis. </w:t>
      </w:r>
      <w:r w:rsidR="00C26950">
        <w:t xml:space="preserve">Je pourrais toutefois tenter d’établir un commencement de preuve, soit par des éléments provenant de l’univers de Julie </w:t>
      </w:r>
      <w:r w:rsidR="00653B66">
        <w:t xml:space="preserve">qui rendront vraisemblable le près allégué. </w:t>
      </w:r>
      <w:r w:rsidR="008B616C">
        <w:t xml:space="preserve">Suite au près, elle s’est acheté un véhicule de luxe ou encore, assigner le gérant de la Banque avec copie de ses relevé de compte. </w:t>
      </w:r>
      <w:r w:rsidR="00A34F76">
        <w:t xml:space="preserve">Si le tribunal établi </w:t>
      </w:r>
      <w:r w:rsidR="009439FE">
        <w:t>qu’il y a un commencement de preuve, il me permettra de témoigner</w:t>
      </w:r>
      <w:r w:rsidR="0080395B">
        <w:t xml:space="preserve">. </w:t>
      </w:r>
    </w:p>
    <w:p w14:paraId="391374C7" w14:textId="3A73B708" w:rsidR="000B5F29" w:rsidRPr="00891530" w:rsidRDefault="000B5F29" w:rsidP="000630B4"/>
    <w:p w14:paraId="0441855A" w14:textId="74CB56A1" w:rsidR="000B5F29" w:rsidRPr="000B5F29" w:rsidRDefault="000B5F29" w:rsidP="00DA6F06">
      <w:pPr>
        <w:pStyle w:val="Heading2"/>
        <w:numPr>
          <w:ilvl w:val="0"/>
          <w:numId w:val="12"/>
        </w:numPr>
      </w:pPr>
      <w:r w:rsidRPr="003B7CD3">
        <w:t>L’irrecevabilité</w:t>
      </w:r>
      <w:r>
        <w:t xml:space="preserve"> de </w:t>
      </w:r>
      <w:r w:rsidRPr="00DE64CF">
        <w:rPr>
          <w:shd w:val="clear" w:color="auto" w:fill="D18EC0"/>
        </w:rPr>
        <w:t>l’art. 2863 C.c.Q</w:t>
      </w:r>
      <w:r>
        <w:t>.</w:t>
      </w:r>
    </w:p>
    <w:p w14:paraId="4192A341" w14:textId="77777777" w:rsidR="006D0ADB" w:rsidRPr="00ED6E4C" w:rsidRDefault="006D0ADB" w:rsidP="000630B4"/>
    <w:p w14:paraId="3CDC8D43" w14:textId="038DE139" w:rsidR="009F2D9B" w:rsidRDefault="009F2D9B" w:rsidP="009F2D9B">
      <w:pPr>
        <w:pStyle w:val="ListParagraph"/>
        <w:numPr>
          <w:ilvl w:val="0"/>
          <w:numId w:val="14"/>
        </w:numPr>
      </w:pPr>
      <w:r>
        <w:t>Exception 1 : en présence d’un commencement de preuve</w:t>
      </w:r>
    </w:p>
    <w:p w14:paraId="26BCF3B0" w14:textId="77777777" w:rsidR="009F2D9B" w:rsidRDefault="009F2D9B" w:rsidP="00B570D5"/>
    <w:p w14:paraId="2A7F6432" w14:textId="594EBE04" w:rsidR="00B570D5" w:rsidRDefault="00B570D5" w:rsidP="00B570D5">
      <w:r w:rsidRPr="00FA63B1">
        <w:t>(</w:t>
      </w:r>
      <w:r w:rsidRPr="00FA63B1">
        <w:rPr>
          <w:shd w:val="clear" w:color="auto" w:fill="D18EC0"/>
        </w:rPr>
        <w:t xml:space="preserve">Art. </w:t>
      </w:r>
      <w:r w:rsidR="00DB084E" w:rsidRPr="00FA63B1">
        <w:rPr>
          <w:shd w:val="clear" w:color="auto" w:fill="D18EC0"/>
        </w:rPr>
        <w:t xml:space="preserve">2863 </w:t>
      </w:r>
      <w:r w:rsidRPr="00FA63B1">
        <w:rPr>
          <w:shd w:val="clear" w:color="auto" w:fill="D18EC0"/>
        </w:rPr>
        <w:t>C.c.Q.</w:t>
      </w:r>
      <w:r w:rsidRPr="00FA63B1">
        <w:t>)</w:t>
      </w:r>
      <w:r w:rsidR="00FA63B1" w:rsidRPr="00FA63B1">
        <w:t xml:space="preserve"> : Les parties à un acte juridique constaté par un écrit ne peuvent, par témoignage, le contredire ou en changer les termes, à moins qu’il n’y ait un commencement de preuve.</w:t>
      </w:r>
    </w:p>
    <w:p w14:paraId="3755E5A7" w14:textId="7557FE8C" w:rsidR="00FA63B1" w:rsidRDefault="00FA63B1" w:rsidP="00B570D5"/>
    <w:p w14:paraId="4BCD3A9E" w14:textId="015DE48A" w:rsidR="00FA63B1" w:rsidRDefault="00FA63B1" w:rsidP="00FA63B1">
      <w:pPr>
        <w:pStyle w:val="ListParagraph"/>
        <w:numPr>
          <w:ilvl w:val="0"/>
          <w:numId w:val="2"/>
        </w:numPr>
      </w:pPr>
      <w:r>
        <w:t>Pas seulement un écrit rapportant des faits, mais bien un acte juridique</w:t>
      </w:r>
    </w:p>
    <w:p w14:paraId="0A154160" w14:textId="25669B6D" w:rsidR="006D55E6" w:rsidRDefault="007671DD" w:rsidP="00FA63B1">
      <w:pPr>
        <w:pStyle w:val="ListParagraph"/>
        <w:numPr>
          <w:ilvl w:val="0"/>
          <w:numId w:val="2"/>
        </w:numPr>
      </w:pPr>
      <w:r>
        <w:t xml:space="preserve">Le témoignage ne doit pas avoir pour objet </w:t>
      </w:r>
      <w:r w:rsidR="00083312">
        <w:t>de contredire ou de changer des termes</w:t>
      </w:r>
    </w:p>
    <w:p w14:paraId="058760DA" w14:textId="0DB8BBC6" w:rsidR="00AF5D4D" w:rsidRDefault="00FA4AFC" w:rsidP="00FF2CBC">
      <w:pPr>
        <w:pStyle w:val="ListParagraph"/>
        <w:numPr>
          <w:ilvl w:val="0"/>
          <w:numId w:val="2"/>
        </w:numPr>
      </w:pPr>
      <w:r w:rsidRPr="00FA4AFC">
        <w:t xml:space="preserve">Règle n’est pas d’ordre public. À défaut </w:t>
      </w:r>
      <w:r>
        <w:t xml:space="preserve">pour l’autre partie </w:t>
      </w:r>
      <w:r w:rsidRPr="00FA4AFC">
        <w:t>de s’objecter, la preuve par témoignage sera possible</w:t>
      </w:r>
      <w:r w:rsidR="00F12226">
        <w:t xml:space="preserve"> (</w:t>
      </w:r>
      <w:r w:rsidR="00F12226" w:rsidRPr="00E87683">
        <w:rPr>
          <w:shd w:val="clear" w:color="auto" w:fill="D18EC0"/>
        </w:rPr>
        <w:t xml:space="preserve">art. 2859 </w:t>
      </w:r>
      <w:r w:rsidR="00F8332A" w:rsidRPr="00E87683">
        <w:rPr>
          <w:shd w:val="clear" w:color="auto" w:fill="D18EC0"/>
        </w:rPr>
        <w:t>C.c.Q.</w:t>
      </w:r>
      <w:r w:rsidR="00F8332A">
        <w:t>)</w:t>
      </w:r>
      <w:r w:rsidR="007A647C">
        <w:t>.</w:t>
      </w:r>
    </w:p>
    <w:p w14:paraId="03085288" w14:textId="77777777" w:rsidR="00D66395" w:rsidRDefault="00D66395" w:rsidP="00D66395"/>
    <w:p w14:paraId="1A81C5EF" w14:textId="77777777" w:rsidR="004F2ED8" w:rsidRDefault="00EF0D21" w:rsidP="006768D1">
      <w:pPr>
        <w:pStyle w:val="ListParagraph"/>
        <w:numPr>
          <w:ilvl w:val="0"/>
          <w:numId w:val="2"/>
        </w:numPr>
        <w:ind w:left="360"/>
      </w:pPr>
      <w:r>
        <w:t>Exemple : A poursuit B en réclamation</w:t>
      </w:r>
      <w:r w:rsidR="003F57FC">
        <w:t xml:space="preserve"> de loyer, invoquant au soutien de sa demande </w:t>
      </w:r>
      <w:r w:rsidR="009A36F8">
        <w:t xml:space="preserve">introductive d’instance un bail </w:t>
      </w:r>
      <w:r w:rsidR="00B009E4">
        <w:t>commercial</w:t>
      </w:r>
      <w:r w:rsidR="00360D53">
        <w:t xml:space="preserve"> prévoyant un loyer mensuel de 1 500$</w:t>
      </w:r>
      <w:r w:rsidR="006E1BF3">
        <w:t>. En défense B prétend que le loyer était, contrairement à ce qui est indiqué dans le bail, de 1 200$</w:t>
      </w:r>
      <w:r w:rsidR="000E24D3">
        <w:t xml:space="preserve"> par mois. </w:t>
      </w:r>
      <w:r w:rsidR="00DA1613">
        <w:t>B tente ainsi de contredire le bail</w:t>
      </w:r>
      <w:r w:rsidR="00D4118E">
        <w:t xml:space="preserve">, mais il ne pourra pas témoigner à cet effet. Toutefois, en contre-interrogatoire, l’avocat de B pourra questionner A sur le fait qu’elle a reçu pendant 2 ans </w:t>
      </w:r>
      <w:r w:rsidR="0024341B">
        <w:t>des loyers mensuels de 1 200$</w:t>
      </w:r>
      <w:r w:rsidR="008C3E70">
        <w:t xml:space="preserve">, qu’il n’a jamais transmis de mise en demeure pendant ces 2 années à B, soit de respecter </w:t>
      </w:r>
      <w:r w:rsidR="00396D37">
        <w:t xml:space="preserve">l’obligation de paiement de loyer à 1 500 $. On pourrait notamment produire des </w:t>
      </w:r>
      <w:r w:rsidR="00065836">
        <w:t xml:space="preserve">bilans </w:t>
      </w:r>
      <w:r w:rsidR="00396D37">
        <w:t xml:space="preserve">émanant de </w:t>
      </w:r>
      <w:r w:rsidR="009C6B78">
        <w:t>A</w:t>
      </w:r>
      <w:r w:rsidR="0023735E">
        <w:t xml:space="preserve"> montrant que </w:t>
      </w:r>
      <w:r w:rsidR="00CD6F0E">
        <w:t>ce sont des sommes de 1200$ qu’elle recevai</w:t>
      </w:r>
      <w:r w:rsidR="00724604">
        <w:t xml:space="preserve">t contrairement à ce qui est prévu au bail. </w:t>
      </w:r>
      <w:r w:rsidR="00121301">
        <w:t xml:space="preserve">On se sert aussi des hésitations de A en réponse aux questions. </w:t>
      </w:r>
      <w:r w:rsidR="008D4D32">
        <w:t xml:space="preserve">Ensuite, </w:t>
      </w:r>
      <w:r w:rsidR="007D0CB0">
        <w:t xml:space="preserve">B voudra témoigner pour prouver son près et c’est possible </w:t>
      </w:r>
      <w:r w:rsidR="0086497C">
        <w:t>que l’avocat de A</w:t>
      </w:r>
      <w:r w:rsidR="003B4EE7">
        <w:t xml:space="preserve"> s’objecte à son témoignage</w:t>
      </w:r>
      <w:r w:rsidR="00CC43E8">
        <w:t xml:space="preserve">. On pourra avancer qu’au vue du témoignage de A et </w:t>
      </w:r>
      <w:r w:rsidR="008615C5">
        <w:t>d</w:t>
      </w:r>
      <w:r w:rsidR="001D7958">
        <w:t>e</w:t>
      </w:r>
      <w:r w:rsidR="00CC43E8">
        <w:t xml:space="preserve">s </w:t>
      </w:r>
      <w:r w:rsidR="008615C5">
        <w:t xml:space="preserve">autres </w:t>
      </w:r>
      <w:r w:rsidR="00CC43E8">
        <w:t>éléments de preuv</w:t>
      </w:r>
      <w:r w:rsidR="00B46293">
        <w:t xml:space="preserve">e </w:t>
      </w:r>
      <w:r w:rsidR="009747E3">
        <w:t>ressortant de A, il existe un commencement de preuve</w:t>
      </w:r>
      <w:r w:rsidR="004F2ED8">
        <w:t xml:space="preserve">. </w:t>
      </w:r>
    </w:p>
    <w:p w14:paraId="5A45F779" w14:textId="4933CC00" w:rsidR="006224BE" w:rsidRDefault="006224BE" w:rsidP="00C75137"/>
    <w:p w14:paraId="6325FD2E" w14:textId="4B4645D3" w:rsidR="006224BE" w:rsidRDefault="00625C4C" w:rsidP="006224BE">
      <w:pPr>
        <w:pStyle w:val="ListParagraph"/>
        <w:numPr>
          <w:ilvl w:val="0"/>
          <w:numId w:val="14"/>
        </w:numPr>
      </w:pPr>
      <w:r>
        <w:t xml:space="preserve">Exception 2 : lorsqu’il </w:t>
      </w:r>
      <w:r w:rsidR="00FF448B">
        <w:t>s’agit d’interpréter l’écrit</w:t>
      </w:r>
    </w:p>
    <w:p w14:paraId="0A7FD6F9" w14:textId="77777777" w:rsidR="006224BE" w:rsidRDefault="006224BE" w:rsidP="00C75137"/>
    <w:p w14:paraId="7433A987" w14:textId="148128DA" w:rsidR="00B570D5" w:rsidRPr="004F2ED8" w:rsidRDefault="00B570D5" w:rsidP="00017199">
      <w:r w:rsidRPr="004F2ED8">
        <w:t>(</w:t>
      </w:r>
      <w:r w:rsidRPr="00017199">
        <w:rPr>
          <w:shd w:val="clear" w:color="auto" w:fill="D18EC0"/>
        </w:rPr>
        <w:t xml:space="preserve">Art. </w:t>
      </w:r>
      <w:r w:rsidR="00DB084E" w:rsidRPr="00017199">
        <w:rPr>
          <w:shd w:val="clear" w:color="auto" w:fill="D18EC0"/>
        </w:rPr>
        <w:t xml:space="preserve">2864 </w:t>
      </w:r>
      <w:r w:rsidRPr="00017199">
        <w:rPr>
          <w:shd w:val="clear" w:color="auto" w:fill="D18EC0"/>
        </w:rPr>
        <w:t>C.c.Q.</w:t>
      </w:r>
      <w:r w:rsidRPr="004F2ED8">
        <w:t>)</w:t>
      </w:r>
      <w:r w:rsidR="008F104D">
        <w:t> :</w:t>
      </w:r>
      <w:r w:rsidR="008F104D" w:rsidRPr="008F104D">
        <w:t xml:space="preserve"> La preuve par témoignage est admise lorsqu’il s’agit d’interpréter un écrit, de compléter un écrit manifestement incomplet ou d’attaquer la validité de l’acte juridique qu’il constate.</w:t>
      </w:r>
    </w:p>
    <w:p w14:paraId="01A03082" w14:textId="77777777" w:rsidR="008F104D" w:rsidRDefault="008F104D" w:rsidP="00B570D5"/>
    <w:p w14:paraId="147B0CBE" w14:textId="5CB407BD" w:rsidR="008F104D" w:rsidRDefault="008F104D" w:rsidP="008F104D">
      <w:pPr>
        <w:pStyle w:val="ListParagraph"/>
        <w:numPr>
          <w:ilvl w:val="0"/>
          <w:numId w:val="14"/>
        </w:numPr>
      </w:pPr>
      <w:r>
        <w:t xml:space="preserve">Exception 3 : </w:t>
      </w:r>
      <w:r w:rsidR="00127C1C">
        <w:t xml:space="preserve">Lorsqu’il s’agit </w:t>
      </w:r>
      <w:r w:rsidR="002353D4">
        <w:t>de compléter un écrit manifestement</w:t>
      </w:r>
      <w:r w:rsidR="00006646">
        <w:t xml:space="preserve"> </w:t>
      </w:r>
      <w:r w:rsidR="002353D4">
        <w:t>incomplet</w:t>
      </w:r>
    </w:p>
    <w:p w14:paraId="4C73C890" w14:textId="77777777" w:rsidR="007D330B" w:rsidRDefault="007D330B" w:rsidP="00B570D5">
      <w:pPr>
        <w:rPr>
          <w:lang w:val="en-US"/>
        </w:rPr>
      </w:pPr>
    </w:p>
    <w:p w14:paraId="7CFB984D" w14:textId="62C3C670" w:rsidR="00B570D5" w:rsidRPr="006B383F" w:rsidRDefault="00B570D5" w:rsidP="00B570D5">
      <w:pPr>
        <w:rPr>
          <w:lang w:val="en-US"/>
        </w:rPr>
      </w:pPr>
      <w:r w:rsidRPr="006B383F">
        <w:rPr>
          <w:lang w:val="en-US"/>
        </w:rPr>
        <w:lastRenderedPageBreak/>
        <w:t>(</w:t>
      </w:r>
      <w:r w:rsidRPr="006B383F">
        <w:rPr>
          <w:shd w:val="clear" w:color="auto" w:fill="D18EC0"/>
          <w:lang w:val="en-US"/>
        </w:rPr>
        <w:t xml:space="preserve">Art. </w:t>
      </w:r>
      <w:r w:rsidR="00DB084E">
        <w:rPr>
          <w:shd w:val="clear" w:color="auto" w:fill="D18EC0"/>
          <w:lang w:val="en-US"/>
        </w:rPr>
        <w:t>286</w:t>
      </w:r>
      <w:r w:rsidR="00604688">
        <w:rPr>
          <w:shd w:val="clear" w:color="auto" w:fill="D18EC0"/>
          <w:lang w:val="en-US"/>
        </w:rPr>
        <w:t>4</w:t>
      </w:r>
      <w:r w:rsidR="00DB084E">
        <w:rPr>
          <w:shd w:val="clear" w:color="auto" w:fill="D18EC0"/>
          <w:lang w:val="en-US"/>
        </w:rPr>
        <w:t xml:space="preserve"> </w:t>
      </w:r>
      <w:r w:rsidRPr="006B383F">
        <w:rPr>
          <w:shd w:val="clear" w:color="auto" w:fill="D18EC0"/>
          <w:lang w:val="en-US"/>
        </w:rPr>
        <w:t>C.</w:t>
      </w:r>
      <w:r>
        <w:rPr>
          <w:shd w:val="clear" w:color="auto" w:fill="D18EC0"/>
          <w:lang w:val="en-US"/>
        </w:rPr>
        <w:t>c.Q.</w:t>
      </w:r>
      <w:r w:rsidRPr="006B383F">
        <w:rPr>
          <w:lang w:val="en-US"/>
        </w:rPr>
        <w:t>)</w:t>
      </w:r>
    </w:p>
    <w:p w14:paraId="123A833A" w14:textId="74202BDA" w:rsidR="00F1289B" w:rsidRDefault="00F1289B" w:rsidP="00B570D5">
      <w:pPr>
        <w:rPr>
          <w:lang w:val="en-US"/>
        </w:rPr>
      </w:pPr>
    </w:p>
    <w:p w14:paraId="113F31C0" w14:textId="33D579DF" w:rsidR="00CC16C3" w:rsidRDefault="0084106D" w:rsidP="00CC16C3">
      <w:pPr>
        <w:pStyle w:val="ListParagraph"/>
        <w:numPr>
          <w:ilvl w:val="0"/>
          <w:numId w:val="14"/>
        </w:numPr>
      </w:pPr>
      <w:r w:rsidRPr="00FB5495">
        <w:t>Exception 4</w:t>
      </w:r>
      <w:r w:rsidR="0017454C">
        <w:t> </w:t>
      </w:r>
      <w:r w:rsidRPr="00FB5495">
        <w:t xml:space="preserve">: Lorsqu’il s’agit </w:t>
      </w:r>
      <w:r w:rsidR="00FB5495" w:rsidRPr="00FB5495">
        <w:t>d’attaquer la vali</w:t>
      </w:r>
      <w:r w:rsidR="00FB5495">
        <w:t xml:space="preserve">dité de l’acte juridique </w:t>
      </w:r>
    </w:p>
    <w:p w14:paraId="17CAC255" w14:textId="1347A213" w:rsidR="0073028A" w:rsidRDefault="0073028A" w:rsidP="0073028A"/>
    <w:p w14:paraId="5B0EB057" w14:textId="340FF89A" w:rsidR="00B570D5" w:rsidRDefault="00B570D5" w:rsidP="00B570D5">
      <w:pPr>
        <w:rPr>
          <w:lang w:val="en-US"/>
        </w:rPr>
      </w:pPr>
      <w:r w:rsidRPr="006B383F">
        <w:rPr>
          <w:lang w:val="en-US"/>
        </w:rPr>
        <w:t>(</w:t>
      </w:r>
      <w:r w:rsidRPr="006B383F">
        <w:rPr>
          <w:shd w:val="clear" w:color="auto" w:fill="D18EC0"/>
          <w:lang w:val="en-US"/>
        </w:rPr>
        <w:t xml:space="preserve">Art. </w:t>
      </w:r>
      <w:r w:rsidR="0073028A">
        <w:rPr>
          <w:shd w:val="clear" w:color="auto" w:fill="D18EC0"/>
          <w:lang w:val="en-US"/>
        </w:rPr>
        <w:t>2864</w:t>
      </w:r>
      <w:r w:rsidR="00CE5288">
        <w:rPr>
          <w:shd w:val="clear" w:color="auto" w:fill="D18EC0"/>
          <w:lang w:val="en-US"/>
        </w:rPr>
        <w:t xml:space="preserve"> </w:t>
      </w:r>
      <w:r w:rsidRPr="006B383F">
        <w:rPr>
          <w:shd w:val="clear" w:color="auto" w:fill="D18EC0"/>
          <w:lang w:val="en-US"/>
        </w:rPr>
        <w:t>C.</w:t>
      </w:r>
      <w:r>
        <w:rPr>
          <w:shd w:val="clear" w:color="auto" w:fill="D18EC0"/>
          <w:lang w:val="en-US"/>
        </w:rPr>
        <w:t>c.Q.</w:t>
      </w:r>
      <w:r w:rsidRPr="006B383F">
        <w:rPr>
          <w:lang w:val="en-US"/>
        </w:rPr>
        <w:t>)</w:t>
      </w:r>
    </w:p>
    <w:p w14:paraId="63C0F500" w14:textId="7C83DEA8" w:rsidR="00CE5288" w:rsidRDefault="00CE5288" w:rsidP="00B570D5">
      <w:pPr>
        <w:rPr>
          <w:lang w:val="en-US"/>
        </w:rPr>
      </w:pPr>
    </w:p>
    <w:p w14:paraId="6A01D52E" w14:textId="16CB0A0D" w:rsidR="00CE5288" w:rsidRDefault="00CE5288" w:rsidP="00B570D5">
      <w:r w:rsidRPr="00CE5288">
        <w:t xml:space="preserve">C’est le cas quand l’une des 4 conditions de </w:t>
      </w:r>
      <w:r>
        <w:t>validité n’est pas respecté</w:t>
      </w:r>
      <w:r w:rsidR="00FE674E">
        <w:t xml:space="preserve"> </w:t>
      </w:r>
      <w:r w:rsidR="00992FA5">
        <w:t>(</w:t>
      </w:r>
      <w:r w:rsidR="003C06B0">
        <w:t>c</w:t>
      </w:r>
      <w:r w:rsidR="00992FA5">
        <w:t>ause, capacité, objet</w:t>
      </w:r>
      <w:r w:rsidR="00A97656">
        <w:t>, consentement)</w:t>
      </w:r>
      <w:r w:rsidR="00A67978">
        <w:t xml:space="preserve">. </w:t>
      </w:r>
    </w:p>
    <w:p w14:paraId="064D5756" w14:textId="601C4413" w:rsidR="00316229" w:rsidRDefault="00316229" w:rsidP="00B570D5"/>
    <w:p w14:paraId="376C71D5" w14:textId="752F8E1E" w:rsidR="00316229" w:rsidRDefault="001C42A2" w:rsidP="00330A38">
      <w:pPr>
        <w:pStyle w:val="ListParagraph"/>
        <w:numPr>
          <w:ilvl w:val="0"/>
          <w:numId w:val="14"/>
        </w:numPr>
      </w:pPr>
      <w:r>
        <w:t>Exception 5 : Lorsqu’il s’agit de prouver d’autre</w:t>
      </w:r>
      <w:r w:rsidR="00C75B75">
        <w:t>s actes juridiques valablement faits</w:t>
      </w:r>
    </w:p>
    <w:p w14:paraId="51356C3C" w14:textId="77777777" w:rsidR="00C75B75" w:rsidRDefault="00C75B75" w:rsidP="00C75B75"/>
    <w:p w14:paraId="0BF71D8A" w14:textId="3B96EA3E" w:rsidR="00652C05" w:rsidRDefault="00C708E6" w:rsidP="00B570D5">
      <w:r>
        <w:t>Il peut s’agir d’un acte juridique fait antérieurement</w:t>
      </w:r>
      <w:r w:rsidR="006E7F7D">
        <w:t>, concommitant ou postérieur</w:t>
      </w:r>
      <w:r w:rsidR="000D3853">
        <w:t>ement</w:t>
      </w:r>
      <w:r w:rsidR="006E7F7D">
        <w:t xml:space="preserve"> à celui écrit. </w:t>
      </w:r>
    </w:p>
    <w:p w14:paraId="3C582CEA" w14:textId="1DBFD9D0" w:rsidR="007A0360" w:rsidRDefault="007A0360" w:rsidP="00B570D5"/>
    <w:p w14:paraId="6413BB01" w14:textId="2E68DD76" w:rsidR="007A0360" w:rsidRDefault="007A0360" w:rsidP="007A0360">
      <w:pPr>
        <w:pStyle w:val="ListParagraph"/>
        <w:numPr>
          <w:ilvl w:val="0"/>
          <w:numId w:val="2"/>
        </w:numPr>
      </w:pPr>
      <w:r>
        <w:t xml:space="preserve">Exemple : un contrat de près assorti d’un cautionnement </w:t>
      </w:r>
      <w:r w:rsidR="007D5556">
        <w:t xml:space="preserve">qui lui ne </w:t>
      </w:r>
      <w:r w:rsidR="00274A3A">
        <w:t xml:space="preserve">le </w:t>
      </w:r>
      <w:r w:rsidR="007D5556">
        <w:t>serait pas</w:t>
      </w:r>
    </w:p>
    <w:p w14:paraId="71675499" w14:textId="36745E51" w:rsidR="007D5556" w:rsidRDefault="007D5556" w:rsidP="007A0360">
      <w:pPr>
        <w:pStyle w:val="ListParagraph"/>
        <w:numPr>
          <w:ilvl w:val="0"/>
          <w:numId w:val="2"/>
        </w:numPr>
      </w:pPr>
      <w:r>
        <w:t xml:space="preserve">Exemple : </w:t>
      </w:r>
      <w:r w:rsidR="00943D53">
        <w:t xml:space="preserve">avoir confié à un entrepreneur </w:t>
      </w:r>
      <w:r w:rsidR="001C5E58">
        <w:t xml:space="preserve">par contrat écrit une tâche et </w:t>
      </w:r>
      <w:r w:rsidR="0020106A">
        <w:t xml:space="preserve">lui en confier </w:t>
      </w:r>
      <w:r w:rsidR="001C5E58">
        <w:t>une seconde, mais sans écrit</w:t>
      </w:r>
      <w:r w:rsidR="00242FA0">
        <w:t xml:space="preserve"> </w:t>
      </w:r>
    </w:p>
    <w:p w14:paraId="00479173" w14:textId="1160CC66" w:rsidR="00827D22" w:rsidRDefault="00CC259E" w:rsidP="00440046">
      <w:pPr>
        <w:pStyle w:val="ListParagraph"/>
        <w:numPr>
          <w:ilvl w:val="0"/>
          <w:numId w:val="2"/>
        </w:numPr>
      </w:pPr>
      <w:r>
        <w:t>Exemple : entente qui aurait modifié l’écrit lorsque</w:t>
      </w:r>
      <w:r w:rsidR="000E5F18">
        <w:t xml:space="preserve"> l’entente était</w:t>
      </w:r>
      <w:r w:rsidR="000D24C9">
        <w:t xml:space="preserve"> verbale</w:t>
      </w:r>
      <w:r w:rsidR="00E5439F">
        <w:t>.</w:t>
      </w:r>
    </w:p>
    <w:p w14:paraId="498E1A54" w14:textId="77777777" w:rsidR="00E5439F" w:rsidRDefault="00E5439F" w:rsidP="00E5439F"/>
    <w:p w14:paraId="5128A171" w14:textId="157164C9" w:rsidR="00827D22" w:rsidRDefault="006D0902" w:rsidP="00827D22">
      <w:pPr>
        <w:pStyle w:val="ListParagraph"/>
        <w:numPr>
          <w:ilvl w:val="0"/>
          <w:numId w:val="14"/>
        </w:numPr>
      </w:pPr>
      <w:r>
        <w:t>Exception 6 : Lorsqu’un tiers veut contredire l’écrit</w:t>
      </w:r>
    </w:p>
    <w:p w14:paraId="3A342286" w14:textId="4B2CCEF0" w:rsidR="00656027" w:rsidRDefault="00656027" w:rsidP="00656027"/>
    <w:p w14:paraId="110BB4BE" w14:textId="1E5A7EBC" w:rsidR="00AE46FB" w:rsidRDefault="00AE46FB" w:rsidP="00AE46FB">
      <w:r w:rsidRPr="00AE46FB">
        <w:t>Interdiction ne s’applique qu’à l’</w:t>
      </w:r>
      <w:r>
        <w:t xml:space="preserve">égard des parties. </w:t>
      </w:r>
    </w:p>
    <w:p w14:paraId="10BCA3C1" w14:textId="2FE2D218" w:rsidR="00E7212E" w:rsidRDefault="00E7212E" w:rsidP="00AE46FB"/>
    <w:p w14:paraId="2BA2B84A" w14:textId="2BD29094" w:rsidR="00E7212E" w:rsidRPr="00AE46FB" w:rsidRDefault="009023E4" w:rsidP="00E7212E">
      <w:pPr>
        <w:pStyle w:val="ListParagraph"/>
        <w:numPr>
          <w:ilvl w:val="0"/>
          <w:numId w:val="14"/>
        </w:numPr>
      </w:pPr>
      <w:r>
        <w:t xml:space="preserve">Exception 7 : Pour contredire l’écrit d’entreprise </w:t>
      </w:r>
    </w:p>
    <w:p w14:paraId="4E0337C8" w14:textId="2DA72145" w:rsidR="00A67DB8" w:rsidRDefault="00A67DB8" w:rsidP="00B570D5">
      <w:pPr>
        <w:rPr>
          <w:lang w:val="en-US"/>
        </w:rPr>
      </w:pPr>
    </w:p>
    <w:p w14:paraId="7FB40D4F" w14:textId="2BBAA0D8" w:rsidR="00B42795" w:rsidRPr="00B42795" w:rsidRDefault="00B42795" w:rsidP="00B570D5">
      <w:r w:rsidRPr="00A67DB8">
        <w:t>(</w:t>
      </w:r>
      <w:r w:rsidRPr="00A67DB8">
        <w:rPr>
          <w:shd w:val="clear" w:color="auto" w:fill="D18EC0"/>
        </w:rPr>
        <w:t>Art. 283</w:t>
      </w:r>
      <w:r>
        <w:rPr>
          <w:shd w:val="clear" w:color="auto" w:fill="D18EC0"/>
        </w:rPr>
        <w:t>1</w:t>
      </w:r>
      <w:r w:rsidRPr="00A67DB8">
        <w:rPr>
          <w:shd w:val="clear" w:color="auto" w:fill="D18EC0"/>
        </w:rPr>
        <w:t xml:space="preserve"> C.c.Q.</w:t>
      </w:r>
      <w:r w:rsidRPr="00A67DB8">
        <w:t xml:space="preserve">): </w:t>
      </w:r>
      <w:r w:rsidRPr="00B42795">
        <w:t>L’écrit non signé, habituellement utilisé dans le cours des activités d’une entreprise pour constater un acte juridique, fait preuve de son contenu.</w:t>
      </w:r>
    </w:p>
    <w:p w14:paraId="06A2F1AC" w14:textId="77777777" w:rsidR="00B42795" w:rsidRPr="00B42795" w:rsidRDefault="00B42795" w:rsidP="00B570D5"/>
    <w:p w14:paraId="5D8FE8DF" w14:textId="56DEDC9E" w:rsidR="00B570D5" w:rsidRDefault="00B570D5" w:rsidP="00B570D5">
      <w:r w:rsidRPr="00A67DB8">
        <w:t>(</w:t>
      </w:r>
      <w:r w:rsidRPr="00A67DB8">
        <w:rPr>
          <w:shd w:val="clear" w:color="auto" w:fill="D18EC0"/>
        </w:rPr>
        <w:t xml:space="preserve">Art. </w:t>
      </w:r>
      <w:r w:rsidR="00782A58" w:rsidRPr="00A67DB8">
        <w:rPr>
          <w:shd w:val="clear" w:color="auto" w:fill="D18EC0"/>
        </w:rPr>
        <w:t xml:space="preserve">2836 </w:t>
      </w:r>
      <w:r w:rsidRPr="00A67DB8">
        <w:rPr>
          <w:shd w:val="clear" w:color="auto" w:fill="D18EC0"/>
        </w:rPr>
        <w:t>C.c.Q.</w:t>
      </w:r>
      <w:r w:rsidRPr="00A67DB8">
        <w:t>)</w:t>
      </w:r>
      <w:r w:rsidR="00A67DB8" w:rsidRPr="00A67DB8">
        <w:t>: Les écrits visés par la présente section peuvent être contredits par tous moyens.</w:t>
      </w:r>
    </w:p>
    <w:p w14:paraId="3EC285F8" w14:textId="3D1B32C1" w:rsidR="002C5219" w:rsidRPr="00A67DB8" w:rsidRDefault="002C5219" w:rsidP="002C5219">
      <w:pPr>
        <w:pStyle w:val="ListParagraph"/>
        <w:numPr>
          <w:ilvl w:val="0"/>
          <w:numId w:val="2"/>
        </w:numPr>
      </w:pPr>
      <w:r>
        <w:t xml:space="preserve">Donc, par la preuve testimoniale de l’une ou l’autre des parties. </w:t>
      </w:r>
    </w:p>
    <w:p w14:paraId="1F202204" w14:textId="2AE759F6" w:rsidR="00B24E5E" w:rsidRDefault="00B24E5E" w:rsidP="00B570D5"/>
    <w:p w14:paraId="0872FBA7" w14:textId="344A7159" w:rsidR="0084129C" w:rsidRPr="00F764FB" w:rsidRDefault="002F3741" w:rsidP="00F764FB">
      <w:pPr>
        <w:jc w:val="center"/>
        <w:rPr>
          <w:u w:val="single"/>
        </w:rPr>
      </w:pPr>
      <w:r w:rsidRPr="00F764FB">
        <w:rPr>
          <w:u w:val="single"/>
        </w:rPr>
        <w:t xml:space="preserve">Pouvons-nous contredire ou en changer les termes d’une manière </w:t>
      </w:r>
      <w:r w:rsidR="008C735C" w:rsidRPr="00F764FB">
        <w:rPr>
          <w:u w:val="single"/>
        </w:rPr>
        <w:t>autre que par le témoignage ?</w:t>
      </w:r>
    </w:p>
    <w:p w14:paraId="59EDD9A6" w14:textId="5E9C36F7" w:rsidR="0084129C" w:rsidRDefault="0084129C" w:rsidP="00B570D5"/>
    <w:p w14:paraId="29F58516" w14:textId="0BAB771D" w:rsidR="00D70F62" w:rsidRDefault="00D70F62" w:rsidP="00B570D5">
      <w:r>
        <w:t xml:space="preserve">Oui, </w:t>
      </w:r>
      <w:r w:rsidR="00F74182">
        <w:t xml:space="preserve">par un autre écrit (contre-lettre </w:t>
      </w:r>
      <w:r w:rsidR="00D22520">
        <w:t xml:space="preserve">par </w:t>
      </w:r>
      <w:r w:rsidR="00F74182">
        <w:t xml:space="preserve">exemple), aveu judiciaire écrit ou verbal, </w:t>
      </w:r>
      <w:r w:rsidR="003258D0">
        <w:t>aveu extrajud</w:t>
      </w:r>
      <w:r w:rsidR="00522E58">
        <w:t>iciaire écrit</w:t>
      </w:r>
      <w:r w:rsidR="0008069E">
        <w:t xml:space="preserve">, </w:t>
      </w:r>
      <w:r w:rsidR="00F4037D">
        <w:t>preuve par présomption,</w:t>
      </w:r>
      <w:r w:rsidR="00D43445">
        <w:t xml:space="preserve"> élément matériel dans la mesure où celui-ci ne participe pa</w:t>
      </w:r>
      <w:r w:rsidR="002B7B8D">
        <w:t>s</w:t>
      </w:r>
      <w:r w:rsidR="00D43445">
        <w:t xml:space="preserve"> à la preuve par témoignage.</w:t>
      </w:r>
    </w:p>
    <w:p w14:paraId="080D296B" w14:textId="77777777" w:rsidR="00D43445" w:rsidRPr="00A67DB8" w:rsidRDefault="00D43445" w:rsidP="00B570D5"/>
    <w:p w14:paraId="7253AB18" w14:textId="3AF55A0E" w:rsidR="00B24E5E" w:rsidRPr="00522E58" w:rsidRDefault="00B24E5E" w:rsidP="00B24E5E">
      <w:pPr>
        <w:pStyle w:val="Heading2"/>
      </w:pPr>
      <w:r w:rsidRPr="00A97656">
        <w:t xml:space="preserve">La contradiction d’un </w:t>
      </w:r>
      <w:r w:rsidR="00E74742" w:rsidRPr="00522E58">
        <w:t>écrit</w:t>
      </w:r>
    </w:p>
    <w:p w14:paraId="00289EFE" w14:textId="5C3A3F55" w:rsidR="00B24E5E" w:rsidRPr="00522E58" w:rsidRDefault="00B24E5E" w:rsidP="00B570D5"/>
    <w:p w14:paraId="0F1D8DC8" w14:textId="02CAD2FA" w:rsidR="00F42F28" w:rsidRPr="00522E58" w:rsidRDefault="00F42F28" w:rsidP="00F42F28">
      <w:pPr>
        <w:rPr>
          <w:b/>
          <w:bCs/>
        </w:rPr>
      </w:pPr>
      <w:r w:rsidRPr="00522E58">
        <w:rPr>
          <w:b/>
          <w:bCs/>
        </w:rPr>
        <w:t>Vrai/Faux</w:t>
      </w:r>
    </w:p>
    <w:p w14:paraId="335584C8" w14:textId="77777777" w:rsidR="00F42F28" w:rsidRPr="00522E58" w:rsidRDefault="00F42F28" w:rsidP="00F42F28"/>
    <w:p w14:paraId="72D3B3E9" w14:textId="77777777" w:rsidR="00F42F28" w:rsidRPr="00F42F28" w:rsidRDefault="00F42F28" w:rsidP="00F42F28">
      <w:r w:rsidRPr="00F42F28">
        <w:t xml:space="preserve">Un commerçant achète des fenêtres givrées. Or, l’écrit constatant cet achat porte la mention d’un modèle « non givré ». Le commerçant acheteur, alors très pressé, demande au vendeur de modifier cette mention, mais signe l’écrit tel quel, puisque le vendeur lui confirme qu’il </w:t>
      </w:r>
      <w:r w:rsidRPr="00F42F28">
        <w:lastRenderedPageBreak/>
        <w:t>effectuera la modification par la suite. Toutefois, cette modification n’est jamais apportée à l’écrit signé par les parties. La livraison des fenêtres non givrées est effectuée en l’absence de l’acheteur qui n’a pu signaler à ce moment la non-conformité des matériaux d’une valeur de 18 700 $.</w:t>
      </w:r>
    </w:p>
    <w:p w14:paraId="3EA9E7E2" w14:textId="77777777" w:rsidR="00F42F28" w:rsidRPr="00F42F28" w:rsidRDefault="00F42F28" w:rsidP="00F42F28"/>
    <w:p w14:paraId="173194DB" w14:textId="77777777" w:rsidR="00F42F28" w:rsidRPr="00D25CFF" w:rsidRDefault="00F42F28" w:rsidP="00F42F28">
      <w:r w:rsidRPr="00D25CFF">
        <w:t>Le commerçant acheteur (demandeur) dépose une demande en exécution spécifique contre le commerçant vendeur (défendeur) et réclame qu’il lui livre le modèle « givré » tel que convenu.</w:t>
      </w:r>
    </w:p>
    <w:p w14:paraId="64286189" w14:textId="77777777" w:rsidR="00F42F28" w:rsidRPr="00D25CFF" w:rsidRDefault="00F42F28" w:rsidP="00F42F28"/>
    <w:p w14:paraId="419C9897" w14:textId="7C32A5A6" w:rsidR="00F42F28" w:rsidRPr="00D25CFF" w:rsidRDefault="00F42F28" w:rsidP="00F42F28">
      <w:r w:rsidRPr="00D25CFF">
        <w:t>Le témoignage du commerçant acheteur est recevable pour contredire cet écrit.</w:t>
      </w:r>
    </w:p>
    <w:p w14:paraId="0D6B7B8B" w14:textId="3928DE0B" w:rsidR="00F42F28" w:rsidRDefault="00F42F28" w:rsidP="00B570D5"/>
    <w:p w14:paraId="54CC3E41" w14:textId="5E2D9159" w:rsidR="00FD32EF" w:rsidRDefault="00FD32EF" w:rsidP="00FD32EF">
      <w:r>
        <w:t>Faux, le témoignage du commerçant acheteur n’est pas recevable. Il faut, au préalable, considérer la nature juridique de cet écrit, soit un acte sous seing privé (</w:t>
      </w:r>
      <w:r w:rsidRPr="001C7586">
        <w:rPr>
          <w:shd w:val="clear" w:color="auto" w:fill="D18EC0"/>
        </w:rPr>
        <w:t>art. 2826 C.c.Q.</w:t>
      </w:r>
      <w:r>
        <w:t>). Une fois sa confection établie (ce qui serait le cas ici puisque le commerçant acheteur ne nie pas sa signature), il fait preuve non seulement de l’acte juridique qu’il renferme (la vente), mais aussi des déclarations des parties qui s’y rapportent (mention « non givré » qui signifie que l’acheteur achète des fenêtres non givrées) (</w:t>
      </w:r>
      <w:r w:rsidRPr="001C7586">
        <w:rPr>
          <w:shd w:val="clear" w:color="auto" w:fill="D18EC0"/>
        </w:rPr>
        <w:t>art. 2829 C.c.Q.</w:t>
      </w:r>
      <w:r>
        <w:t xml:space="preserve">). Le témoignage proposé vise à contredire la mention « non givré » apparaissant dans le contrat car l’acheteur veut, par son témoignage, établir qu’il a acheté des fenêtres givrées et que le vendeur lui a livré un produit non conforme à ce qui a été convenu. En raison de </w:t>
      </w:r>
      <w:r w:rsidRPr="001C7586">
        <w:rPr>
          <w:shd w:val="clear" w:color="auto" w:fill="D18EC0"/>
        </w:rPr>
        <w:t>l’article 2863 C.c.Q.,</w:t>
      </w:r>
      <w:r>
        <w:t xml:space="preserve"> ce témoignage est irrecevable. </w:t>
      </w:r>
    </w:p>
    <w:p w14:paraId="3A7D2ADD" w14:textId="77777777" w:rsidR="00FD32EF" w:rsidRDefault="00FD32EF" w:rsidP="00FD32EF"/>
    <w:p w14:paraId="6EE245A9" w14:textId="25FE7681" w:rsidR="00FD32EF" w:rsidRDefault="00FD32EF" w:rsidP="00FD32EF">
      <w:r>
        <w:t>Signalons que la possibilité d’utiliser la preuve testimoniale en présence d’un acte passé dans le cours des activités d’entreprise de l’un ou l’autre des contractants n’existe que lorsqu’il s’agit de PROUVER cet acte juridique (</w:t>
      </w:r>
      <w:r w:rsidRPr="00C51222">
        <w:rPr>
          <w:shd w:val="clear" w:color="auto" w:fill="D18EC0"/>
        </w:rPr>
        <w:t>art. 2862 C.c.Q.</w:t>
      </w:r>
      <w:r>
        <w:t>) et non pour CONTREDIRE un acte juridique déjà établi-prouvé par écrit (</w:t>
      </w:r>
      <w:r w:rsidRPr="00A979D0">
        <w:rPr>
          <w:shd w:val="clear" w:color="auto" w:fill="D18EC0"/>
        </w:rPr>
        <w:t>art. 2863 C.c.Q.</w:t>
      </w:r>
      <w:r>
        <w:t xml:space="preserve">). Ici, puisque l’acte juridique a déjà été mis en preuve par l’écrit qui le constate, on cherche plutôt à contredire par témoignage cet écrit et cela n’est pas permis vu l’interdiction de </w:t>
      </w:r>
      <w:r w:rsidRPr="0064608D">
        <w:rPr>
          <w:shd w:val="clear" w:color="auto" w:fill="D18EC0"/>
        </w:rPr>
        <w:t>l’art</w:t>
      </w:r>
      <w:r w:rsidR="00A979D0" w:rsidRPr="0064608D">
        <w:rPr>
          <w:shd w:val="clear" w:color="auto" w:fill="D18EC0"/>
        </w:rPr>
        <w:t>.</w:t>
      </w:r>
      <w:r w:rsidRPr="0064608D">
        <w:rPr>
          <w:shd w:val="clear" w:color="auto" w:fill="D18EC0"/>
        </w:rPr>
        <w:t xml:space="preserve"> 2863 C.c.Q</w:t>
      </w:r>
      <w:r>
        <w:t>. D’autres personnes ne sauraient être contraintes à témoigner, même si elles sont aptes à le faire (</w:t>
      </w:r>
      <w:r w:rsidRPr="00C51222">
        <w:rPr>
          <w:shd w:val="clear" w:color="auto" w:fill="D18EC0"/>
        </w:rPr>
        <w:t>art</w:t>
      </w:r>
      <w:r w:rsidR="00C51222">
        <w:rPr>
          <w:shd w:val="clear" w:color="auto" w:fill="D18EC0"/>
        </w:rPr>
        <w:t>s</w:t>
      </w:r>
      <w:r w:rsidRPr="00C51222">
        <w:rPr>
          <w:shd w:val="clear" w:color="auto" w:fill="D18EC0"/>
        </w:rPr>
        <w:t>. 282, 283 et 284 C.p.c</w:t>
      </w:r>
      <w:r>
        <w:t xml:space="preserve">. notamment). </w:t>
      </w:r>
    </w:p>
    <w:p w14:paraId="79975B61" w14:textId="77777777" w:rsidR="00FD32EF" w:rsidRDefault="00FD32EF" w:rsidP="00FD32EF"/>
    <w:p w14:paraId="24CD680A" w14:textId="5F841A08" w:rsidR="000630B4" w:rsidRPr="007C54D1" w:rsidRDefault="00FD32EF" w:rsidP="00704918">
      <w:r>
        <w:t>Par ailleurs, il ne s’agit pas de prouver un contrat distinct de celui qui est écrit, auquel cas, la preuve par témoin ne serait pas utilisée pour contredire l’écrit mais bien pour prouver ce contrat distinct. Toutefois, même s’il était question d’un contrat distinct, ce dernier, vu la valeur du litige, n’aurait pu être prouvé par témoignage</w:t>
      </w:r>
      <w:r w:rsidR="007C54D1">
        <w:t xml:space="preserve">. </w:t>
      </w:r>
    </w:p>
    <w:sectPr w:rsidR="000630B4" w:rsidRPr="007C54D1" w:rsidSect="00FE5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AD1"/>
    <w:multiLevelType w:val="hybridMultilevel"/>
    <w:tmpl w:val="19F8B1C0"/>
    <w:lvl w:ilvl="0" w:tplc="D3CAA33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F97D0E"/>
    <w:multiLevelType w:val="multilevel"/>
    <w:tmpl w:val="9ED2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95619"/>
    <w:multiLevelType w:val="hybridMultilevel"/>
    <w:tmpl w:val="4398A15A"/>
    <w:lvl w:ilvl="0" w:tplc="391C426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49C48EB"/>
    <w:multiLevelType w:val="hybridMultilevel"/>
    <w:tmpl w:val="33221E54"/>
    <w:lvl w:ilvl="0" w:tplc="3A149582">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15:restartNumberingAfterBreak="0">
    <w:nsid w:val="1C7B5717"/>
    <w:multiLevelType w:val="hybridMultilevel"/>
    <w:tmpl w:val="96D010B2"/>
    <w:lvl w:ilvl="0" w:tplc="0C0C0019">
      <w:start w:val="1"/>
      <w:numFmt w:val="lowerLetter"/>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27B34548"/>
    <w:multiLevelType w:val="hybridMultilevel"/>
    <w:tmpl w:val="3D2AFCFE"/>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2CA2D6E"/>
    <w:multiLevelType w:val="hybridMultilevel"/>
    <w:tmpl w:val="91642516"/>
    <w:lvl w:ilvl="0" w:tplc="255247D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9454252"/>
    <w:multiLevelType w:val="hybridMultilevel"/>
    <w:tmpl w:val="C2DAB41E"/>
    <w:lvl w:ilvl="0" w:tplc="7592C37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9033C81"/>
    <w:multiLevelType w:val="hybridMultilevel"/>
    <w:tmpl w:val="A78890B4"/>
    <w:lvl w:ilvl="0" w:tplc="A7029C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6767FD"/>
    <w:multiLevelType w:val="hybridMultilevel"/>
    <w:tmpl w:val="B6DCA854"/>
    <w:lvl w:ilvl="0" w:tplc="D172ACC6">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97E0161"/>
    <w:multiLevelType w:val="hybridMultilevel"/>
    <w:tmpl w:val="44AE4978"/>
    <w:lvl w:ilvl="0" w:tplc="D418253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F2D6397"/>
    <w:multiLevelType w:val="hybridMultilevel"/>
    <w:tmpl w:val="B9882936"/>
    <w:lvl w:ilvl="0" w:tplc="6BC0206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1812A33"/>
    <w:multiLevelType w:val="multilevel"/>
    <w:tmpl w:val="450E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8F0569"/>
    <w:multiLevelType w:val="hybridMultilevel"/>
    <w:tmpl w:val="96F47572"/>
    <w:lvl w:ilvl="0" w:tplc="200E0C3E">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07797579">
    <w:abstractNumId w:val="8"/>
  </w:num>
  <w:num w:numId="2" w16cid:durableId="1479686343">
    <w:abstractNumId w:val="9"/>
  </w:num>
  <w:num w:numId="3" w16cid:durableId="864442256">
    <w:abstractNumId w:val="11"/>
  </w:num>
  <w:num w:numId="4" w16cid:durableId="268314547">
    <w:abstractNumId w:val="1"/>
  </w:num>
  <w:num w:numId="5" w16cid:durableId="695539314">
    <w:abstractNumId w:val="12"/>
  </w:num>
  <w:num w:numId="6" w16cid:durableId="1624923696">
    <w:abstractNumId w:val="4"/>
  </w:num>
  <w:num w:numId="7" w16cid:durableId="1645960785">
    <w:abstractNumId w:val="2"/>
  </w:num>
  <w:num w:numId="8" w16cid:durableId="1011686884">
    <w:abstractNumId w:val="0"/>
  </w:num>
  <w:num w:numId="9" w16cid:durableId="1224633822">
    <w:abstractNumId w:val="10"/>
  </w:num>
  <w:num w:numId="10" w16cid:durableId="2034568210">
    <w:abstractNumId w:val="6"/>
  </w:num>
  <w:num w:numId="11" w16cid:durableId="1820271491">
    <w:abstractNumId w:val="7"/>
  </w:num>
  <w:num w:numId="12" w16cid:durableId="1047527587">
    <w:abstractNumId w:val="3"/>
  </w:num>
  <w:num w:numId="13" w16cid:durableId="945887584">
    <w:abstractNumId w:val="5"/>
  </w:num>
  <w:num w:numId="14" w16cid:durableId="20295960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73"/>
    <w:rsid w:val="0000240F"/>
    <w:rsid w:val="00006646"/>
    <w:rsid w:val="000101AC"/>
    <w:rsid w:val="00014175"/>
    <w:rsid w:val="00016642"/>
    <w:rsid w:val="00017199"/>
    <w:rsid w:val="0001721B"/>
    <w:rsid w:val="0001789C"/>
    <w:rsid w:val="00022658"/>
    <w:rsid w:val="00031602"/>
    <w:rsid w:val="00032786"/>
    <w:rsid w:val="00034765"/>
    <w:rsid w:val="0003735A"/>
    <w:rsid w:val="00061111"/>
    <w:rsid w:val="000629C5"/>
    <w:rsid w:val="000630B4"/>
    <w:rsid w:val="00063F0D"/>
    <w:rsid w:val="00065836"/>
    <w:rsid w:val="00072D71"/>
    <w:rsid w:val="0008069E"/>
    <w:rsid w:val="00080D3E"/>
    <w:rsid w:val="00082A63"/>
    <w:rsid w:val="00083312"/>
    <w:rsid w:val="000A1C81"/>
    <w:rsid w:val="000A51F3"/>
    <w:rsid w:val="000B3CE2"/>
    <w:rsid w:val="000B41A4"/>
    <w:rsid w:val="000B5F29"/>
    <w:rsid w:val="000C2013"/>
    <w:rsid w:val="000C2DE7"/>
    <w:rsid w:val="000D24C9"/>
    <w:rsid w:val="000D3853"/>
    <w:rsid w:val="000E11B7"/>
    <w:rsid w:val="000E24D3"/>
    <w:rsid w:val="000E5F18"/>
    <w:rsid w:val="001006D4"/>
    <w:rsid w:val="0010316C"/>
    <w:rsid w:val="00103464"/>
    <w:rsid w:val="00106DB6"/>
    <w:rsid w:val="00107C19"/>
    <w:rsid w:val="00121301"/>
    <w:rsid w:val="00127C1C"/>
    <w:rsid w:val="00130254"/>
    <w:rsid w:val="00133A84"/>
    <w:rsid w:val="00140437"/>
    <w:rsid w:val="001439D3"/>
    <w:rsid w:val="0014496C"/>
    <w:rsid w:val="00146EF9"/>
    <w:rsid w:val="00151591"/>
    <w:rsid w:val="0015317A"/>
    <w:rsid w:val="001532A6"/>
    <w:rsid w:val="0015381D"/>
    <w:rsid w:val="0015693E"/>
    <w:rsid w:val="001702D6"/>
    <w:rsid w:val="00171526"/>
    <w:rsid w:val="00171641"/>
    <w:rsid w:val="0017454C"/>
    <w:rsid w:val="001828BE"/>
    <w:rsid w:val="00183151"/>
    <w:rsid w:val="0018624D"/>
    <w:rsid w:val="00187808"/>
    <w:rsid w:val="00187AFB"/>
    <w:rsid w:val="001A4A75"/>
    <w:rsid w:val="001A6CCD"/>
    <w:rsid w:val="001A75FA"/>
    <w:rsid w:val="001B2725"/>
    <w:rsid w:val="001B3FD1"/>
    <w:rsid w:val="001C3F57"/>
    <w:rsid w:val="001C42A2"/>
    <w:rsid w:val="001C42B0"/>
    <w:rsid w:val="001C5E58"/>
    <w:rsid w:val="001C65B6"/>
    <w:rsid w:val="001C7586"/>
    <w:rsid w:val="001C7F95"/>
    <w:rsid w:val="001D1D74"/>
    <w:rsid w:val="001D3866"/>
    <w:rsid w:val="001D67DD"/>
    <w:rsid w:val="001D7958"/>
    <w:rsid w:val="001E1DAB"/>
    <w:rsid w:val="001E2C2F"/>
    <w:rsid w:val="001E42A5"/>
    <w:rsid w:val="001E6443"/>
    <w:rsid w:val="001E6AB3"/>
    <w:rsid w:val="001F3087"/>
    <w:rsid w:val="0020106A"/>
    <w:rsid w:val="00201970"/>
    <w:rsid w:val="00217877"/>
    <w:rsid w:val="00220053"/>
    <w:rsid w:val="00221165"/>
    <w:rsid w:val="00222343"/>
    <w:rsid w:val="00222AAB"/>
    <w:rsid w:val="00227148"/>
    <w:rsid w:val="0023111F"/>
    <w:rsid w:val="002353D4"/>
    <w:rsid w:val="00235DF6"/>
    <w:rsid w:val="0023735E"/>
    <w:rsid w:val="00240EA6"/>
    <w:rsid w:val="0024228C"/>
    <w:rsid w:val="00242FA0"/>
    <w:rsid w:val="0024341B"/>
    <w:rsid w:val="00244312"/>
    <w:rsid w:val="00254A75"/>
    <w:rsid w:val="002671FF"/>
    <w:rsid w:val="00272465"/>
    <w:rsid w:val="00273E34"/>
    <w:rsid w:val="00274A3A"/>
    <w:rsid w:val="0027627C"/>
    <w:rsid w:val="00283C73"/>
    <w:rsid w:val="00291275"/>
    <w:rsid w:val="00293470"/>
    <w:rsid w:val="00293754"/>
    <w:rsid w:val="002A29E9"/>
    <w:rsid w:val="002A6ACB"/>
    <w:rsid w:val="002B42AF"/>
    <w:rsid w:val="002B71C8"/>
    <w:rsid w:val="002B7B8D"/>
    <w:rsid w:val="002B7C2C"/>
    <w:rsid w:val="002C5219"/>
    <w:rsid w:val="002C6CEA"/>
    <w:rsid w:val="002D0BFD"/>
    <w:rsid w:val="002D134B"/>
    <w:rsid w:val="002E4AF0"/>
    <w:rsid w:val="002F3741"/>
    <w:rsid w:val="002F4566"/>
    <w:rsid w:val="002F4F43"/>
    <w:rsid w:val="003021C1"/>
    <w:rsid w:val="003043B4"/>
    <w:rsid w:val="00306837"/>
    <w:rsid w:val="00314923"/>
    <w:rsid w:val="00316229"/>
    <w:rsid w:val="00317CE9"/>
    <w:rsid w:val="00323503"/>
    <w:rsid w:val="003258D0"/>
    <w:rsid w:val="00330A38"/>
    <w:rsid w:val="003413DC"/>
    <w:rsid w:val="00355D46"/>
    <w:rsid w:val="00360CC6"/>
    <w:rsid w:val="00360D53"/>
    <w:rsid w:val="00361E8B"/>
    <w:rsid w:val="00380754"/>
    <w:rsid w:val="00382EE2"/>
    <w:rsid w:val="00385148"/>
    <w:rsid w:val="003900A4"/>
    <w:rsid w:val="00394EB7"/>
    <w:rsid w:val="003963D5"/>
    <w:rsid w:val="00396C4D"/>
    <w:rsid w:val="00396D37"/>
    <w:rsid w:val="003A31AF"/>
    <w:rsid w:val="003B0251"/>
    <w:rsid w:val="003B4EE7"/>
    <w:rsid w:val="003B7CD3"/>
    <w:rsid w:val="003B7F93"/>
    <w:rsid w:val="003C06B0"/>
    <w:rsid w:val="003C174E"/>
    <w:rsid w:val="003C1DE9"/>
    <w:rsid w:val="003C345D"/>
    <w:rsid w:val="003C5662"/>
    <w:rsid w:val="003D2D68"/>
    <w:rsid w:val="003D2F40"/>
    <w:rsid w:val="003E4303"/>
    <w:rsid w:val="003F26F6"/>
    <w:rsid w:val="003F363F"/>
    <w:rsid w:val="003F55EA"/>
    <w:rsid w:val="003F57FC"/>
    <w:rsid w:val="00413B14"/>
    <w:rsid w:val="00414CA8"/>
    <w:rsid w:val="00416BE5"/>
    <w:rsid w:val="00417221"/>
    <w:rsid w:val="004220CA"/>
    <w:rsid w:val="00423CCF"/>
    <w:rsid w:val="00426217"/>
    <w:rsid w:val="004350AB"/>
    <w:rsid w:val="00437FA7"/>
    <w:rsid w:val="00447C3E"/>
    <w:rsid w:val="004539F7"/>
    <w:rsid w:val="00454CE7"/>
    <w:rsid w:val="0045608D"/>
    <w:rsid w:val="00460DF1"/>
    <w:rsid w:val="004657DB"/>
    <w:rsid w:val="0047532E"/>
    <w:rsid w:val="004754B4"/>
    <w:rsid w:val="0048103A"/>
    <w:rsid w:val="004824EE"/>
    <w:rsid w:val="004A216D"/>
    <w:rsid w:val="004A4236"/>
    <w:rsid w:val="004B24BA"/>
    <w:rsid w:val="004B6985"/>
    <w:rsid w:val="004C0873"/>
    <w:rsid w:val="004C354F"/>
    <w:rsid w:val="004E7B84"/>
    <w:rsid w:val="004F2116"/>
    <w:rsid w:val="004F2ED8"/>
    <w:rsid w:val="004F4C25"/>
    <w:rsid w:val="004F69EA"/>
    <w:rsid w:val="0050243C"/>
    <w:rsid w:val="005105CC"/>
    <w:rsid w:val="005121F3"/>
    <w:rsid w:val="005136E7"/>
    <w:rsid w:val="0051459F"/>
    <w:rsid w:val="0051593D"/>
    <w:rsid w:val="005204FC"/>
    <w:rsid w:val="00522E58"/>
    <w:rsid w:val="005270EC"/>
    <w:rsid w:val="0053076D"/>
    <w:rsid w:val="00534C66"/>
    <w:rsid w:val="00543DC2"/>
    <w:rsid w:val="005448E9"/>
    <w:rsid w:val="00545B08"/>
    <w:rsid w:val="0054775F"/>
    <w:rsid w:val="00550EAC"/>
    <w:rsid w:val="00566CA8"/>
    <w:rsid w:val="00574F8A"/>
    <w:rsid w:val="00577CDA"/>
    <w:rsid w:val="00591027"/>
    <w:rsid w:val="00595599"/>
    <w:rsid w:val="005A0AAA"/>
    <w:rsid w:val="005A278B"/>
    <w:rsid w:val="005A7CF0"/>
    <w:rsid w:val="005B1AC9"/>
    <w:rsid w:val="005C0090"/>
    <w:rsid w:val="005C7567"/>
    <w:rsid w:val="005D0517"/>
    <w:rsid w:val="005D0887"/>
    <w:rsid w:val="005D1446"/>
    <w:rsid w:val="005D3154"/>
    <w:rsid w:val="005E3BBC"/>
    <w:rsid w:val="00601813"/>
    <w:rsid w:val="006023DE"/>
    <w:rsid w:val="00604688"/>
    <w:rsid w:val="00605F91"/>
    <w:rsid w:val="006075FF"/>
    <w:rsid w:val="00607B26"/>
    <w:rsid w:val="006146C9"/>
    <w:rsid w:val="006224BE"/>
    <w:rsid w:val="006228C6"/>
    <w:rsid w:val="00625C4C"/>
    <w:rsid w:val="0062793E"/>
    <w:rsid w:val="0063478D"/>
    <w:rsid w:val="00640C4D"/>
    <w:rsid w:val="00642E6C"/>
    <w:rsid w:val="006446AA"/>
    <w:rsid w:val="0064608D"/>
    <w:rsid w:val="00651709"/>
    <w:rsid w:val="00652C05"/>
    <w:rsid w:val="00653B66"/>
    <w:rsid w:val="00656027"/>
    <w:rsid w:val="00666D5E"/>
    <w:rsid w:val="0067295A"/>
    <w:rsid w:val="006823A6"/>
    <w:rsid w:val="006840D9"/>
    <w:rsid w:val="006858E1"/>
    <w:rsid w:val="00693D43"/>
    <w:rsid w:val="006943D5"/>
    <w:rsid w:val="00695A77"/>
    <w:rsid w:val="00697CFB"/>
    <w:rsid w:val="006A679F"/>
    <w:rsid w:val="006B383F"/>
    <w:rsid w:val="006B61F1"/>
    <w:rsid w:val="006D0902"/>
    <w:rsid w:val="006D0ADB"/>
    <w:rsid w:val="006D55E6"/>
    <w:rsid w:val="006E1BF3"/>
    <w:rsid w:val="006E7F7D"/>
    <w:rsid w:val="006F39B7"/>
    <w:rsid w:val="006F549C"/>
    <w:rsid w:val="00703390"/>
    <w:rsid w:val="00704918"/>
    <w:rsid w:val="00704FAB"/>
    <w:rsid w:val="007118C4"/>
    <w:rsid w:val="00712663"/>
    <w:rsid w:val="00712841"/>
    <w:rsid w:val="007135AC"/>
    <w:rsid w:val="00715027"/>
    <w:rsid w:val="007245AE"/>
    <w:rsid w:val="00724604"/>
    <w:rsid w:val="0073028A"/>
    <w:rsid w:val="007350A9"/>
    <w:rsid w:val="00735E93"/>
    <w:rsid w:val="00742E38"/>
    <w:rsid w:val="007501D4"/>
    <w:rsid w:val="00760FAA"/>
    <w:rsid w:val="00763E2A"/>
    <w:rsid w:val="007664DB"/>
    <w:rsid w:val="007671DD"/>
    <w:rsid w:val="00772B80"/>
    <w:rsid w:val="007754F5"/>
    <w:rsid w:val="00782A58"/>
    <w:rsid w:val="00790DB7"/>
    <w:rsid w:val="0079633D"/>
    <w:rsid w:val="007A0360"/>
    <w:rsid w:val="007A5C72"/>
    <w:rsid w:val="007A600D"/>
    <w:rsid w:val="007A647C"/>
    <w:rsid w:val="007B278C"/>
    <w:rsid w:val="007C0D33"/>
    <w:rsid w:val="007C54D1"/>
    <w:rsid w:val="007C7CC2"/>
    <w:rsid w:val="007C7FAA"/>
    <w:rsid w:val="007D0CB0"/>
    <w:rsid w:val="007D330B"/>
    <w:rsid w:val="007D3FA0"/>
    <w:rsid w:val="007D44A0"/>
    <w:rsid w:val="007D5556"/>
    <w:rsid w:val="007D7079"/>
    <w:rsid w:val="007E0786"/>
    <w:rsid w:val="007E0ABC"/>
    <w:rsid w:val="007E458B"/>
    <w:rsid w:val="007F413F"/>
    <w:rsid w:val="007F5898"/>
    <w:rsid w:val="007F5E38"/>
    <w:rsid w:val="0080395B"/>
    <w:rsid w:val="0080754A"/>
    <w:rsid w:val="00810A8B"/>
    <w:rsid w:val="00814E86"/>
    <w:rsid w:val="00820F58"/>
    <w:rsid w:val="00822254"/>
    <w:rsid w:val="00827D22"/>
    <w:rsid w:val="0083084C"/>
    <w:rsid w:val="00830CF5"/>
    <w:rsid w:val="008337AC"/>
    <w:rsid w:val="0083611B"/>
    <w:rsid w:val="0084106D"/>
    <w:rsid w:val="0084129C"/>
    <w:rsid w:val="00847187"/>
    <w:rsid w:val="008512E3"/>
    <w:rsid w:val="008563DC"/>
    <w:rsid w:val="008615C5"/>
    <w:rsid w:val="0086497C"/>
    <w:rsid w:val="0086672C"/>
    <w:rsid w:val="00885677"/>
    <w:rsid w:val="00885951"/>
    <w:rsid w:val="00891530"/>
    <w:rsid w:val="00891F54"/>
    <w:rsid w:val="00893DBF"/>
    <w:rsid w:val="008954F4"/>
    <w:rsid w:val="00895F7B"/>
    <w:rsid w:val="008A166A"/>
    <w:rsid w:val="008A1EB4"/>
    <w:rsid w:val="008A7AA4"/>
    <w:rsid w:val="008B02B6"/>
    <w:rsid w:val="008B3E68"/>
    <w:rsid w:val="008B5F0A"/>
    <w:rsid w:val="008B616C"/>
    <w:rsid w:val="008C3E70"/>
    <w:rsid w:val="008C735C"/>
    <w:rsid w:val="008C7A1F"/>
    <w:rsid w:val="008C7CE9"/>
    <w:rsid w:val="008D4030"/>
    <w:rsid w:val="008D4D32"/>
    <w:rsid w:val="008E14FE"/>
    <w:rsid w:val="008E1A67"/>
    <w:rsid w:val="008E2981"/>
    <w:rsid w:val="008F06EE"/>
    <w:rsid w:val="008F0A92"/>
    <w:rsid w:val="008F104D"/>
    <w:rsid w:val="008F2176"/>
    <w:rsid w:val="008F54E4"/>
    <w:rsid w:val="008F6355"/>
    <w:rsid w:val="009004F2"/>
    <w:rsid w:val="009023E4"/>
    <w:rsid w:val="00904353"/>
    <w:rsid w:val="00906AC4"/>
    <w:rsid w:val="00907B57"/>
    <w:rsid w:val="00920482"/>
    <w:rsid w:val="00922F2C"/>
    <w:rsid w:val="009232EA"/>
    <w:rsid w:val="00925900"/>
    <w:rsid w:val="00925E05"/>
    <w:rsid w:val="00926BD4"/>
    <w:rsid w:val="00927E18"/>
    <w:rsid w:val="00932209"/>
    <w:rsid w:val="00933710"/>
    <w:rsid w:val="00943692"/>
    <w:rsid w:val="009439FE"/>
    <w:rsid w:val="00943D53"/>
    <w:rsid w:val="0096118C"/>
    <w:rsid w:val="009747E3"/>
    <w:rsid w:val="00974AB0"/>
    <w:rsid w:val="009864D4"/>
    <w:rsid w:val="00992FA5"/>
    <w:rsid w:val="009956CD"/>
    <w:rsid w:val="009A2017"/>
    <w:rsid w:val="009A2037"/>
    <w:rsid w:val="009A36F8"/>
    <w:rsid w:val="009B12D3"/>
    <w:rsid w:val="009C1831"/>
    <w:rsid w:val="009C2A3A"/>
    <w:rsid w:val="009C6B78"/>
    <w:rsid w:val="009C6D0C"/>
    <w:rsid w:val="009C7762"/>
    <w:rsid w:val="009D028F"/>
    <w:rsid w:val="009D399B"/>
    <w:rsid w:val="009E00B8"/>
    <w:rsid w:val="009E196F"/>
    <w:rsid w:val="009F2D9B"/>
    <w:rsid w:val="009F5BA6"/>
    <w:rsid w:val="00A03B4C"/>
    <w:rsid w:val="00A11FB9"/>
    <w:rsid w:val="00A13BB5"/>
    <w:rsid w:val="00A23539"/>
    <w:rsid w:val="00A34F76"/>
    <w:rsid w:val="00A400CC"/>
    <w:rsid w:val="00A40502"/>
    <w:rsid w:val="00A420F6"/>
    <w:rsid w:val="00A443AF"/>
    <w:rsid w:val="00A45CCD"/>
    <w:rsid w:val="00A463C2"/>
    <w:rsid w:val="00A47518"/>
    <w:rsid w:val="00A53F15"/>
    <w:rsid w:val="00A5721C"/>
    <w:rsid w:val="00A601F2"/>
    <w:rsid w:val="00A6108C"/>
    <w:rsid w:val="00A611BE"/>
    <w:rsid w:val="00A6218D"/>
    <w:rsid w:val="00A63524"/>
    <w:rsid w:val="00A6730C"/>
    <w:rsid w:val="00A67978"/>
    <w:rsid w:val="00A67DB8"/>
    <w:rsid w:val="00A73B51"/>
    <w:rsid w:val="00A81046"/>
    <w:rsid w:val="00A81DF8"/>
    <w:rsid w:val="00A82DCA"/>
    <w:rsid w:val="00A87195"/>
    <w:rsid w:val="00A93D22"/>
    <w:rsid w:val="00A94748"/>
    <w:rsid w:val="00A97656"/>
    <w:rsid w:val="00A979D0"/>
    <w:rsid w:val="00AA052E"/>
    <w:rsid w:val="00AB07B0"/>
    <w:rsid w:val="00AC257F"/>
    <w:rsid w:val="00AC42AF"/>
    <w:rsid w:val="00AE46FB"/>
    <w:rsid w:val="00AF4082"/>
    <w:rsid w:val="00AF5D4D"/>
    <w:rsid w:val="00B009E4"/>
    <w:rsid w:val="00B0591B"/>
    <w:rsid w:val="00B24BFC"/>
    <w:rsid w:val="00B24E5E"/>
    <w:rsid w:val="00B36874"/>
    <w:rsid w:val="00B410BC"/>
    <w:rsid w:val="00B42795"/>
    <w:rsid w:val="00B44AE4"/>
    <w:rsid w:val="00B46293"/>
    <w:rsid w:val="00B4795E"/>
    <w:rsid w:val="00B501AE"/>
    <w:rsid w:val="00B50704"/>
    <w:rsid w:val="00B518C1"/>
    <w:rsid w:val="00B570D5"/>
    <w:rsid w:val="00B60AD2"/>
    <w:rsid w:val="00B65953"/>
    <w:rsid w:val="00B726FC"/>
    <w:rsid w:val="00B72AF9"/>
    <w:rsid w:val="00B81AB5"/>
    <w:rsid w:val="00B94D59"/>
    <w:rsid w:val="00BA1B3E"/>
    <w:rsid w:val="00BA21CE"/>
    <w:rsid w:val="00BA345F"/>
    <w:rsid w:val="00BA51CD"/>
    <w:rsid w:val="00BB0268"/>
    <w:rsid w:val="00BB0D1C"/>
    <w:rsid w:val="00BB2621"/>
    <w:rsid w:val="00BB3BB1"/>
    <w:rsid w:val="00BB536B"/>
    <w:rsid w:val="00BC4B13"/>
    <w:rsid w:val="00BC715D"/>
    <w:rsid w:val="00BD032D"/>
    <w:rsid w:val="00BF0330"/>
    <w:rsid w:val="00BF4D65"/>
    <w:rsid w:val="00C04006"/>
    <w:rsid w:val="00C1009F"/>
    <w:rsid w:val="00C10188"/>
    <w:rsid w:val="00C11E8C"/>
    <w:rsid w:val="00C1697A"/>
    <w:rsid w:val="00C26950"/>
    <w:rsid w:val="00C3408D"/>
    <w:rsid w:val="00C369E0"/>
    <w:rsid w:val="00C36EB8"/>
    <w:rsid w:val="00C5060B"/>
    <w:rsid w:val="00C51222"/>
    <w:rsid w:val="00C639EE"/>
    <w:rsid w:val="00C708E6"/>
    <w:rsid w:val="00C73159"/>
    <w:rsid w:val="00C73197"/>
    <w:rsid w:val="00C75137"/>
    <w:rsid w:val="00C75B75"/>
    <w:rsid w:val="00C80349"/>
    <w:rsid w:val="00C81844"/>
    <w:rsid w:val="00C8376D"/>
    <w:rsid w:val="00C90386"/>
    <w:rsid w:val="00C96E74"/>
    <w:rsid w:val="00CA6F55"/>
    <w:rsid w:val="00CA6FFF"/>
    <w:rsid w:val="00CA72A9"/>
    <w:rsid w:val="00CA73D9"/>
    <w:rsid w:val="00CA7CFE"/>
    <w:rsid w:val="00CB45B0"/>
    <w:rsid w:val="00CC16C3"/>
    <w:rsid w:val="00CC259E"/>
    <w:rsid w:val="00CC2E1D"/>
    <w:rsid w:val="00CC3B36"/>
    <w:rsid w:val="00CC43E8"/>
    <w:rsid w:val="00CC4E8E"/>
    <w:rsid w:val="00CC67C5"/>
    <w:rsid w:val="00CD067E"/>
    <w:rsid w:val="00CD1485"/>
    <w:rsid w:val="00CD6715"/>
    <w:rsid w:val="00CD6F0E"/>
    <w:rsid w:val="00CE5288"/>
    <w:rsid w:val="00CF2DAA"/>
    <w:rsid w:val="00D04456"/>
    <w:rsid w:val="00D05CBE"/>
    <w:rsid w:val="00D106DD"/>
    <w:rsid w:val="00D12CF4"/>
    <w:rsid w:val="00D15005"/>
    <w:rsid w:val="00D17B46"/>
    <w:rsid w:val="00D22520"/>
    <w:rsid w:val="00D25868"/>
    <w:rsid w:val="00D25CFF"/>
    <w:rsid w:val="00D30E66"/>
    <w:rsid w:val="00D4118E"/>
    <w:rsid w:val="00D4189A"/>
    <w:rsid w:val="00D43445"/>
    <w:rsid w:val="00D437AA"/>
    <w:rsid w:val="00D45059"/>
    <w:rsid w:val="00D55F36"/>
    <w:rsid w:val="00D56262"/>
    <w:rsid w:val="00D5773B"/>
    <w:rsid w:val="00D62F86"/>
    <w:rsid w:val="00D64EBE"/>
    <w:rsid w:val="00D66395"/>
    <w:rsid w:val="00D70F62"/>
    <w:rsid w:val="00D73D1D"/>
    <w:rsid w:val="00D75134"/>
    <w:rsid w:val="00D94F32"/>
    <w:rsid w:val="00DA1613"/>
    <w:rsid w:val="00DA1931"/>
    <w:rsid w:val="00DA6F06"/>
    <w:rsid w:val="00DB064D"/>
    <w:rsid w:val="00DB084E"/>
    <w:rsid w:val="00DC04FE"/>
    <w:rsid w:val="00DC7DA6"/>
    <w:rsid w:val="00DD458F"/>
    <w:rsid w:val="00DE64CF"/>
    <w:rsid w:val="00DF356A"/>
    <w:rsid w:val="00DF53F5"/>
    <w:rsid w:val="00E01811"/>
    <w:rsid w:val="00E0283D"/>
    <w:rsid w:val="00E0504E"/>
    <w:rsid w:val="00E05774"/>
    <w:rsid w:val="00E057C6"/>
    <w:rsid w:val="00E125DC"/>
    <w:rsid w:val="00E1493F"/>
    <w:rsid w:val="00E22857"/>
    <w:rsid w:val="00E23DFA"/>
    <w:rsid w:val="00E268AC"/>
    <w:rsid w:val="00E27739"/>
    <w:rsid w:val="00E52C14"/>
    <w:rsid w:val="00E5317B"/>
    <w:rsid w:val="00E5439F"/>
    <w:rsid w:val="00E54930"/>
    <w:rsid w:val="00E57222"/>
    <w:rsid w:val="00E642DD"/>
    <w:rsid w:val="00E6793F"/>
    <w:rsid w:val="00E7212E"/>
    <w:rsid w:val="00E74742"/>
    <w:rsid w:val="00E750A9"/>
    <w:rsid w:val="00E858CA"/>
    <w:rsid w:val="00E87683"/>
    <w:rsid w:val="00E960DD"/>
    <w:rsid w:val="00E97E75"/>
    <w:rsid w:val="00EA7C6B"/>
    <w:rsid w:val="00EB3004"/>
    <w:rsid w:val="00EC1A07"/>
    <w:rsid w:val="00EC3664"/>
    <w:rsid w:val="00ED1699"/>
    <w:rsid w:val="00ED17EA"/>
    <w:rsid w:val="00ED625F"/>
    <w:rsid w:val="00ED6E4C"/>
    <w:rsid w:val="00EE0DE1"/>
    <w:rsid w:val="00EE6CB7"/>
    <w:rsid w:val="00EF01F1"/>
    <w:rsid w:val="00EF0D21"/>
    <w:rsid w:val="00EF3A46"/>
    <w:rsid w:val="00EF565F"/>
    <w:rsid w:val="00F0469B"/>
    <w:rsid w:val="00F1001A"/>
    <w:rsid w:val="00F12226"/>
    <w:rsid w:val="00F1289B"/>
    <w:rsid w:val="00F13E60"/>
    <w:rsid w:val="00F1717F"/>
    <w:rsid w:val="00F24770"/>
    <w:rsid w:val="00F257BF"/>
    <w:rsid w:val="00F2781C"/>
    <w:rsid w:val="00F302A9"/>
    <w:rsid w:val="00F30C13"/>
    <w:rsid w:val="00F334AF"/>
    <w:rsid w:val="00F37FED"/>
    <w:rsid w:val="00F40184"/>
    <w:rsid w:val="00F4037D"/>
    <w:rsid w:val="00F42F28"/>
    <w:rsid w:val="00F571A6"/>
    <w:rsid w:val="00F71FCF"/>
    <w:rsid w:val="00F74182"/>
    <w:rsid w:val="00F764FB"/>
    <w:rsid w:val="00F8084C"/>
    <w:rsid w:val="00F8332A"/>
    <w:rsid w:val="00F8487A"/>
    <w:rsid w:val="00F93A12"/>
    <w:rsid w:val="00F96B1B"/>
    <w:rsid w:val="00FA4AFC"/>
    <w:rsid w:val="00FA5507"/>
    <w:rsid w:val="00FA63B1"/>
    <w:rsid w:val="00FA6F1D"/>
    <w:rsid w:val="00FB5495"/>
    <w:rsid w:val="00FC3580"/>
    <w:rsid w:val="00FC517F"/>
    <w:rsid w:val="00FD08AD"/>
    <w:rsid w:val="00FD2A6F"/>
    <w:rsid w:val="00FD32EF"/>
    <w:rsid w:val="00FD369B"/>
    <w:rsid w:val="00FD58B6"/>
    <w:rsid w:val="00FD6EC7"/>
    <w:rsid w:val="00FD784C"/>
    <w:rsid w:val="00FD7BF4"/>
    <w:rsid w:val="00FE35DB"/>
    <w:rsid w:val="00FE560C"/>
    <w:rsid w:val="00FE584C"/>
    <w:rsid w:val="00FE674E"/>
    <w:rsid w:val="00FE6C54"/>
    <w:rsid w:val="00FE7127"/>
    <w:rsid w:val="00FF1352"/>
    <w:rsid w:val="00FF44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5C50"/>
  <w15:chartTrackingRefBased/>
  <w15:docId w15:val="{9E48AB0E-F7D2-264A-9299-F0EFC1ED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220053"/>
    <w:pPr>
      <w:ind w:left="720"/>
      <w:contextualSpacing/>
    </w:pPr>
  </w:style>
  <w:style w:type="character" w:customStyle="1" w:styleId="apple-converted-space">
    <w:name w:val="apple-converted-space"/>
    <w:basedOn w:val="DefaultParagraphFont"/>
    <w:rsid w:val="00695A77"/>
  </w:style>
  <w:style w:type="character" w:customStyle="1" w:styleId="subsection">
    <w:name w:val="subsection"/>
    <w:basedOn w:val="DefaultParagraphFont"/>
    <w:rsid w:val="00695A77"/>
  </w:style>
  <w:style w:type="character" w:styleId="Hyperlink">
    <w:name w:val="Hyperlink"/>
    <w:basedOn w:val="DefaultParagraphFont"/>
    <w:uiPriority w:val="99"/>
    <w:semiHidden/>
    <w:unhideWhenUsed/>
    <w:rsid w:val="00695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8835">
      <w:bodyDiv w:val="1"/>
      <w:marLeft w:val="0"/>
      <w:marRight w:val="0"/>
      <w:marTop w:val="0"/>
      <w:marBottom w:val="0"/>
      <w:divBdr>
        <w:top w:val="none" w:sz="0" w:space="0" w:color="auto"/>
        <w:left w:val="none" w:sz="0" w:space="0" w:color="auto"/>
        <w:bottom w:val="none" w:sz="0" w:space="0" w:color="auto"/>
        <w:right w:val="none" w:sz="0" w:space="0" w:color="auto"/>
      </w:divBdr>
      <w:divsChild>
        <w:div w:id="1542279327">
          <w:marLeft w:val="0"/>
          <w:marRight w:val="0"/>
          <w:marTop w:val="219"/>
          <w:marBottom w:val="240"/>
          <w:divBdr>
            <w:top w:val="none" w:sz="0" w:space="0" w:color="auto"/>
            <w:left w:val="none" w:sz="0" w:space="0" w:color="auto"/>
            <w:bottom w:val="none" w:sz="0" w:space="0" w:color="auto"/>
            <w:right w:val="none" w:sz="0" w:space="0" w:color="auto"/>
          </w:divBdr>
        </w:div>
        <w:div w:id="331876738">
          <w:marLeft w:val="0"/>
          <w:marRight w:val="0"/>
          <w:marTop w:val="260"/>
          <w:marBottom w:val="240"/>
          <w:divBdr>
            <w:top w:val="none" w:sz="0" w:space="0" w:color="auto"/>
            <w:left w:val="none" w:sz="0" w:space="0" w:color="auto"/>
            <w:bottom w:val="none" w:sz="0" w:space="0" w:color="auto"/>
            <w:right w:val="none" w:sz="0" w:space="0" w:color="auto"/>
          </w:divBdr>
        </w:div>
        <w:div w:id="1244412392">
          <w:marLeft w:val="0"/>
          <w:marRight w:val="0"/>
          <w:marTop w:val="260"/>
          <w:marBottom w:val="240"/>
          <w:divBdr>
            <w:top w:val="none" w:sz="0" w:space="0" w:color="auto"/>
            <w:left w:val="none" w:sz="0" w:space="0" w:color="auto"/>
            <w:bottom w:val="none" w:sz="0" w:space="0" w:color="auto"/>
            <w:right w:val="none" w:sz="0" w:space="0" w:color="auto"/>
          </w:divBdr>
        </w:div>
      </w:divsChild>
    </w:div>
    <w:div w:id="101000835">
      <w:bodyDiv w:val="1"/>
      <w:marLeft w:val="0"/>
      <w:marRight w:val="0"/>
      <w:marTop w:val="0"/>
      <w:marBottom w:val="0"/>
      <w:divBdr>
        <w:top w:val="none" w:sz="0" w:space="0" w:color="auto"/>
        <w:left w:val="none" w:sz="0" w:space="0" w:color="auto"/>
        <w:bottom w:val="none" w:sz="0" w:space="0" w:color="auto"/>
        <w:right w:val="none" w:sz="0" w:space="0" w:color="auto"/>
      </w:divBdr>
      <w:divsChild>
        <w:div w:id="775710680">
          <w:marLeft w:val="0"/>
          <w:marRight w:val="0"/>
          <w:marTop w:val="0"/>
          <w:marBottom w:val="0"/>
          <w:divBdr>
            <w:top w:val="none" w:sz="0" w:space="0" w:color="auto"/>
            <w:left w:val="none" w:sz="0" w:space="0" w:color="auto"/>
            <w:bottom w:val="none" w:sz="0" w:space="0" w:color="auto"/>
            <w:right w:val="none" w:sz="0" w:space="0" w:color="auto"/>
          </w:divBdr>
          <w:divsChild>
            <w:div w:id="790129361">
              <w:marLeft w:val="0"/>
              <w:marRight w:val="0"/>
              <w:marTop w:val="0"/>
              <w:marBottom w:val="0"/>
              <w:divBdr>
                <w:top w:val="none" w:sz="0" w:space="0" w:color="auto"/>
                <w:left w:val="none" w:sz="0" w:space="0" w:color="auto"/>
                <w:bottom w:val="none" w:sz="0" w:space="0" w:color="auto"/>
                <w:right w:val="none" w:sz="0" w:space="0" w:color="auto"/>
              </w:divBdr>
              <w:divsChild>
                <w:div w:id="218397702">
                  <w:marLeft w:val="0"/>
                  <w:marRight w:val="0"/>
                  <w:marTop w:val="0"/>
                  <w:marBottom w:val="0"/>
                  <w:divBdr>
                    <w:top w:val="none" w:sz="0" w:space="0" w:color="auto"/>
                    <w:left w:val="none" w:sz="0" w:space="0" w:color="auto"/>
                    <w:bottom w:val="none" w:sz="0" w:space="0" w:color="auto"/>
                    <w:right w:val="none" w:sz="0" w:space="0" w:color="auto"/>
                  </w:divBdr>
                </w:div>
              </w:divsChild>
            </w:div>
            <w:div w:id="198905668">
              <w:marLeft w:val="0"/>
              <w:marRight w:val="0"/>
              <w:marTop w:val="0"/>
              <w:marBottom w:val="0"/>
              <w:divBdr>
                <w:top w:val="none" w:sz="0" w:space="0" w:color="auto"/>
                <w:left w:val="none" w:sz="0" w:space="0" w:color="auto"/>
                <w:bottom w:val="none" w:sz="0" w:space="0" w:color="auto"/>
                <w:right w:val="none" w:sz="0" w:space="0" w:color="auto"/>
              </w:divBdr>
              <w:divsChild>
                <w:div w:id="1757555592">
                  <w:marLeft w:val="0"/>
                  <w:marRight w:val="0"/>
                  <w:marTop w:val="0"/>
                  <w:marBottom w:val="0"/>
                  <w:divBdr>
                    <w:top w:val="none" w:sz="0" w:space="0" w:color="auto"/>
                    <w:left w:val="none" w:sz="0" w:space="0" w:color="auto"/>
                    <w:bottom w:val="none" w:sz="0" w:space="0" w:color="auto"/>
                    <w:right w:val="none" w:sz="0" w:space="0" w:color="auto"/>
                  </w:divBdr>
                </w:div>
              </w:divsChild>
            </w:div>
            <w:div w:id="354229586">
              <w:marLeft w:val="0"/>
              <w:marRight w:val="0"/>
              <w:marTop w:val="0"/>
              <w:marBottom w:val="0"/>
              <w:divBdr>
                <w:top w:val="none" w:sz="0" w:space="0" w:color="auto"/>
                <w:left w:val="none" w:sz="0" w:space="0" w:color="auto"/>
                <w:bottom w:val="none" w:sz="0" w:space="0" w:color="auto"/>
                <w:right w:val="none" w:sz="0" w:space="0" w:color="auto"/>
              </w:divBdr>
              <w:divsChild>
                <w:div w:id="897672800">
                  <w:marLeft w:val="0"/>
                  <w:marRight w:val="0"/>
                  <w:marTop w:val="0"/>
                  <w:marBottom w:val="0"/>
                  <w:divBdr>
                    <w:top w:val="none" w:sz="0" w:space="0" w:color="auto"/>
                    <w:left w:val="none" w:sz="0" w:space="0" w:color="auto"/>
                    <w:bottom w:val="none" w:sz="0" w:space="0" w:color="auto"/>
                    <w:right w:val="none" w:sz="0" w:space="0" w:color="auto"/>
                  </w:divBdr>
                </w:div>
              </w:divsChild>
            </w:div>
            <w:div w:id="1271208530">
              <w:marLeft w:val="0"/>
              <w:marRight w:val="0"/>
              <w:marTop w:val="0"/>
              <w:marBottom w:val="0"/>
              <w:divBdr>
                <w:top w:val="none" w:sz="0" w:space="0" w:color="auto"/>
                <w:left w:val="none" w:sz="0" w:space="0" w:color="auto"/>
                <w:bottom w:val="none" w:sz="0" w:space="0" w:color="auto"/>
                <w:right w:val="none" w:sz="0" w:space="0" w:color="auto"/>
              </w:divBdr>
              <w:divsChild>
                <w:div w:id="13948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7946">
          <w:marLeft w:val="0"/>
          <w:marRight w:val="0"/>
          <w:marTop w:val="0"/>
          <w:marBottom w:val="0"/>
          <w:divBdr>
            <w:top w:val="none" w:sz="0" w:space="0" w:color="auto"/>
            <w:left w:val="none" w:sz="0" w:space="0" w:color="auto"/>
            <w:bottom w:val="none" w:sz="0" w:space="0" w:color="auto"/>
            <w:right w:val="none" w:sz="0" w:space="0" w:color="auto"/>
          </w:divBdr>
          <w:divsChild>
            <w:div w:id="655960949">
              <w:marLeft w:val="0"/>
              <w:marRight w:val="0"/>
              <w:marTop w:val="0"/>
              <w:marBottom w:val="0"/>
              <w:divBdr>
                <w:top w:val="none" w:sz="0" w:space="0" w:color="auto"/>
                <w:left w:val="none" w:sz="0" w:space="0" w:color="auto"/>
                <w:bottom w:val="none" w:sz="0" w:space="0" w:color="auto"/>
                <w:right w:val="none" w:sz="0" w:space="0" w:color="auto"/>
              </w:divBdr>
              <w:divsChild>
                <w:div w:id="1921063855">
                  <w:marLeft w:val="0"/>
                  <w:marRight w:val="0"/>
                  <w:marTop w:val="0"/>
                  <w:marBottom w:val="0"/>
                  <w:divBdr>
                    <w:top w:val="none" w:sz="0" w:space="0" w:color="auto"/>
                    <w:left w:val="none" w:sz="0" w:space="0" w:color="auto"/>
                    <w:bottom w:val="none" w:sz="0" w:space="0" w:color="auto"/>
                    <w:right w:val="none" w:sz="0" w:space="0" w:color="auto"/>
                  </w:divBdr>
                </w:div>
              </w:divsChild>
            </w:div>
            <w:div w:id="1599173717">
              <w:marLeft w:val="0"/>
              <w:marRight w:val="0"/>
              <w:marTop w:val="0"/>
              <w:marBottom w:val="0"/>
              <w:divBdr>
                <w:top w:val="none" w:sz="0" w:space="0" w:color="auto"/>
                <w:left w:val="none" w:sz="0" w:space="0" w:color="auto"/>
                <w:bottom w:val="none" w:sz="0" w:space="0" w:color="auto"/>
                <w:right w:val="none" w:sz="0" w:space="0" w:color="auto"/>
              </w:divBdr>
              <w:divsChild>
                <w:div w:id="781218970">
                  <w:marLeft w:val="0"/>
                  <w:marRight w:val="0"/>
                  <w:marTop w:val="0"/>
                  <w:marBottom w:val="0"/>
                  <w:divBdr>
                    <w:top w:val="none" w:sz="0" w:space="0" w:color="auto"/>
                    <w:left w:val="none" w:sz="0" w:space="0" w:color="auto"/>
                    <w:bottom w:val="none" w:sz="0" w:space="0" w:color="auto"/>
                    <w:right w:val="none" w:sz="0" w:space="0" w:color="auto"/>
                  </w:divBdr>
                </w:div>
              </w:divsChild>
            </w:div>
            <w:div w:id="1546135670">
              <w:marLeft w:val="0"/>
              <w:marRight w:val="0"/>
              <w:marTop w:val="0"/>
              <w:marBottom w:val="0"/>
              <w:divBdr>
                <w:top w:val="none" w:sz="0" w:space="0" w:color="auto"/>
                <w:left w:val="none" w:sz="0" w:space="0" w:color="auto"/>
                <w:bottom w:val="none" w:sz="0" w:space="0" w:color="auto"/>
                <w:right w:val="none" w:sz="0" w:space="0" w:color="auto"/>
              </w:divBdr>
              <w:divsChild>
                <w:div w:id="1319845811">
                  <w:marLeft w:val="0"/>
                  <w:marRight w:val="0"/>
                  <w:marTop w:val="0"/>
                  <w:marBottom w:val="0"/>
                  <w:divBdr>
                    <w:top w:val="none" w:sz="0" w:space="0" w:color="auto"/>
                    <w:left w:val="none" w:sz="0" w:space="0" w:color="auto"/>
                    <w:bottom w:val="none" w:sz="0" w:space="0" w:color="auto"/>
                    <w:right w:val="none" w:sz="0" w:space="0" w:color="auto"/>
                  </w:divBdr>
                </w:div>
              </w:divsChild>
            </w:div>
            <w:div w:id="913198022">
              <w:marLeft w:val="0"/>
              <w:marRight w:val="0"/>
              <w:marTop w:val="0"/>
              <w:marBottom w:val="0"/>
              <w:divBdr>
                <w:top w:val="none" w:sz="0" w:space="0" w:color="auto"/>
                <w:left w:val="none" w:sz="0" w:space="0" w:color="auto"/>
                <w:bottom w:val="none" w:sz="0" w:space="0" w:color="auto"/>
                <w:right w:val="none" w:sz="0" w:space="0" w:color="auto"/>
              </w:divBdr>
              <w:divsChild>
                <w:div w:id="9694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6806">
          <w:marLeft w:val="0"/>
          <w:marRight w:val="0"/>
          <w:marTop w:val="0"/>
          <w:marBottom w:val="0"/>
          <w:divBdr>
            <w:top w:val="none" w:sz="0" w:space="0" w:color="auto"/>
            <w:left w:val="none" w:sz="0" w:space="0" w:color="auto"/>
            <w:bottom w:val="none" w:sz="0" w:space="0" w:color="auto"/>
            <w:right w:val="none" w:sz="0" w:space="0" w:color="auto"/>
          </w:divBdr>
          <w:divsChild>
            <w:div w:id="1557622293">
              <w:marLeft w:val="0"/>
              <w:marRight w:val="0"/>
              <w:marTop w:val="0"/>
              <w:marBottom w:val="0"/>
              <w:divBdr>
                <w:top w:val="none" w:sz="0" w:space="0" w:color="auto"/>
                <w:left w:val="none" w:sz="0" w:space="0" w:color="auto"/>
                <w:bottom w:val="none" w:sz="0" w:space="0" w:color="auto"/>
                <w:right w:val="none" w:sz="0" w:space="0" w:color="auto"/>
              </w:divBdr>
              <w:divsChild>
                <w:div w:id="735321453">
                  <w:marLeft w:val="0"/>
                  <w:marRight w:val="0"/>
                  <w:marTop w:val="0"/>
                  <w:marBottom w:val="0"/>
                  <w:divBdr>
                    <w:top w:val="none" w:sz="0" w:space="0" w:color="auto"/>
                    <w:left w:val="none" w:sz="0" w:space="0" w:color="auto"/>
                    <w:bottom w:val="none" w:sz="0" w:space="0" w:color="auto"/>
                    <w:right w:val="none" w:sz="0" w:space="0" w:color="auto"/>
                  </w:divBdr>
                </w:div>
              </w:divsChild>
            </w:div>
            <w:div w:id="1156191360">
              <w:marLeft w:val="0"/>
              <w:marRight w:val="0"/>
              <w:marTop w:val="0"/>
              <w:marBottom w:val="0"/>
              <w:divBdr>
                <w:top w:val="none" w:sz="0" w:space="0" w:color="auto"/>
                <w:left w:val="none" w:sz="0" w:space="0" w:color="auto"/>
                <w:bottom w:val="none" w:sz="0" w:space="0" w:color="auto"/>
                <w:right w:val="none" w:sz="0" w:space="0" w:color="auto"/>
              </w:divBdr>
              <w:divsChild>
                <w:div w:id="1129862908">
                  <w:marLeft w:val="0"/>
                  <w:marRight w:val="0"/>
                  <w:marTop w:val="0"/>
                  <w:marBottom w:val="0"/>
                  <w:divBdr>
                    <w:top w:val="none" w:sz="0" w:space="0" w:color="auto"/>
                    <w:left w:val="none" w:sz="0" w:space="0" w:color="auto"/>
                    <w:bottom w:val="none" w:sz="0" w:space="0" w:color="auto"/>
                    <w:right w:val="none" w:sz="0" w:space="0" w:color="auto"/>
                  </w:divBdr>
                  <w:divsChild>
                    <w:div w:id="197203985">
                      <w:marLeft w:val="0"/>
                      <w:marRight w:val="0"/>
                      <w:marTop w:val="0"/>
                      <w:marBottom w:val="0"/>
                      <w:divBdr>
                        <w:top w:val="none" w:sz="0" w:space="0" w:color="auto"/>
                        <w:left w:val="none" w:sz="0" w:space="0" w:color="auto"/>
                        <w:bottom w:val="none" w:sz="0" w:space="0" w:color="auto"/>
                        <w:right w:val="none" w:sz="0" w:space="0" w:color="auto"/>
                      </w:divBdr>
                      <w:divsChild>
                        <w:div w:id="97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7254">
                  <w:marLeft w:val="0"/>
                  <w:marRight w:val="0"/>
                  <w:marTop w:val="0"/>
                  <w:marBottom w:val="0"/>
                  <w:divBdr>
                    <w:top w:val="none" w:sz="0" w:space="0" w:color="auto"/>
                    <w:left w:val="none" w:sz="0" w:space="0" w:color="auto"/>
                    <w:bottom w:val="none" w:sz="0" w:space="0" w:color="auto"/>
                    <w:right w:val="none" w:sz="0" w:space="0" w:color="auto"/>
                  </w:divBdr>
                  <w:divsChild>
                    <w:div w:id="700280436">
                      <w:marLeft w:val="0"/>
                      <w:marRight w:val="0"/>
                      <w:marTop w:val="0"/>
                      <w:marBottom w:val="0"/>
                      <w:divBdr>
                        <w:top w:val="none" w:sz="0" w:space="0" w:color="auto"/>
                        <w:left w:val="none" w:sz="0" w:space="0" w:color="auto"/>
                        <w:bottom w:val="none" w:sz="0" w:space="0" w:color="auto"/>
                        <w:right w:val="none" w:sz="0" w:space="0" w:color="auto"/>
                      </w:divBdr>
                      <w:divsChild>
                        <w:div w:id="14313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1655">
                  <w:marLeft w:val="0"/>
                  <w:marRight w:val="0"/>
                  <w:marTop w:val="0"/>
                  <w:marBottom w:val="0"/>
                  <w:divBdr>
                    <w:top w:val="none" w:sz="0" w:space="0" w:color="auto"/>
                    <w:left w:val="none" w:sz="0" w:space="0" w:color="auto"/>
                    <w:bottom w:val="none" w:sz="0" w:space="0" w:color="auto"/>
                    <w:right w:val="none" w:sz="0" w:space="0" w:color="auto"/>
                  </w:divBdr>
                  <w:divsChild>
                    <w:div w:id="921599170">
                      <w:marLeft w:val="0"/>
                      <w:marRight w:val="0"/>
                      <w:marTop w:val="0"/>
                      <w:marBottom w:val="0"/>
                      <w:divBdr>
                        <w:top w:val="none" w:sz="0" w:space="0" w:color="auto"/>
                        <w:left w:val="none" w:sz="0" w:space="0" w:color="auto"/>
                        <w:bottom w:val="none" w:sz="0" w:space="0" w:color="auto"/>
                        <w:right w:val="none" w:sz="0" w:space="0" w:color="auto"/>
                      </w:divBdr>
                      <w:divsChild>
                        <w:div w:id="8493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126">
                  <w:marLeft w:val="0"/>
                  <w:marRight w:val="0"/>
                  <w:marTop w:val="0"/>
                  <w:marBottom w:val="0"/>
                  <w:divBdr>
                    <w:top w:val="none" w:sz="0" w:space="0" w:color="auto"/>
                    <w:left w:val="none" w:sz="0" w:space="0" w:color="auto"/>
                    <w:bottom w:val="none" w:sz="0" w:space="0" w:color="auto"/>
                    <w:right w:val="none" w:sz="0" w:space="0" w:color="auto"/>
                  </w:divBdr>
                  <w:divsChild>
                    <w:div w:id="1016618970">
                      <w:marLeft w:val="0"/>
                      <w:marRight w:val="0"/>
                      <w:marTop w:val="0"/>
                      <w:marBottom w:val="0"/>
                      <w:divBdr>
                        <w:top w:val="none" w:sz="0" w:space="0" w:color="auto"/>
                        <w:left w:val="none" w:sz="0" w:space="0" w:color="auto"/>
                        <w:bottom w:val="none" w:sz="0" w:space="0" w:color="auto"/>
                        <w:right w:val="none" w:sz="0" w:space="0" w:color="auto"/>
                      </w:divBdr>
                      <w:divsChild>
                        <w:div w:id="6150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88287">
      <w:bodyDiv w:val="1"/>
      <w:marLeft w:val="0"/>
      <w:marRight w:val="0"/>
      <w:marTop w:val="0"/>
      <w:marBottom w:val="0"/>
      <w:divBdr>
        <w:top w:val="none" w:sz="0" w:space="0" w:color="auto"/>
        <w:left w:val="none" w:sz="0" w:space="0" w:color="auto"/>
        <w:bottom w:val="none" w:sz="0" w:space="0" w:color="auto"/>
        <w:right w:val="none" w:sz="0" w:space="0" w:color="auto"/>
      </w:divBdr>
      <w:divsChild>
        <w:div w:id="1308977136">
          <w:marLeft w:val="0"/>
          <w:marRight w:val="0"/>
          <w:marTop w:val="0"/>
          <w:marBottom w:val="0"/>
          <w:divBdr>
            <w:top w:val="none" w:sz="0" w:space="0" w:color="auto"/>
            <w:left w:val="none" w:sz="0" w:space="0" w:color="auto"/>
            <w:bottom w:val="none" w:sz="0" w:space="0" w:color="auto"/>
            <w:right w:val="none" w:sz="0" w:space="0" w:color="auto"/>
          </w:divBdr>
          <w:divsChild>
            <w:div w:id="394593485">
              <w:marLeft w:val="0"/>
              <w:marRight w:val="0"/>
              <w:marTop w:val="0"/>
              <w:marBottom w:val="0"/>
              <w:divBdr>
                <w:top w:val="none" w:sz="0" w:space="0" w:color="auto"/>
                <w:left w:val="none" w:sz="0" w:space="0" w:color="auto"/>
                <w:bottom w:val="none" w:sz="0" w:space="0" w:color="auto"/>
                <w:right w:val="none" w:sz="0" w:space="0" w:color="auto"/>
              </w:divBdr>
              <w:divsChild>
                <w:div w:id="196890420">
                  <w:marLeft w:val="0"/>
                  <w:marRight w:val="0"/>
                  <w:marTop w:val="0"/>
                  <w:marBottom w:val="0"/>
                  <w:divBdr>
                    <w:top w:val="none" w:sz="0" w:space="0" w:color="auto"/>
                    <w:left w:val="none" w:sz="0" w:space="0" w:color="auto"/>
                    <w:bottom w:val="none" w:sz="0" w:space="0" w:color="auto"/>
                    <w:right w:val="none" w:sz="0" w:space="0" w:color="auto"/>
                  </w:divBdr>
                </w:div>
              </w:divsChild>
            </w:div>
            <w:div w:id="403919141">
              <w:marLeft w:val="0"/>
              <w:marRight w:val="0"/>
              <w:marTop w:val="0"/>
              <w:marBottom w:val="0"/>
              <w:divBdr>
                <w:top w:val="none" w:sz="0" w:space="0" w:color="auto"/>
                <w:left w:val="none" w:sz="0" w:space="0" w:color="auto"/>
                <w:bottom w:val="none" w:sz="0" w:space="0" w:color="auto"/>
                <w:right w:val="none" w:sz="0" w:space="0" w:color="auto"/>
              </w:divBdr>
              <w:divsChild>
                <w:div w:id="582765243">
                  <w:marLeft w:val="0"/>
                  <w:marRight w:val="0"/>
                  <w:marTop w:val="0"/>
                  <w:marBottom w:val="0"/>
                  <w:divBdr>
                    <w:top w:val="none" w:sz="0" w:space="0" w:color="auto"/>
                    <w:left w:val="none" w:sz="0" w:space="0" w:color="auto"/>
                    <w:bottom w:val="none" w:sz="0" w:space="0" w:color="auto"/>
                    <w:right w:val="none" w:sz="0" w:space="0" w:color="auto"/>
                  </w:divBdr>
                </w:div>
              </w:divsChild>
            </w:div>
            <w:div w:id="338435607">
              <w:marLeft w:val="0"/>
              <w:marRight w:val="0"/>
              <w:marTop w:val="0"/>
              <w:marBottom w:val="0"/>
              <w:divBdr>
                <w:top w:val="none" w:sz="0" w:space="0" w:color="auto"/>
                <w:left w:val="none" w:sz="0" w:space="0" w:color="auto"/>
                <w:bottom w:val="none" w:sz="0" w:space="0" w:color="auto"/>
                <w:right w:val="none" w:sz="0" w:space="0" w:color="auto"/>
              </w:divBdr>
              <w:divsChild>
                <w:div w:id="594634062">
                  <w:marLeft w:val="0"/>
                  <w:marRight w:val="0"/>
                  <w:marTop w:val="0"/>
                  <w:marBottom w:val="0"/>
                  <w:divBdr>
                    <w:top w:val="none" w:sz="0" w:space="0" w:color="auto"/>
                    <w:left w:val="none" w:sz="0" w:space="0" w:color="auto"/>
                    <w:bottom w:val="none" w:sz="0" w:space="0" w:color="auto"/>
                    <w:right w:val="none" w:sz="0" w:space="0" w:color="auto"/>
                  </w:divBdr>
                </w:div>
              </w:divsChild>
            </w:div>
            <w:div w:id="109711769">
              <w:marLeft w:val="0"/>
              <w:marRight w:val="0"/>
              <w:marTop w:val="0"/>
              <w:marBottom w:val="0"/>
              <w:divBdr>
                <w:top w:val="none" w:sz="0" w:space="0" w:color="auto"/>
                <w:left w:val="none" w:sz="0" w:space="0" w:color="auto"/>
                <w:bottom w:val="none" w:sz="0" w:space="0" w:color="auto"/>
                <w:right w:val="none" w:sz="0" w:space="0" w:color="auto"/>
              </w:divBdr>
              <w:divsChild>
                <w:div w:id="18687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7784">
          <w:marLeft w:val="0"/>
          <w:marRight w:val="0"/>
          <w:marTop w:val="0"/>
          <w:marBottom w:val="0"/>
          <w:divBdr>
            <w:top w:val="none" w:sz="0" w:space="0" w:color="auto"/>
            <w:left w:val="none" w:sz="0" w:space="0" w:color="auto"/>
            <w:bottom w:val="none" w:sz="0" w:space="0" w:color="auto"/>
            <w:right w:val="none" w:sz="0" w:space="0" w:color="auto"/>
          </w:divBdr>
          <w:divsChild>
            <w:div w:id="1154417672">
              <w:marLeft w:val="0"/>
              <w:marRight w:val="0"/>
              <w:marTop w:val="0"/>
              <w:marBottom w:val="0"/>
              <w:divBdr>
                <w:top w:val="none" w:sz="0" w:space="0" w:color="auto"/>
                <w:left w:val="none" w:sz="0" w:space="0" w:color="auto"/>
                <w:bottom w:val="none" w:sz="0" w:space="0" w:color="auto"/>
                <w:right w:val="none" w:sz="0" w:space="0" w:color="auto"/>
              </w:divBdr>
              <w:divsChild>
                <w:div w:id="274798482">
                  <w:marLeft w:val="0"/>
                  <w:marRight w:val="0"/>
                  <w:marTop w:val="0"/>
                  <w:marBottom w:val="0"/>
                  <w:divBdr>
                    <w:top w:val="none" w:sz="0" w:space="0" w:color="auto"/>
                    <w:left w:val="none" w:sz="0" w:space="0" w:color="auto"/>
                    <w:bottom w:val="none" w:sz="0" w:space="0" w:color="auto"/>
                    <w:right w:val="none" w:sz="0" w:space="0" w:color="auto"/>
                  </w:divBdr>
                </w:div>
              </w:divsChild>
            </w:div>
            <w:div w:id="655959009">
              <w:marLeft w:val="0"/>
              <w:marRight w:val="0"/>
              <w:marTop w:val="0"/>
              <w:marBottom w:val="0"/>
              <w:divBdr>
                <w:top w:val="none" w:sz="0" w:space="0" w:color="auto"/>
                <w:left w:val="none" w:sz="0" w:space="0" w:color="auto"/>
                <w:bottom w:val="none" w:sz="0" w:space="0" w:color="auto"/>
                <w:right w:val="none" w:sz="0" w:space="0" w:color="auto"/>
              </w:divBdr>
              <w:divsChild>
                <w:div w:id="943197723">
                  <w:marLeft w:val="0"/>
                  <w:marRight w:val="0"/>
                  <w:marTop w:val="0"/>
                  <w:marBottom w:val="0"/>
                  <w:divBdr>
                    <w:top w:val="none" w:sz="0" w:space="0" w:color="auto"/>
                    <w:left w:val="none" w:sz="0" w:space="0" w:color="auto"/>
                    <w:bottom w:val="none" w:sz="0" w:space="0" w:color="auto"/>
                    <w:right w:val="none" w:sz="0" w:space="0" w:color="auto"/>
                  </w:divBdr>
                </w:div>
              </w:divsChild>
            </w:div>
            <w:div w:id="203517938">
              <w:marLeft w:val="0"/>
              <w:marRight w:val="0"/>
              <w:marTop w:val="0"/>
              <w:marBottom w:val="0"/>
              <w:divBdr>
                <w:top w:val="none" w:sz="0" w:space="0" w:color="auto"/>
                <w:left w:val="none" w:sz="0" w:space="0" w:color="auto"/>
                <w:bottom w:val="none" w:sz="0" w:space="0" w:color="auto"/>
                <w:right w:val="none" w:sz="0" w:space="0" w:color="auto"/>
              </w:divBdr>
              <w:divsChild>
                <w:div w:id="537009474">
                  <w:marLeft w:val="0"/>
                  <w:marRight w:val="0"/>
                  <w:marTop w:val="0"/>
                  <w:marBottom w:val="0"/>
                  <w:divBdr>
                    <w:top w:val="none" w:sz="0" w:space="0" w:color="auto"/>
                    <w:left w:val="none" w:sz="0" w:space="0" w:color="auto"/>
                    <w:bottom w:val="none" w:sz="0" w:space="0" w:color="auto"/>
                    <w:right w:val="none" w:sz="0" w:space="0" w:color="auto"/>
                  </w:divBdr>
                </w:div>
              </w:divsChild>
            </w:div>
            <w:div w:id="801577290">
              <w:marLeft w:val="0"/>
              <w:marRight w:val="0"/>
              <w:marTop w:val="0"/>
              <w:marBottom w:val="0"/>
              <w:divBdr>
                <w:top w:val="none" w:sz="0" w:space="0" w:color="auto"/>
                <w:left w:val="none" w:sz="0" w:space="0" w:color="auto"/>
                <w:bottom w:val="none" w:sz="0" w:space="0" w:color="auto"/>
                <w:right w:val="none" w:sz="0" w:space="0" w:color="auto"/>
              </w:divBdr>
              <w:divsChild>
                <w:div w:id="12449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8400">
          <w:marLeft w:val="0"/>
          <w:marRight w:val="0"/>
          <w:marTop w:val="0"/>
          <w:marBottom w:val="0"/>
          <w:divBdr>
            <w:top w:val="none" w:sz="0" w:space="0" w:color="auto"/>
            <w:left w:val="none" w:sz="0" w:space="0" w:color="auto"/>
            <w:bottom w:val="none" w:sz="0" w:space="0" w:color="auto"/>
            <w:right w:val="none" w:sz="0" w:space="0" w:color="auto"/>
          </w:divBdr>
          <w:divsChild>
            <w:div w:id="1237281981">
              <w:marLeft w:val="0"/>
              <w:marRight w:val="0"/>
              <w:marTop w:val="0"/>
              <w:marBottom w:val="0"/>
              <w:divBdr>
                <w:top w:val="none" w:sz="0" w:space="0" w:color="auto"/>
                <w:left w:val="none" w:sz="0" w:space="0" w:color="auto"/>
                <w:bottom w:val="none" w:sz="0" w:space="0" w:color="auto"/>
                <w:right w:val="none" w:sz="0" w:space="0" w:color="auto"/>
              </w:divBdr>
              <w:divsChild>
                <w:div w:id="870654403">
                  <w:marLeft w:val="0"/>
                  <w:marRight w:val="0"/>
                  <w:marTop w:val="0"/>
                  <w:marBottom w:val="0"/>
                  <w:divBdr>
                    <w:top w:val="none" w:sz="0" w:space="0" w:color="auto"/>
                    <w:left w:val="none" w:sz="0" w:space="0" w:color="auto"/>
                    <w:bottom w:val="none" w:sz="0" w:space="0" w:color="auto"/>
                    <w:right w:val="none" w:sz="0" w:space="0" w:color="auto"/>
                  </w:divBdr>
                </w:div>
              </w:divsChild>
            </w:div>
            <w:div w:id="454906832">
              <w:marLeft w:val="0"/>
              <w:marRight w:val="0"/>
              <w:marTop w:val="0"/>
              <w:marBottom w:val="0"/>
              <w:divBdr>
                <w:top w:val="none" w:sz="0" w:space="0" w:color="auto"/>
                <w:left w:val="none" w:sz="0" w:space="0" w:color="auto"/>
                <w:bottom w:val="none" w:sz="0" w:space="0" w:color="auto"/>
                <w:right w:val="none" w:sz="0" w:space="0" w:color="auto"/>
              </w:divBdr>
              <w:divsChild>
                <w:div w:id="1459952681">
                  <w:marLeft w:val="0"/>
                  <w:marRight w:val="0"/>
                  <w:marTop w:val="0"/>
                  <w:marBottom w:val="0"/>
                  <w:divBdr>
                    <w:top w:val="none" w:sz="0" w:space="0" w:color="auto"/>
                    <w:left w:val="none" w:sz="0" w:space="0" w:color="auto"/>
                    <w:bottom w:val="none" w:sz="0" w:space="0" w:color="auto"/>
                    <w:right w:val="none" w:sz="0" w:space="0" w:color="auto"/>
                  </w:divBdr>
                  <w:divsChild>
                    <w:div w:id="1195927651">
                      <w:marLeft w:val="0"/>
                      <w:marRight w:val="0"/>
                      <w:marTop w:val="0"/>
                      <w:marBottom w:val="0"/>
                      <w:divBdr>
                        <w:top w:val="none" w:sz="0" w:space="0" w:color="auto"/>
                        <w:left w:val="none" w:sz="0" w:space="0" w:color="auto"/>
                        <w:bottom w:val="none" w:sz="0" w:space="0" w:color="auto"/>
                        <w:right w:val="none" w:sz="0" w:space="0" w:color="auto"/>
                      </w:divBdr>
                      <w:divsChild>
                        <w:div w:id="11310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9891">
                  <w:marLeft w:val="0"/>
                  <w:marRight w:val="0"/>
                  <w:marTop w:val="0"/>
                  <w:marBottom w:val="0"/>
                  <w:divBdr>
                    <w:top w:val="none" w:sz="0" w:space="0" w:color="auto"/>
                    <w:left w:val="none" w:sz="0" w:space="0" w:color="auto"/>
                    <w:bottom w:val="none" w:sz="0" w:space="0" w:color="auto"/>
                    <w:right w:val="none" w:sz="0" w:space="0" w:color="auto"/>
                  </w:divBdr>
                  <w:divsChild>
                    <w:div w:id="1917475219">
                      <w:marLeft w:val="0"/>
                      <w:marRight w:val="0"/>
                      <w:marTop w:val="0"/>
                      <w:marBottom w:val="0"/>
                      <w:divBdr>
                        <w:top w:val="none" w:sz="0" w:space="0" w:color="auto"/>
                        <w:left w:val="none" w:sz="0" w:space="0" w:color="auto"/>
                        <w:bottom w:val="none" w:sz="0" w:space="0" w:color="auto"/>
                        <w:right w:val="none" w:sz="0" w:space="0" w:color="auto"/>
                      </w:divBdr>
                      <w:divsChild>
                        <w:div w:id="16596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793">
                  <w:marLeft w:val="0"/>
                  <w:marRight w:val="0"/>
                  <w:marTop w:val="0"/>
                  <w:marBottom w:val="0"/>
                  <w:divBdr>
                    <w:top w:val="none" w:sz="0" w:space="0" w:color="auto"/>
                    <w:left w:val="none" w:sz="0" w:space="0" w:color="auto"/>
                    <w:bottom w:val="none" w:sz="0" w:space="0" w:color="auto"/>
                    <w:right w:val="none" w:sz="0" w:space="0" w:color="auto"/>
                  </w:divBdr>
                  <w:divsChild>
                    <w:div w:id="241448264">
                      <w:marLeft w:val="0"/>
                      <w:marRight w:val="0"/>
                      <w:marTop w:val="0"/>
                      <w:marBottom w:val="0"/>
                      <w:divBdr>
                        <w:top w:val="none" w:sz="0" w:space="0" w:color="auto"/>
                        <w:left w:val="none" w:sz="0" w:space="0" w:color="auto"/>
                        <w:bottom w:val="none" w:sz="0" w:space="0" w:color="auto"/>
                        <w:right w:val="none" w:sz="0" w:space="0" w:color="auto"/>
                      </w:divBdr>
                      <w:divsChild>
                        <w:div w:id="14479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311">
                  <w:marLeft w:val="0"/>
                  <w:marRight w:val="0"/>
                  <w:marTop w:val="0"/>
                  <w:marBottom w:val="0"/>
                  <w:divBdr>
                    <w:top w:val="none" w:sz="0" w:space="0" w:color="auto"/>
                    <w:left w:val="none" w:sz="0" w:space="0" w:color="auto"/>
                    <w:bottom w:val="none" w:sz="0" w:space="0" w:color="auto"/>
                    <w:right w:val="none" w:sz="0" w:space="0" w:color="auto"/>
                  </w:divBdr>
                  <w:divsChild>
                    <w:div w:id="421877602">
                      <w:marLeft w:val="0"/>
                      <w:marRight w:val="0"/>
                      <w:marTop w:val="0"/>
                      <w:marBottom w:val="0"/>
                      <w:divBdr>
                        <w:top w:val="none" w:sz="0" w:space="0" w:color="auto"/>
                        <w:left w:val="none" w:sz="0" w:space="0" w:color="auto"/>
                        <w:bottom w:val="none" w:sz="0" w:space="0" w:color="auto"/>
                        <w:right w:val="none" w:sz="0" w:space="0" w:color="auto"/>
                      </w:divBdr>
                      <w:divsChild>
                        <w:div w:id="15933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quebec.gouv.qc.ca/fr/document/lc/C-1.1?&amp;cibl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14</Pages>
  <Words>3980</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674</cp:revision>
  <dcterms:created xsi:type="dcterms:W3CDTF">2022-11-02T10:47:00Z</dcterms:created>
  <dcterms:modified xsi:type="dcterms:W3CDTF">2023-09-22T19:47:00Z</dcterms:modified>
</cp:coreProperties>
</file>