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038E" w14:textId="0FE09FF6" w:rsidR="008337AC" w:rsidRDefault="00D3291D" w:rsidP="00D3291D">
      <w:pPr>
        <w:jc w:val="center"/>
      </w:pPr>
      <w:r>
        <w:t>R</w:t>
      </w:r>
      <w:r w:rsidRPr="004C3A7C">
        <w:t>ESPONSABILITÉ CIVILE - RÈGLES GÉNÉRALES ET RÉGIMES DE RESPONSABILITÉ</w:t>
      </w:r>
    </w:p>
    <w:p w14:paraId="3765635B" w14:textId="7A6578CA" w:rsidR="00D3291D" w:rsidRDefault="00D3291D" w:rsidP="00D3291D"/>
    <w:p w14:paraId="21D7CF6D" w14:textId="1C0DC9A4" w:rsidR="00D3291D" w:rsidRDefault="00584B56" w:rsidP="00584B56">
      <w:pPr>
        <w:pStyle w:val="Heading1"/>
      </w:pPr>
      <w:r>
        <w:t>Section 1 : La qualification juridique</w:t>
      </w:r>
    </w:p>
    <w:p w14:paraId="57FD4FCD" w14:textId="2BEB574C" w:rsidR="00584B56" w:rsidRDefault="00584B56" w:rsidP="00584B56"/>
    <w:p w14:paraId="5A7CB3D6" w14:textId="1697FA98" w:rsidR="00584B56" w:rsidRDefault="00170796" w:rsidP="00D3291D">
      <w:r w:rsidRPr="00170796">
        <w:rPr>
          <w:color w:val="F55C5E"/>
        </w:rPr>
        <w:t>Art. 1458 C.c.Q.</w:t>
      </w:r>
      <w:r>
        <w:t> :</w:t>
      </w:r>
    </w:p>
    <w:p w14:paraId="4D24C574" w14:textId="27BAA2C4" w:rsidR="00170796" w:rsidRDefault="00170796" w:rsidP="00170796">
      <w:r>
        <w:t>Toute personne a le devoir d’honorer les engagements qu’elle a contractés.</w:t>
      </w:r>
    </w:p>
    <w:p w14:paraId="3E03070E" w14:textId="77777777" w:rsidR="00170796" w:rsidRDefault="00170796" w:rsidP="00170796"/>
    <w:p w14:paraId="5F7568B7" w14:textId="0FE76C25" w:rsidR="00170796" w:rsidRDefault="00170796" w:rsidP="00170796">
      <w:r>
        <w:t>Elle est, lorsqu’elle manque à ce devoir, responsable du préjudice, corporel, moral ou matériel, qu’elle cause à son cocontractant et tenue de réparer ce préjudice; ni elle ni le cocontractant ne peuvent alors se soustraire à l’application des règles du régime contractuel de responsabilité pour opter en faveur de règles qui leur seraient plus profitables.</w:t>
      </w:r>
    </w:p>
    <w:p w14:paraId="3C2C7B4B" w14:textId="1182BA66" w:rsidR="00B33AD4" w:rsidRDefault="00B33AD4" w:rsidP="00170796"/>
    <w:p w14:paraId="5F359FD6" w14:textId="46533314" w:rsidR="00B33AD4" w:rsidRDefault="00B33AD4" w:rsidP="00B33AD4">
      <w:pPr>
        <w:pStyle w:val="ListParagraph"/>
        <w:numPr>
          <w:ilvl w:val="0"/>
          <w:numId w:val="15"/>
        </w:numPr>
      </w:pPr>
      <w:r>
        <w:t>Si on a un contrat, on doit respecter nos engagements</w:t>
      </w:r>
      <w:r w:rsidR="00FD12A3">
        <w:t xml:space="preserve"> selon le régime contractuelle. </w:t>
      </w:r>
    </w:p>
    <w:p w14:paraId="3039E1BE" w14:textId="77777777" w:rsidR="00170796" w:rsidRDefault="00170796" w:rsidP="00D3291D"/>
    <w:p w14:paraId="52E6BBF1" w14:textId="6DA6C01E" w:rsidR="00584B56" w:rsidRDefault="00170796" w:rsidP="00D3291D">
      <w:r w:rsidRPr="0031551F">
        <w:rPr>
          <w:u w:val="single"/>
        </w:rPr>
        <w:t>Il existe 5 différences entre le régime contractuel et extracontractuel</w:t>
      </w:r>
      <w:r>
        <w:t> :</w:t>
      </w:r>
    </w:p>
    <w:p w14:paraId="2BD2B43C" w14:textId="5BE8E8C6" w:rsidR="00170796" w:rsidRDefault="00170796" w:rsidP="00170796"/>
    <w:p w14:paraId="1136EE4A" w14:textId="5EC2DCB5" w:rsidR="00170796" w:rsidRDefault="00170796" w:rsidP="00170796">
      <w:pPr>
        <w:pStyle w:val="ListParagraph"/>
        <w:numPr>
          <w:ilvl w:val="0"/>
          <w:numId w:val="2"/>
        </w:numPr>
      </w:pPr>
      <w:r>
        <w:t xml:space="preserve">L’application des présomptions légales </w:t>
      </w:r>
      <w:r w:rsidR="00723985" w:rsidRPr="00FD12A3">
        <w:rPr>
          <w:highlight w:val="yellow"/>
        </w:rPr>
        <w:t xml:space="preserve">seulement </w:t>
      </w:r>
      <w:r w:rsidRPr="00FD12A3">
        <w:rPr>
          <w:highlight w:val="yellow"/>
        </w:rPr>
        <w:t>en matière extracontractuelle</w:t>
      </w:r>
      <w:r>
        <w:t xml:space="preserve"> (</w:t>
      </w:r>
      <w:r w:rsidRPr="00170796">
        <w:rPr>
          <w:color w:val="F55C5E"/>
        </w:rPr>
        <w:t>arts. 1459-1469 C.c.Q.</w:t>
      </w:r>
      <w:r>
        <w:t>)</w:t>
      </w:r>
    </w:p>
    <w:p w14:paraId="1C2BF23E" w14:textId="1E3B1E71" w:rsidR="002671EA" w:rsidRDefault="002671EA" w:rsidP="002671EA"/>
    <w:p w14:paraId="5D0B9D21" w14:textId="097B0465" w:rsidR="008220E1" w:rsidRPr="008220E1" w:rsidRDefault="008220E1" w:rsidP="008220E1">
      <w:pPr>
        <w:pStyle w:val="ListParagraph"/>
        <w:numPr>
          <w:ilvl w:val="0"/>
          <w:numId w:val="6"/>
        </w:numPr>
        <w:rPr>
          <w:b/>
          <w:bCs/>
        </w:rPr>
      </w:pPr>
      <w:r w:rsidRPr="008220E1">
        <w:rPr>
          <w:b/>
          <w:bCs/>
        </w:rPr>
        <w:t>Régime contractuel</w:t>
      </w:r>
    </w:p>
    <w:p w14:paraId="4F6450A6" w14:textId="4F0B8F7D" w:rsidR="008220E1" w:rsidRDefault="008220E1" w:rsidP="008220E1"/>
    <w:p w14:paraId="24858142" w14:textId="5DDE2CCB" w:rsidR="008220E1" w:rsidRDefault="00892C75" w:rsidP="008220E1">
      <w:pPr>
        <w:pStyle w:val="ListParagraph"/>
        <w:numPr>
          <w:ilvl w:val="0"/>
          <w:numId w:val="3"/>
        </w:numPr>
      </w:pPr>
      <w:r>
        <w:t xml:space="preserve">Exemple : </w:t>
      </w:r>
      <w:r w:rsidR="008220E1">
        <w:t>si je vais voir le clocher et loue l</w:t>
      </w:r>
      <w:r>
        <w:t>e</w:t>
      </w:r>
      <w:r w:rsidR="008220E1">
        <w:t xml:space="preserve"> calèche, à ce moment-là, si l’animal me blesse, j’avais un contrôle. La tendance lourde des tribunaux est d’appliquer la présomption qu’en matière extracontractuelle alors en fonction du contrat de location, il ne pourra pas s’en prémunir</w:t>
      </w:r>
    </w:p>
    <w:p w14:paraId="098C973D" w14:textId="30BC8D7B" w:rsidR="008220E1" w:rsidRDefault="008220E1" w:rsidP="008220E1"/>
    <w:p w14:paraId="4C8C6C9E" w14:textId="5704CCE8" w:rsidR="008220E1" w:rsidRPr="008220E1" w:rsidRDefault="008220E1" w:rsidP="008220E1">
      <w:pPr>
        <w:pStyle w:val="ListParagraph"/>
        <w:numPr>
          <w:ilvl w:val="0"/>
          <w:numId w:val="6"/>
        </w:numPr>
        <w:rPr>
          <w:b/>
          <w:bCs/>
        </w:rPr>
      </w:pPr>
      <w:r w:rsidRPr="008220E1">
        <w:rPr>
          <w:b/>
          <w:bCs/>
        </w:rPr>
        <w:t>Régime extracontractuel</w:t>
      </w:r>
    </w:p>
    <w:p w14:paraId="5D0B29CD" w14:textId="77777777" w:rsidR="008220E1" w:rsidRDefault="008220E1" w:rsidP="002671EA"/>
    <w:p w14:paraId="6BB89FE2" w14:textId="7C9B4C8A" w:rsidR="006C65BF" w:rsidRDefault="002671EA" w:rsidP="002671EA">
      <w:pPr>
        <w:pStyle w:val="ListParagraph"/>
        <w:numPr>
          <w:ilvl w:val="0"/>
          <w:numId w:val="3"/>
        </w:numPr>
      </w:pPr>
      <w:r>
        <w:t>Exemple : me promène à Mtl et me fait frapper pour une calèche. J’ai un recours extracontractuel contre le propriétaire de l’animal (</w:t>
      </w:r>
      <w:r w:rsidRPr="002671EA">
        <w:rPr>
          <w:color w:val="F55C5E"/>
        </w:rPr>
        <w:t>art. 1466 C.c.Q.</w:t>
      </w:r>
      <w:r>
        <w:t>)</w:t>
      </w:r>
    </w:p>
    <w:p w14:paraId="069A5AEC" w14:textId="2657D4A0" w:rsidR="00723985" w:rsidRDefault="00723985" w:rsidP="002671EA">
      <w:pPr>
        <w:pStyle w:val="ListParagraph"/>
        <w:numPr>
          <w:ilvl w:val="0"/>
          <w:numId w:val="3"/>
        </w:numPr>
      </w:pPr>
      <w:r>
        <w:t xml:space="preserve">Plus payant </w:t>
      </w:r>
      <w:r w:rsidR="006C65BF">
        <w:t>lorsque c’est extracontractuel</w:t>
      </w:r>
    </w:p>
    <w:p w14:paraId="7569FBAD" w14:textId="77777777" w:rsidR="002671EA" w:rsidRDefault="002671EA" w:rsidP="002671EA"/>
    <w:p w14:paraId="422EFBCD" w14:textId="07A15C25" w:rsidR="00024B67" w:rsidRDefault="00EB4637" w:rsidP="006C65BF">
      <w:pPr>
        <w:pStyle w:val="ListParagraph"/>
        <w:numPr>
          <w:ilvl w:val="0"/>
          <w:numId w:val="2"/>
        </w:numPr>
      </w:pPr>
      <w:r>
        <w:t>Responsabilité pour autrui</w:t>
      </w:r>
    </w:p>
    <w:p w14:paraId="15C32E53" w14:textId="77777777" w:rsidR="00024B67" w:rsidRDefault="00024B67" w:rsidP="00024B67"/>
    <w:p w14:paraId="4A74E299" w14:textId="08F1AE6C" w:rsidR="006C65BF" w:rsidRDefault="00024B67" w:rsidP="00024B67">
      <w:pPr>
        <w:pStyle w:val="ListParagraph"/>
        <w:numPr>
          <w:ilvl w:val="0"/>
          <w:numId w:val="5"/>
        </w:numPr>
      </w:pPr>
      <w:r w:rsidRPr="00731CCC">
        <w:rPr>
          <w:b/>
          <w:bCs/>
        </w:rPr>
        <w:t>Régime contractuel</w:t>
      </w:r>
      <w:r>
        <w:rPr>
          <w:color w:val="F55C5E"/>
        </w:rPr>
        <w:t xml:space="preserve"> </w:t>
      </w:r>
      <w:r w:rsidRPr="00024B67">
        <w:rPr>
          <w:color w:val="000000" w:themeColor="text1"/>
        </w:rPr>
        <w:t>(</w:t>
      </w:r>
      <w:r w:rsidR="006C65BF" w:rsidRPr="00024B67">
        <w:rPr>
          <w:color w:val="F55C5E"/>
        </w:rPr>
        <w:t>art. 1458 C.c.Q</w:t>
      </w:r>
      <w:r>
        <w:t>)</w:t>
      </w:r>
      <w:r w:rsidR="006C65BF">
        <w:t xml:space="preserve"> : le débiteur qui confie l’exécution de son obligation à quelqu’un d’autre, </w:t>
      </w:r>
      <w:r w:rsidR="00123D4F">
        <w:t>n’</w:t>
      </w:r>
      <w:r w:rsidR="006C65BF">
        <w:t xml:space="preserve">en reste </w:t>
      </w:r>
      <w:r w:rsidR="00123D4F">
        <w:t xml:space="preserve">pas moins responsable vis-à-vis de son </w:t>
      </w:r>
      <w:r w:rsidR="006C65BF">
        <w:t>créancier</w:t>
      </w:r>
      <w:r w:rsidR="00123D4F">
        <w:t xml:space="preserve">. Il demeure responsable de la faute de ceux qu’il se substitue. </w:t>
      </w:r>
      <w:r w:rsidR="00371058">
        <w:t>Plus avantageux qu’extracontractuel.</w:t>
      </w:r>
      <w:r w:rsidR="003D53A9">
        <w:t xml:space="preserve"> (Donc nous avons un contrat avec une personne et on exécute le contrat par une autre personne, nous sommes responsables face au créancier ET des fautes du tier au contrat)</w:t>
      </w:r>
    </w:p>
    <w:p w14:paraId="79591C77" w14:textId="25D16CC2" w:rsidR="00123D4F" w:rsidRDefault="00123D4F" w:rsidP="00123D4F"/>
    <w:p w14:paraId="6E462398" w14:textId="241D30FC" w:rsidR="00123D4F" w:rsidRDefault="00123D4F" w:rsidP="00123D4F">
      <w:pPr>
        <w:ind w:firstLine="708"/>
      </w:pPr>
      <w:r w:rsidRPr="00123D4F">
        <w:rPr>
          <w:u w:val="single"/>
        </w:rPr>
        <w:t>Condition</w:t>
      </w:r>
      <w:r>
        <w:rPr>
          <w:u w:val="single"/>
        </w:rPr>
        <w:t>s</w:t>
      </w:r>
      <w:r w:rsidRPr="00123D4F">
        <w:rPr>
          <w:u w:val="single"/>
        </w:rPr>
        <w:t xml:space="preserve"> d’application</w:t>
      </w:r>
      <w:r>
        <w:t> :</w:t>
      </w:r>
    </w:p>
    <w:p w14:paraId="00DE7984" w14:textId="43F15FE8" w:rsidR="00123D4F" w:rsidRDefault="00123D4F" w:rsidP="00123D4F">
      <w:pPr>
        <w:pStyle w:val="ListParagraph"/>
        <w:numPr>
          <w:ilvl w:val="0"/>
          <w:numId w:val="3"/>
        </w:numPr>
      </w:pPr>
      <w:r>
        <w:t>Existence d’un contrat</w:t>
      </w:r>
    </w:p>
    <w:p w14:paraId="1DF91BB1" w14:textId="780E270D" w:rsidR="00123D4F" w:rsidRDefault="00123D4F" w:rsidP="00123D4F">
      <w:pPr>
        <w:pStyle w:val="ListParagraph"/>
        <w:numPr>
          <w:ilvl w:val="0"/>
          <w:numId w:val="3"/>
        </w:numPr>
      </w:pPr>
      <w:r>
        <w:t>Débiteur confie l’exécution de son obligation à un tiers</w:t>
      </w:r>
      <w:r w:rsidR="008E3F69">
        <w:t xml:space="preserve"> (sous-traitance entre dans confier)</w:t>
      </w:r>
    </w:p>
    <w:p w14:paraId="64953E53" w14:textId="70633283" w:rsidR="0072792B" w:rsidRDefault="00123D4F" w:rsidP="0072792B">
      <w:pPr>
        <w:pStyle w:val="ListParagraph"/>
        <w:numPr>
          <w:ilvl w:val="0"/>
          <w:numId w:val="3"/>
        </w:numPr>
      </w:pPr>
      <w:r>
        <w:t>Faute du tiers</w:t>
      </w:r>
    </w:p>
    <w:p w14:paraId="5AB269EB" w14:textId="64FBF287" w:rsidR="0072792B" w:rsidRDefault="0072792B" w:rsidP="0072792B">
      <w:pPr>
        <w:ind w:left="708"/>
      </w:pPr>
      <w:r w:rsidRPr="0072792B">
        <w:rPr>
          <w:u w:val="single"/>
        </w:rPr>
        <w:t>Avantages </w:t>
      </w:r>
      <w:r>
        <w:t>:</w:t>
      </w:r>
    </w:p>
    <w:p w14:paraId="30941DAE" w14:textId="5524E9EC" w:rsidR="0072792B" w:rsidRDefault="0072792B" w:rsidP="0072792B">
      <w:pPr>
        <w:pStyle w:val="ListParagraph"/>
        <w:numPr>
          <w:ilvl w:val="0"/>
          <w:numId w:val="3"/>
        </w:numPr>
      </w:pPr>
      <w:r>
        <w:t>Il n’est pas nécessaire de prouver un lien de préposition entre le débiteur et le tiers</w:t>
      </w:r>
    </w:p>
    <w:p w14:paraId="4F8E9FD4" w14:textId="14EF98CA" w:rsidR="00123D4F" w:rsidRPr="00723985" w:rsidRDefault="0072792B" w:rsidP="003D53A9">
      <w:pPr>
        <w:pStyle w:val="ListParagraph"/>
        <w:numPr>
          <w:ilvl w:val="0"/>
          <w:numId w:val="3"/>
        </w:numPr>
      </w:pPr>
      <w:r>
        <w:t>Il n’est pas nécessaire d’identifier le tiers</w:t>
      </w:r>
    </w:p>
    <w:p w14:paraId="13D9C48F" w14:textId="1A6033AF" w:rsidR="00731CCC" w:rsidRPr="00234F9E" w:rsidRDefault="00731CCC" w:rsidP="00137A7E">
      <w:pPr>
        <w:pStyle w:val="ListParagraph"/>
        <w:numPr>
          <w:ilvl w:val="0"/>
          <w:numId w:val="5"/>
        </w:numPr>
        <w:rPr>
          <w:b/>
          <w:bCs/>
        </w:rPr>
      </w:pPr>
      <w:r w:rsidRPr="00731CCC">
        <w:rPr>
          <w:b/>
          <w:bCs/>
        </w:rPr>
        <w:lastRenderedPageBreak/>
        <w:t>Régime extracontractuel</w:t>
      </w:r>
      <w:r w:rsidR="00EB4637">
        <w:rPr>
          <w:b/>
          <w:bCs/>
        </w:rPr>
        <w:t xml:space="preserve"> </w:t>
      </w:r>
      <w:r w:rsidR="00EB4637">
        <w:t>(</w:t>
      </w:r>
      <w:r w:rsidR="00EB4637" w:rsidRPr="00EB4637">
        <w:rPr>
          <w:color w:val="F55C5E"/>
        </w:rPr>
        <w:t>art. 1463 C.c.Q</w:t>
      </w:r>
      <w:r w:rsidR="00EB4637">
        <w:t>.) : le commettant est responsable du préjudice causé par la faute de son préposé</w:t>
      </w:r>
    </w:p>
    <w:p w14:paraId="77AB8F3F" w14:textId="77777777" w:rsidR="00234F9E" w:rsidRPr="00137A7E" w:rsidRDefault="00234F9E" w:rsidP="00234F9E">
      <w:pPr>
        <w:pStyle w:val="ListParagraph"/>
        <w:rPr>
          <w:b/>
          <w:bCs/>
        </w:rPr>
      </w:pPr>
    </w:p>
    <w:p w14:paraId="15ED6999" w14:textId="77777777" w:rsidR="00EB4637" w:rsidRDefault="00EB4637" w:rsidP="00EB4637">
      <w:pPr>
        <w:ind w:left="360" w:firstLine="360"/>
      </w:pPr>
      <w:r w:rsidRPr="00EB4637">
        <w:rPr>
          <w:u w:val="single"/>
        </w:rPr>
        <w:t>Conditions d’application</w:t>
      </w:r>
      <w:r>
        <w:t> :</w:t>
      </w:r>
    </w:p>
    <w:p w14:paraId="3B620BAF" w14:textId="77777777" w:rsidR="00EB4637" w:rsidRDefault="00EB4637" w:rsidP="00EB4637">
      <w:pPr>
        <w:pStyle w:val="ListParagraph"/>
        <w:numPr>
          <w:ilvl w:val="0"/>
          <w:numId w:val="3"/>
        </w:numPr>
      </w:pPr>
      <w:r>
        <w:t>La faute du préposé</w:t>
      </w:r>
    </w:p>
    <w:p w14:paraId="7E5980C7" w14:textId="77777777" w:rsidR="00EB4637" w:rsidRDefault="00EB4637" w:rsidP="00EB4637">
      <w:pPr>
        <w:pStyle w:val="ListParagraph"/>
        <w:numPr>
          <w:ilvl w:val="0"/>
          <w:numId w:val="3"/>
        </w:numPr>
      </w:pPr>
      <w:r>
        <w:t>Le lien de préposition entre le commettant et le préposé</w:t>
      </w:r>
    </w:p>
    <w:p w14:paraId="67321A4D" w14:textId="0827DFA2" w:rsidR="00EB4637" w:rsidRDefault="00EB4637" w:rsidP="00EB4637">
      <w:pPr>
        <w:pStyle w:val="ListParagraph"/>
        <w:numPr>
          <w:ilvl w:val="0"/>
          <w:numId w:val="3"/>
        </w:numPr>
      </w:pPr>
      <w:r>
        <w:t>La survenance de la faute du préposé dans l’exécution de ses fonctions</w:t>
      </w:r>
    </w:p>
    <w:p w14:paraId="04DE6868" w14:textId="785E55A2" w:rsidR="006C65BF" w:rsidRDefault="006C65BF" w:rsidP="00EB4637">
      <w:pPr>
        <w:ind w:left="360"/>
      </w:pPr>
    </w:p>
    <w:p w14:paraId="5608176B" w14:textId="4A22AD6A" w:rsidR="00137A7E" w:rsidRPr="00CA3E35" w:rsidRDefault="004F310A" w:rsidP="00137A7E">
      <w:pPr>
        <w:pStyle w:val="ListParagraph"/>
        <w:numPr>
          <w:ilvl w:val="0"/>
          <w:numId w:val="2"/>
        </w:numPr>
        <w:rPr>
          <w:i/>
          <w:iCs/>
        </w:rPr>
      </w:pPr>
      <w:r>
        <w:t xml:space="preserve">Obligations solidaires et </w:t>
      </w:r>
      <w:r w:rsidRPr="00CA3E35">
        <w:rPr>
          <w:i/>
          <w:iCs/>
        </w:rPr>
        <w:t>in solidum</w:t>
      </w:r>
    </w:p>
    <w:p w14:paraId="2F63981F" w14:textId="0321B3A8" w:rsidR="004F310A" w:rsidRDefault="004F310A" w:rsidP="004F310A"/>
    <w:p w14:paraId="4F743513" w14:textId="57C363F6" w:rsidR="004F310A" w:rsidRPr="00884E7A" w:rsidRDefault="004F310A" w:rsidP="00CF36CC">
      <w:pPr>
        <w:pStyle w:val="ListParagraph"/>
        <w:rPr>
          <w:b/>
          <w:bCs/>
        </w:rPr>
      </w:pPr>
      <w:r w:rsidRPr="00884E7A">
        <w:rPr>
          <w:b/>
          <w:bCs/>
        </w:rPr>
        <w:t>Solidarité</w:t>
      </w:r>
    </w:p>
    <w:p w14:paraId="7FF8348E" w14:textId="77777777" w:rsidR="00CF36CC" w:rsidRDefault="00CF36CC" w:rsidP="00CF36CC"/>
    <w:p w14:paraId="3574EEA0" w14:textId="1E08B486" w:rsidR="004F310A" w:rsidRPr="00CF36CC" w:rsidRDefault="004F310A" w:rsidP="00CF36CC">
      <w:pPr>
        <w:pStyle w:val="ListParagraph"/>
        <w:numPr>
          <w:ilvl w:val="0"/>
          <w:numId w:val="8"/>
        </w:numPr>
        <w:rPr>
          <w:color w:val="000000" w:themeColor="text1"/>
        </w:rPr>
      </w:pPr>
      <w:r>
        <w:t xml:space="preserve">Débiteurs suite à une inexécution contractuelle : </w:t>
      </w:r>
      <w:r w:rsidRPr="00CF36CC">
        <w:rPr>
          <w:color w:val="F55C5E"/>
        </w:rPr>
        <w:t>art. 1525 C.c.Q.</w:t>
      </w:r>
      <w:r w:rsidR="00CF36CC" w:rsidRPr="00CF36CC">
        <w:rPr>
          <w:color w:val="F55C5E"/>
        </w:rPr>
        <w:t xml:space="preserve"> </w:t>
      </w:r>
      <w:r w:rsidR="00CF36CC" w:rsidRPr="00CF36CC">
        <w:rPr>
          <w:color w:val="000000" w:themeColor="text1"/>
        </w:rPr>
        <w:t>solidarité non présumée</w:t>
      </w:r>
      <w:r w:rsidR="00CF36CC">
        <w:rPr>
          <w:color w:val="000000" w:themeColor="text1"/>
        </w:rPr>
        <w:t>, elle doit être stipulée (</w:t>
      </w:r>
      <w:r w:rsidR="00CF36CC" w:rsidRPr="00CF36CC">
        <w:rPr>
          <w:color w:val="F55C5E"/>
        </w:rPr>
        <w:t>al.1</w:t>
      </w:r>
      <w:r w:rsidR="00CF36CC">
        <w:rPr>
          <w:color w:val="000000" w:themeColor="text1"/>
        </w:rPr>
        <w:t>). Lorsque c’est pour une entreprise, il peut avoir une solidarité (</w:t>
      </w:r>
      <w:r w:rsidR="00CF36CC" w:rsidRPr="00CF36CC">
        <w:rPr>
          <w:color w:val="F55C5E"/>
        </w:rPr>
        <w:t>al.2</w:t>
      </w:r>
      <w:r w:rsidR="00CF36CC">
        <w:rPr>
          <w:color w:val="000000" w:themeColor="text1"/>
        </w:rPr>
        <w:t>)</w:t>
      </w:r>
    </w:p>
    <w:p w14:paraId="23B003CC" w14:textId="77777777" w:rsidR="00CF36CC" w:rsidRDefault="00CF36CC" w:rsidP="00CF36CC"/>
    <w:p w14:paraId="42F6E0EA" w14:textId="73688E58" w:rsidR="004F310A" w:rsidRPr="00CA3E35" w:rsidRDefault="004F310A" w:rsidP="004F310A">
      <w:pPr>
        <w:pStyle w:val="ListParagraph"/>
        <w:numPr>
          <w:ilvl w:val="0"/>
          <w:numId w:val="8"/>
        </w:numPr>
        <w:rPr>
          <w:color w:val="000000" w:themeColor="text1"/>
        </w:rPr>
      </w:pPr>
      <w:r>
        <w:t xml:space="preserve">Débiteurs d'une faute extracontractuelle qui cause un préjudice unique : </w:t>
      </w:r>
      <w:r w:rsidRPr="004F310A">
        <w:rPr>
          <w:color w:val="F55C5E"/>
        </w:rPr>
        <w:t>art.1526</w:t>
      </w:r>
      <w:r w:rsidR="00CA3E35">
        <w:rPr>
          <w:color w:val="F55C5E"/>
        </w:rPr>
        <w:t xml:space="preserve"> </w:t>
      </w:r>
      <w:r w:rsidRPr="004F310A">
        <w:rPr>
          <w:color w:val="F55C5E"/>
        </w:rPr>
        <w:t>C.c.Q.</w:t>
      </w:r>
      <w:r w:rsidR="00AB1F42">
        <w:rPr>
          <w:color w:val="F55C5E"/>
        </w:rPr>
        <w:t xml:space="preserve"> (solidarité parfaite)</w:t>
      </w:r>
      <w:r w:rsidR="00CA3E35">
        <w:rPr>
          <w:color w:val="F55C5E"/>
        </w:rPr>
        <w:t xml:space="preserve"> </w:t>
      </w:r>
      <w:r w:rsidR="00CA3E35" w:rsidRPr="00CA3E35">
        <w:rPr>
          <w:color w:val="000000" w:themeColor="text1"/>
        </w:rPr>
        <w:t>plus avantageuse</w:t>
      </w:r>
      <w:r w:rsidR="00CF36CC">
        <w:rPr>
          <w:color w:val="000000" w:themeColor="text1"/>
        </w:rPr>
        <w:t xml:space="preserve"> puisque c’est présumé</w:t>
      </w:r>
      <w:r w:rsidR="00521D5B">
        <w:rPr>
          <w:color w:val="000000" w:themeColor="text1"/>
        </w:rPr>
        <w:t>.</w:t>
      </w:r>
    </w:p>
    <w:p w14:paraId="27DCEF9A" w14:textId="77777777" w:rsidR="00884E7A" w:rsidRDefault="00884E7A" w:rsidP="004F310A"/>
    <w:p w14:paraId="141F392B" w14:textId="61E0B3BF" w:rsidR="004F310A" w:rsidRDefault="004F310A" w:rsidP="00884E7A">
      <w:pPr>
        <w:ind w:firstLine="360"/>
        <w:rPr>
          <w:u w:val="single"/>
        </w:rPr>
      </w:pPr>
      <w:r w:rsidRPr="00884E7A">
        <w:rPr>
          <w:u w:val="single"/>
        </w:rPr>
        <w:t>Effets</w:t>
      </w:r>
    </w:p>
    <w:p w14:paraId="045C8733" w14:textId="77777777" w:rsidR="00884E7A" w:rsidRPr="00884E7A" w:rsidRDefault="00884E7A" w:rsidP="00884E7A">
      <w:pPr>
        <w:rPr>
          <w:u w:val="single"/>
        </w:rPr>
      </w:pPr>
    </w:p>
    <w:p w14:paraId="0B68E032" w14:textId="77777777" w:rsidR="00884E7A" w:rsidRDefault="00884E7A" w:rsidP="004F310A">
      <w:pPr>
        <w:pStyle w:val="ListParagraph"/>
        <w:numPr>
          <w:ilvl w:val="0"/>
          <w:numId w:val="9"/>
        </w:numPr>
      </w:pPr>
      <w:r>
        <w:t>E</w:t>
      </w:r>
      <w:r w:rsidR="004F310A">
        <w:t>ffet principal : le débiteur ne peut plaider le bénéfice de division (</w:t>
      </w:r>
      <w:r w:rsidR="004F310A" w:rsidRPr="00884E7A">
        <w:rPr>
          <w:color w:val="F55C5E"/>
        </w:rPr>
        <w:t>art. 1528 C.c.Q.</w:t>
      </w:r>
      <w:r w:rsidR="004F310A">
        <w:t>)</w:t>
      </w:r>
    </w:p>
    <w:p w14:paraId="7FC449FB" w14:textId="0960A405" w:rsidR="004F310A" w:rsidRDefault="00884E7A" w:rsidP="004F310A">
      <w:pPr>
        <w:pStyle w:val="ListParagraph"/>
        <w:numPr>
          <w:ilvl w:val="0"/>
          <w:numId w:val="9"/>
        </w:numPr>
      </w:pPr>
      <w:r>
        <w:t>E</w:t>
      </w:r>
      <w:r w:rsidR="004F310A">
        <w:t>ffets secondaires : impact à l'égard de tous les codébiteurs de la mise en demeure</w:t>
      </w:r>
      <w:r w:rsidR="00CF36CC">
        <w:t>, si l’un reçoit une mise en demeure, ils sont tous mis en demeure</w:t>
      </w:r>
      <w:r>
        <w:t xml:space="preserve"> </w:t>
      </w:r>
      <w:r w:rsidR="004F310A">
        <w:t>(</w:t>
      </w:r>
      <w:r w:rsidR="004F310A" w:rsidRPr="00884E7A">
        <w:rPr>
          <w:color w:val="F55C5E"/>
        </w:rPr>
        <w:t>art. 1599 C.c.Q.</w:t>
      </w:r>
      <w:r w:rsidR="004F310A">
        <w:t xml:space="preserve">) et de l'interruption de la prescription </w:t>
      </w:r>
      <w:r w:rsidR="00CF36CC">
        <w:t xml:space="preserve">à l’égard de tous les débiteurs </w:t>
      </w:r>
      <w:r w:rsidR="004F310A">
        <w:t>(</w:t>
      </w:r>
      <w:r w:rsidR="004F310A" w:rsidRPr="00884E7A">
        <w:rPr>
          <w:color w:val="F55C5E"/>
        </w:rPr>
        <w:t>art. 2900 C.c.Q.</w:t>
      </w:r>
      <w:r w:rsidR="004F310A">
        <w:t>)</w:t>
      </w:r>
    </w:p>
    <w:p w14:paraId="7319A01A" w14:textId="77777777" w:rsidR="00884E7A" w:rsidRDefault="00884E7A" w:rsidP="004F310A"/>
    <w:p w14:paraId="6A53AF41" w14:textId="5B8100EC" w:rsidR="00902C2F" w:rsidRPr="00902C2F" w:rsidRDefault="00884E7A" w:rsidP="00902C2F">
      <w:pPr>
        <w:pStyle w:val="ListParagraph"/>
        <w:numPr>
          <w:ilvl w:val="0"/>
          <w:numId w:val="7"/>
        </w:numPr>
        <w:rPr>
          <w:b/>
          <w:bCs/>
        </w:rPr>
      </w:pPr>
      <w:r w:rsidRPr="00902C2F">
        <w:rPr>
          <w:b/>
          <w:bCs/>
          <w:i/>
          <w:iCs/>
        </w:rPr>
        <w:t>In solidum</w:t>
      </w:r>
      <w:r w:rsidR="004F310A" w:rsidRPr="00902C2F">
        <w:rPr>
          <w:b/>
          <w:bCs/>
        </w:rPr>
        <w:t xml:space="preserve"> (solidarité imparfaite)</w:t>
      </w:r>
    </w:p>
    <w:p w14:paraId="17562F8D" w14:textId="77777777" w:rsidR="006071C1" w:rsidRDefault="006071C1" w:rsidP="004F310A"/>
    <w:p w14:paraId="28572DC7" w14:textId="603891CB" w:rsidR="004F310A" w:rsidRDefault="004F310A" w:rsidP="006071C1">
      <w:pPr>
        <w:ind w:firstLine="360"/>
        <w:rPr>
          <w:u w:val="single"/>
        </w:rPr>
      </w:pPr>
      <w:r w:rsidRPr="006071C1">
        <w:rPr>
          <w:u w:val="single"/>
        </w:rPr>
        <w:t>Hypothèses</w:t>
      </w:r>
    </w:p>
    <w:p w14:paraId="78693859" w14:textId="77777777" w:rsidR="005544EF" w:rsidRPr="006071C1" w:rsidRDefault="005544EF" w:rsidP="006071C1">
      <w:pPr>
        <w:ind w:firstLine="360"/>
        <w:rPr>
          <w:u w:val="single"/>
        </w:rPr>
      </w:pPr>
    </w:p>
    <w:p w14:paraId="4885B982" w14:textId="77777777" w:rsidR="00F41D43" w:rsidRDefault="006071C1" w:rsidP="004F310A">
      <w:pPr>
        <w:pStyle w:val="ListParagraph"/>
        <w:numPr>
          <w:ilvl w:val="0"/>
          <w:numId w:val="10"/>
        </w:numPr>
      </w:pPr>
      <w:r>
        <w:t>L</w:t>
      </w:r>
      <w:r w:rsidR="004F310A">
        <w:t>orsque les débiteurs sont tenus envers le même créancier mais en vertu d'une responsabilité de source différente. Faute contractuelle pour l’un et extracontractuelle pour l’autre</w:t>
      </w:r>
    </w:p>
    <w:p w14:paraId="675062DB" w14:textId="4D2A8DA9" w:rsidR="004F310A" w:rsidRDefault="00F41D43" w:rsidP="004F310A">
      <w:pPr>
        <w:pStyle w:val="ListParagraph"/>
        <w:numPr>
          <w:ilvl w:val="0"/>
          <w:numId w:val="10"/>
        </w:numPr>
      </w:pPr>
      <w:r>
        <w:t>L</w:t>
      </w:r>
      <w:r w:rsidR="004F310A">
        <w:t>orsque les débiteurs extracontractuels sont tenus en vertu de régimes différents (ex : un en vertu d’un régime basé sur la faute, l’autre basé sur la présomption de responsabilité)</w:t>
      </w:r>
    </w:p>
    <w:p w14:paraId="3C22C685" w14:textId="5345023A" w:rsidR="00EF7534" w:rsidRDefault="00EF7534" w:rsidP="004F310A"/>
    <w:p w14:paraId="19735685" w14:textId="1157BE91" w:rsidR="008420FA" w:rsidRDefault="008420FA" w:rsidP="004F310A">
      <w:r>
        <w:t xml:space="preserve">L’obligation </w:t>
      </w:r>
      <w:r w:rsidRPr="00AB1F42">
        <w:rPr>
          <w:i/>
          <w:iCs/>
        </w:rPr>
        <w:t>in solidum</w:t>
      </w:r>
      <w:r>
        <w:t xml:space="preserve"> s’applique uniquement si aucun cas de solidarité parfaite ou d’individualité ne trouve application. Les deux hypothèses évoquées par le professeur Deslauriers peuvent parfois générer un cas de solidarité parfaite, ce qui empêche alors de recourir à l’obligation </w:t>
      </w:r>
      <w:r w:rsidRPr="00AB1F42">
        <w:rPr>
          <w:i/>
          <w:iCs/>
        </w:rPr>
        <w:t>in solidum</w:t>
      </w:r>
      <w:r>
        <w:t xml:space="preserve">. Par ailleurs, d’autres cas d’obligation </w:t>
      </w:r>
      <w:r w:rsidRPr="002E13CB">
        <w:rPr>
          <w:i/>
          <w:iCs/>
        </w:rPr>
        <w:t>in solidum</w:t>
      </w:r>
      <w:r>
        <w:t xml:space="preserve"> existent en sus des deux hypothèses évoquées. Il ne s’agit pas d’une liste limitative.</w:t>
      </w:r>
    </w:p>
    <w:p w14:paraId="1CAFE120" w14:textId="77777777" w:rsidR="008420FA" w:rsidRDefault="008420FA" w:rsidP="004F310A"/>
    <w:p w14:paraId="11ED483F" w14:textId="294E4E68" w:rsidR="004F310A" w:rsidRPr="00EF7534" w:rsidRDefault="004F310A" w:rsidP="00EF7534">
      <w:pPr>
        <w:ind w:firstLine="360"/>
        <w:rPr>
          <w:u w:val="single"/>
        </w:rPr>
      </w:pPr>
      <w:r w:rsidRPr="00EF7534">
        <w:rPr>
          <w:u w:val="single"/>
        </w:rPr>
        <w:t>Effets</w:t>
      </w:r>
    </w:p>
    <w:p w14:paraId="32026233" w14:textId="77777777" w:rsidR="00A235DE" w:rsidRDefault="00A235DE" w:rsidP="004F310A"/>
    <w:p w14:paraId="6FD6F53D" w14:textId="77777777" w:rsidR="00A235DE" w:rsidRDefault="00A235DE" w:rsidP="004F310A">
      <w:pPr>
        <w:pStyle w:val="ListParagraph"/>
        <w:numPr>
          <w:ilvl w:val="0"/>
          <w:numId w:val="10"/>
        </w:numPr>
      </w:pPr>
      <w:r>
        <w:t>S</w:t>
      </w:r>
      <w:r w:rsidR="004F310A">
        <w:t>eul l'effet principal est produit : le débiteur ne peut plaider le bénéfice de division (</w:t>
      </w:r>
      <w:r w:rsidR="004F310A" w:rsidRPr="00A235DE">
        <w:rPr>
          <w:color w:val="F55C5E"/>
        </w:rPr>
        <w:t>art. 1528 C.c.Q.</w:t>
      </w:r>
      <w:r w:rsidR="004F310A">
        <w:t>)</w:t>
      </w:r>
    </w:p>
    <w:p w14:paraId="603FE9BB" w14:textId="43D9C01D" w:rsidR="0051252D" w:rsidRPr="003D53A9" w:rsidRDefault="00A235DE" w:rsidP="0051252D">
      <w:pPr>
        <w:pStyle w:val="ListParagraph"/>
        <w:numPr>
          <w:ilvl w:val="0"/>
          <w:numId w:val="10"/>
        </w:numPr>
      </w:pPr>
      <w:r>
        <w:lastRenderedPageBreak/>
        <w:t>L</w:t>
      </w:r>
      <w:r w:rsidR="004F310A">
        <w:t xml:space="preserve">'obligation </w:t>
      </w:r>
      <w:r w:rsidR="004F310A" w:rsidRPr="008820E9">
        <w:rPr>
          <w:i/>
          <w:iCs/>
        </w:rPr>
        <w:t>in solidum</w:t>
      </w:r>
      <w:r w:rsidR="004F310A">
        <w:t xml:space="preserve"> </w:t>
      </w:r>
      <w:r w:rsidR="004F310A" w:rsidRPr="00A235DE">
        <w:rPr>
          <w:b/>
          <w:bCs/>
        </w:rPr>
        <w:t>ne produit pas</w:t>
      </w:r>
      <w:r w:rsidR="004F310A">
        <w:t xml:space="preserve"> d'effets secondaires (absence de représentation). Il n’y a pas d’interruption de prescription. Il faut transmettre une mise en demeure à chacun des débiteurs de l’obligation </w:t>
      </w:r>
      <w:r w:rsidR="004F310A" w:rsidRPr="00566265">
        <w:rPr>
          <w:i/>
          <w:iCs/>
        </w:rPr>
        <w:t xml:space="preserve">in </w:t>
      </w:r>
      <w:proofErr w:type="spellStart"/>
      <w:r w:rsidR="004F310A" w:rsidRPr="00566265">
        <w:rPr>
          <w:i/>
          <w:iCs/>
        </w:rPr>
        <w:t>solidum</w:t>
      </w:r>
      <w:proofErr w:type="spellEnd"/>
      <w:r w:rsidR="00566265">
        <w:rPr>
          <w:i/>
          <w:iCs/>
        </w:rPr>
        <w:t>.</w:t>
      </w:r>
    </w:p>
    <w:p w14:paraId="784E59F2" w14:textId="77777777" w:rsidR="003D53A9" w:rsidRPr="003D53A9" w:rsidRDefault="003D53A9" w:rsidP="003D53A9">
      <w:pPr>
        <w:pStyle w:val="ListParagraph"/>
      </w:pPr>
    </w:p>
    <w:p w14:paraId="19A1EF0C" w14:textId="288487F6" w:rsidR="003D53A9" w:rsidRPr="00466B2F" w:rsidRDefault="003D53A9" w:rsidP="0051252D">
      <w:pPr>
        <w:pStyle w:val="ListParagraph"/>
        <w:numPr>
          <w:ilvl w:val="0"/>
          <w:numId w:val="10"/>
        </w:numPr>
      </w:pPr>
      <w:r>
        <w:t xml:space="preserve">ATTENTION : </w:t>
      </w:r>
      <w:r w:rsidRPr="003D53A9">
        <w:rPr>
          <w:i/>
          <w:iCs/>
        </w:rPr>
        <w:t xml:space="preserve">in </w:t>
      </w:r>
      <w:proofErr w:type="spellStart"/>
      <w:r w:rsidRPr="003D53A9">
        <w:rPr>
          <w:i/>
          <w:iCs/>
        </w:rPr>
        <w:t>solidum</w:t>
      </w:r>
      <w:proofErr w:type="spellEnd"/>
      <w:r>
        <w:t xml:space="preserve"> n’a pas les effets secondaires de la solidarité, donc si on envoie une mise en demeure à une personne </w:t>
      </w:r>
      <w:r w:rsidRPr="003D53A9">
        <w:rPr>
          <w:i/>
          <w:iCs/>
        </w:rPr>
        <w:t xml:space="preserve">in </w:t>
      </w:r>
      <w:proofErr w:type="spellStart"/>
      <w:r w:rsidRPr="003D53A9">
        <w:rPr>
          <w:i/>
          <w:iCs/>
        </w:rPr>
        <w:t>solidum</w:t>
      </w:r>
      <w:proofErr w:type="spellEnd"/>
      <w:r>
        <w:t>, elle n’est pas envoyée à toute le monde! Donc si on</w:t>
      </w:r>
      <w:r w:rsidR="009D5762">
        <w:t xml:space="preserve"> </w:t>
      </w:r>
      <w:r>
        <w:t>d</w:t>
      </w:r>
      <w:r w:rsidR="009D5762">
        <w:t>éci</w:t>
      </w:r>
      <w:r>
        <w:t xml:space="preserve">de de poursuivre UNE personne </w:t>
      </w:r>
      <w:r>
        <w:rPr>
          <w:i/>
          <w:iCs/>
        </w:rPr>
        <w:t xml:space="preserve">in </w:t>
      </w:r>
      <w:proofErr w:type="spellStart"/>
      <w:r>
        <w:rPr>
          <w:i/>
          <w:iCs/>
        </w:rPr>
        <w:t>solidum</w:t>
      </w:r>
      <w:proofErr w:type="spellEnd"/>
      <w:r>
        <w:t xml:space="preserve"> elle n’</w:t>
      </w:r>
      <w:r w:rsidR="00A645B4">
        <w:t>interrompe</w:t>
      </w:r>
      <w:r>
        <w:t xml:space="preserve"> pas la prescription</w:t>
      </w:r>
      <w:r w:rsidR="00A645B4">
        <w:t xml:space="preserve">, donc </w:t>
      </w:r>
      <w:r w:rsidR="00A645B4" w:rsidRPr="00A645B4">
        <w:rPr>
          <w:color w:val="FF0000"/>
        </w:rPr>
        <w:t>l’article 2900</w:t>
      </w:r>
      <w:r w:rsidR="00A645B4">
        <w:t xml:space="preserve"> ne s’applique pas pour les débiteurs </w:t>
      </w:r>
      <w:r w:rsidR="00A645B4">
        <w:rPr>
          <w:i/>
          <w:iCs/>
        </w:rPr>
        <w:t xml:space="preserve">in </w:t>
      </w:r>
      <w:proofErr w:type="spellStart"/>
      <w:r w:rsidR="00A645B4">
        <w:rPr>
          <w:i/>
          <w:iCs/>
        </w:rPr>
        <w:t>solidum</w:t>
      </w:r>
      <w:proofErr w:type="spellEnd"/>
      <w:r w:rsidR="00A645B4">
        <w:rPr>
          <w:i/>
          <w:iCs/>
        </w:rPr>
        <w:t xml:space="preserve">. </w:t>
      </w:r>
    </w:p>
    <w:p w14:paraId="13ABE2CB" w14:textId="77777777" w:rsidR="00466B2F" w:rsidRPr="00D57CB8" w:rsidRDefault="00466B2F" w:rsidP="00466B2F"/>
    <w:p w14:paraId="3EF5E303" w14:textId="05189F19" w:rsidR="004F310A" w:rsidRDefault="0051252D" w:rsidP="0051252D">
      <w:pPr>
        <w:pStyle w:val="ListParagraph"/>
        <w:numPr>
          <w:ilvl w:val="0"/>
          <w:numId w:val="2"/>
        </w:numPr>
      </w:pPr>
      <w:r>
        <w:t>L’étendue du préjudice</w:t>
      </w:r>
    </w:p>
    <w:p w14:paraId="1C9C27C6" w14:textId="026FE305" w:rsidR="0051252D" w:rsidRDefault="0051252D" w:rsidP="0051252D"/>
    <w:p w14:paraId="1964EEF1" w14:textId="2AC7822B" w:rsidR="006137FE" w:rsidRPr="006137FE" w:rsidRDefault="006137FE" w:rsidP="006137FE">
      <w:pPr>
        <w:pStyle w:val="ListParagraph"/>
        <w:numPr>
          <w:ilvl w:val="0"/>
          <w:numId w:val="12"/>
        </w:numPr>
        <w:rPr>
          <w:b/>
          <w:bCs/>
        </w:rPr>
      </w:pPr>
      <w:r w:rsidRPr="006137FE">
        <w:rPr>
          <w:b/>
          <w:bCs/>
        </w:rPr>
        <w:t>Régime extracontractuel</w:t>
      </w:r>
    </w:p>
    <w:p w14:paraId="410C9CFC" w14:textId="77777777" w:rsidR="006137FE" w:rsidRDefault="006137FE" w:rsidP="0051252D"/>
    <w:p w14:paraId="22892907" w14:textId="629B85BA" w:rsidR="0051252D" w:rsidRDefault="006137FE" w:rsidP="0051252D">
      <w:r w:rsidRPr="006137FE">
        <w:rPr>
          <w:color w:val="F55C5E"/>
        </w:rPr>
        <w:t>Art. 1607 C.c.Q. </w:t>
      </w:r>
      <w:r>
        <w:t>:</w:t>
      </w:r>
    </w:p>
    <w:p w14:paraId="03662E01" w14:textId="47B5059C" w:rsidR="006137FE" w:rsidRDefault="006137FE" w:rsidP="0051252D">
      <w:r w:rsidRPr="006137FE">
        <w:t xml:space="preserve">Le créancier a droit à des dommages-intérêts en réparation du préjudice, qu’il soit corporel, moral ou matériel, que lui cause le défaut du débiteur et qui en est une </w:t>
      </w:r>
      <w:r w:rsidRPr="00F4355C">
        <w:rPr>
          <w:u w:val="single"/>
        </w:rPr>
        <w:t>suite immédiate et directe</w:t>
      </w:r>
      <w:r w:rsidRPr="006137FE">
        <w:t>.</w:t>
      </w:r>
    </w:p>
    <w:p w14:paraId="06A50FC9" w14:textId="055B4AE5" w:rsidR="002066E0" w:rsidRDefault="002066E0" w:rsidP="0051252D"/>
    <w:p w14:paraId="1A54E180" w14:textId="0576F1B3" w:rsidR="002066E0" w:rsidRDefault="002066E0" w:rsidP="002066E0">
      <w:pPr>
        <w:pStyle w:val="ListParagraph"/>
        <w:numPr>
          <w:ilvl w:val="0"/>
          <w:numId w:val="10"/>
        </w:numPr>
      </w:pPr>
      <w:r>
        <w:t>Plus intéressant</w:t>
      </w:r>
    </w:p>
    <w:p w14:paraId="3F231407" w14:textId="56802B6B" w:rsidR="0006559C" w:rsidRDefault="0006559C" w:rsidP="002066E0">
      <w:pPr>
        <w:pStyle w:val="ListParagraph"/>
        <w:numPr>
          <w:ilvl w:val="0"/>
          <w:numId w:val="10"/>
        </w:numPr>
      </w:pPr>
      <w:r>
        <w:t xml:space="preserve">Exemple : Je vois l’un de mes ennemis </w:t>
      </w:r>
      <w:r w:rsidR="00E40918">
        <w:t xml:space="preserve">et je le vois exploser mon véhicule. </w:t>
      </w:r>
      <w:r w:rsidR="00FB1EAC">
        <w:t>J’ai le droit de réclamer tout ce qui est une suite immédiate et directe, cela inclus le table</w:t>
      </w:r>
      <w:r w:rsidR="00D2792E">
        <w:t>au dans le véhicule.</w:t>
      </w:r>
    </w:p>
    <w:p w14:paraId="4C9B90FC" w14:textId="77777777" w:rsidR="00FB1EAC" w:rsidRDefault="00FB1EAC" w:rsidP="0051252D"/>
    <w:p w14:paraId="0FC92D68" w14:textId="08EFD192" w:rsidR="00F4355C" w:rsidRPr="00F4355C" w:rsidRDefault="00F4355C" w:rsidP="00F4355C">
      <w:pPr>
        <w:pStyle w:val="ListParagraph"/>
        <w:numPr>
          <w:ilvl w:val="0"/>
          <w:numId w:val="12"/>
        </w:numPr>
        <w:rPr>
          <w:b/>
          <w:bCs/>
        </w:rPr>
      </w:pPr>
      <w:r w:rsidRPr="00F4355C">
        <w:rPr>
          <w:b/>
          <w:bCs/>
        </w:rPr>
        <w:t>Régime contractuel</w:t>
      </w:r>
    </w:p>
    <w:p w14:paraId="73477AFE" w14:textId="33317812" w:rsidR="00F4355C" w:rsidRDefault="00F4355C" w:rsidP="00F4355C"/>
    <w:p w14:paraId="659CE8D7" w14:textId="77777777" w:rsidR="002066E0" w:rsidRDefault="002066E0" w:rsidP="00F4355C">
      <w:r w:rsidRPr="002066E0">
        <w:rPr>
          <w:color w:val="F55C5E"/>
        </w:rPr>
        <w:t>Art. 1613 C.c.Q. </w:t>
      </w:r>
      <w:r>
        <w:t>:</w:t>
      </w:r>
    </w:p>
    <w:p w14:paraId="0BD81ED6" w14:textId="4F9D7FC8" w:rsidR="00F4355C" w:rsidRDefault="002066E0" w:rsidP="00F4355C">
      <w:r w:rsidRPr="002066E0">
        <w:t xml:space="preserve">En matière contractuelle, le débiteur </w:t>
      </w:r>
      <w:r w:rsidRPr="002066E0">
        <w:rPr>
          <w:u w:val="single"/>
        </w:rPr>
        <w:t>n’est tenu que des dommages-intérêts qui ont été prévus ou qu’on a pu prévoir au moment où l’obligation a été contractée</w:t>
      </w:r>
      <w:r w:rsidRPr="002066E0">
        <w:t xml:space="preserve">, lorsque ce n’est point par sa faute intentionnelle ou par sa faute lourde qu’elle n’est point exécutée; </w:t>
      </w:r>
      <w:r w:rsidRPr="00B4759A">
        <w:rPr>
          <w:u w:val="single"/>
        </w:rPr>
        <w:t>même alors</w:t>
      </w:r>
      <w:r w:rsidRPr="002066E0">
        <w:t>, les dommages-intérêts ne comprennent que ce qui est une suite immédiate et directe de l’inexécution.</w:t>
      </w:r>
    </w:p>
    <w:p w14:paraId="683C0946" w14:textId="623CB8AA" w:rsidR="002066E0" w:rsidRDefault="002066E0" w:rsidP="00F4355C"/>
    <w:p w14:paraId="4E8543B9" w14:textId="561BC1CA" w:rsidR="002066E0" w:rsidRDefault="002066E0" w:rsidP="002066E0">
      <w:pPr>
        <w:pStyle w:val="ListParagraph"/>
        <w:numPr>
          <w:ilvl w:val="0"/>
          <w:numId w:val="10"/>
        </w:numPr>
      </w:pPr>
      <w:r>
        <w:t xml:space="preserve">Exemple : </w:t>
      </w:r>
      <w:r w:rsidR="00437EAE">
        <w:t>stationne véhicule dans un stationnement payant. On a mis un tableau de grande valeur dans</w:t>
      </w:r>
      <w:r w:rsidR="00276D70">
        <w:t xml:space="preserve"> le coffre du</w:t>
      </w:r>
      <w:r w:rsidR="00437EAE">
        <w:t xml:space="preserve"> véhicule et je me fait voler</w:t>
      </w:r>
      <w:r w:rsidR="00276D70">
        <w:t xml:space="preserve"> mon véhicule</w:t>
      </w:r>
      <w:r w:rsidR="00437EAE">
        <w:t xml:space="preserve"> Je poursuis le propriétaire du stationnement qui a commis une faute</w:t>
      </w:r>
      <w:r w:rsidR="00276D70">
        <w:t xml:space="preserve">. Je pourra </w:t>
      </w:r>
      <w:r w:rsidR="0082375E">
        <w:t>réclamer la valeur</w:t>
      </w:r>
      <w:r w:rsidR="00C417BC">
        <w:t xml:space="preserve"> de l’auto, des CD</w:t>
      </w:r>
      <w:r w:rsidR="00437EAE">
        <w:t xml:space="preserve">, mais comme le tableau n’est pas normalement prévisible, je ne pourrais pas </w:t>
      </w:r>
      <w:r w:rsidR="00DF3D6E">
        <w:t>réclamer ce montant-là.</w:t>
      </w:r>
    </w:p>
    <w:p w14:paraId="01E643A5" w14:textId="2BCEA040" w:rsidR="00A51B27" w:rsidRDefault="00A51B27" w:rsidP="002066E0">
      <w:pPr>
        <w:pStyle w:val="ListParagraph"/>
        <w:numPr>
          <w:ilvl w:val="0"/>
          <w:numId w:val="10"/>
        </w:numPr>
      </w:pPr>
      <w:r w:rsidRPr="00A51B27">
        <w:rPr>
          <w:i/>
          <w:iCs/>
        </w:rPr>
        <w:t>In fine</w:t>
      </w:r>
      <w:r>
        <w:t xml:space="preserve"> : si </w:t>
      </w:r>
      <w:r w:rsidR="00E55165">
        <w:t>le débiteur contractuel a</w:t>
      </w:r>
      <w:r>
        <w:t xml:space="preserve"> commis une faute lourde </w:t>
      </w:r>
      <w:r w:rsidR="00E55165">
        <w:t xml:space="preserve">ou une faute intentionnelle </w:t>
      </w:r>
      <w:r>
        <w:t>telle qu’avoir laissée les clés dans le véhicule</w:t>
      </w:r>
      <w:r w:rsidR="00E55165">
        <w:t xml:space="preserve"> à un endroit </w:t>
      </w:r>
      <w:r w:rsidR="004E2634">
        <w:t xml:space="preserve">sans aucune surveillance. On oublie le prévisible et on suit la même idée qu’au régime extracontractuel. </w:t>
      </w:r>
    </w:p>
    <w:p w14:paraId="30E67BE3" w14:textId="6D3C77C7" w:rsidR="00DE5882" w:rsidRDefault="00DE5882" w:rsidP="00DE5882"/>
    <w:p w14:paraId="43CC040E" w14:textId="06F1A52D" w:rsidR="00DE5882" w:rsidRDefault="0055119A" w:rsidP="00DE5882">
      <w:pPr>
        <w:pStyle w:val="ListParagraph"/>
        <w:numPr>
          <w:ilvl w:val="0"/>
          <w:numId w:val="2"/>
        </w:numPr>
      </w:pPr>
      <w:r>
        <w:t xml:space="preserve">Les clauses </w:t>
      </w:r>
      <w:r w:rsidR="00D218F4">
        <w:t>limitatives de responsabilité</w:t>
      </w:r>
    </w:p>
    <w:p w14:paraId="50CB88DE" w14:textId="1EFB0B73" w:rsidR="0055119A" w:rsidRDefault="0055119A" w:rsidP="0055119A"/>
    <w:p w14:paraId="1FF2FAFE" w14:textId="7DEFCCAA" w:rsidR="0055119A" w:rsidRPr="00481CEE" w:rsidRDefault="00481CEE" w:rsidP="00481CEE">
      <w:pPr>
        <w:pStyle w:val="ListParagraph"/>
        <w:numPr>
          <w:ilvl w:val="0"/>
          <w:numId w:val="14"/>
        </w:numPr>
        <w:rPr>
          <w:b/>
          <w:bCs/>
        </w:rPr>
      </w:pPr>
      <w:r w:rsidRPr="00481CEE">
        <w:rPr>
          <w:b/>
          <w:bCs/>
        </w:rPr>
        <w:t>Régime contractuelle</w:t>
      </w:r>
    </w:p>
    <w:p w14:paraId="738B84CC" w14:textId="1B49FBA5" w:rsidR="00481CEE" w:rsidRDefault="00481CEE" w:rsidP="00481CEE"/>
    <w:p w14:paraId="6710D25F" w14:textId="2D2C1395" w:rsidR="001A50D6" w:rsidRDefault="00481CEE" w:rsidP="00481CEE">
      <w:pPr>
        <w:pStyle w:val="ListParagraph"/>
        <w:numPr>
          <w:ilvl w:val="0"/>
          <w:numId w:val="10"/>
        </w:numPr>
      </w:pPr>
      <w:r>
        <w:t xml:space="preserve">Clause jugée </w:t>
      </w:r>
      <w:r w:rsidR="00377338">
        <w:t>valide au nom de la liberté contractuelle</w:t>
      </w:r>
    </w:p>
    <w:p w14:paraId="0047B2E6" w14:textId="51562D98" w:rsidR="00481CEE" w:rsidRDefault="00377338" w:rsidP="00481CEE">
      <w:pPr>
        <w:pStyle w:val="ListParagraph"/>
        <w:numPr>
          <w:ilvl w:val="0"/>
          <w:numId w:val="10"/>
        </w:numPr>
      </w:pPr>
      <w:r>
        <w:t>Il est interdit d’avoir ces clauses pour les préjudices corporels</w:t>
      </w:r>
      <w:r w:rsidR="00A645B4">
        <w:t xml:space="preserve"> ou morale (</w:t>
      </w:r>
      <w:r w:rsidR="00A645B4" w:rsidRPr="00A645B4">
        <w:rPr>
          <w:color w:val="FF0000"/>
        </w:rPr>
        <w:t>Art 1474 al.2</w:t>
      </w:r>
      <w:r w:rsidR="00A645B4">
        <w:t xml:space="preserve"> </w:t>
      </w:r>
      <w:r w:rsidR="00A645B4" w:rsidRPr="00A645B4">
        <w:rPr>
          <w:color w:val="FF0000"/>
        </w:rPr>
        <w:t>du C.c.Q.</w:t>
      </w:r>
      <w:r w:rsidR="00A645B4">
        <w:t>)</w:t>
      </w:r>
    </w:p>
    <w:p w14:paraId="4EFFAC2C" w14:textId="77777777" w:rsidR="00A645B4" w:rsidRDefault="001A50D6" w:rsidP="00481CEE">
      <w:pPr>
        <w:pStyle w:val="ListParagraph"/>
        <w:numPr>
          <w:ilvl w:val="0"/>
          <w:numId w:val="10"/>
        </w:numPr>
      </w:pPr>
      <w:r>
        <w:t xml:space="preserve">La </w:t>
      </w:r>
      <w:r w:rsidRPr="0099260C">
        <w:rPr>
          <w:i/>
          <w:iCs/>
          <w:color w:val="F55C5E"/>
        </w:rPr>
        <w:t>loi sur la protection du consommateur</w:t>
      </w:r>
      <w:r w:rsidRPr="0099260C">
        <w:rPr>
          <w:color w:val="F55C5E"/>
        </w:rPr>
        <w:t xml:space="preserve"> </w:t>
      </w:r>
      <w:r>
        <w:t>les rends illégales</w:t>
      </w:r>
    </w:p>
    <w:p w14:paraId="261D0F59" w14:textId="2611A702" w:rsidR="001A50D6" w:rsidRDefault="00A645B4" w:rsidP="00481CEE">
      <w:pPr>
        <w:pStyle w:val="ListParagraph"/>
        <w:numPr>
          <w:ilvl w:val="0"/>
          <w:numId w:val="10"/>
        </w:numPr>
      </w:pPr>
      <w:r>
        <w:t xml:space="preserve">À la base, ces clauses sont </w:t>
      </w:r>
      <w:proofErr w:type="gramStart"/>
      <w:r>
        <w:t>valide</w:t>
      </w:r>
      <w:proofErr w:type="gramEnd"/>
      <w:r w:rsidR="001A50D6">
        <w:t xml:space="preserve"> </w:t>
      </w:r>
    </w:p>
    <w:p w14:paraId="71E27315" w14:textId="49634F2A" w:rsidR="00481CEE" w:rsidRDefault="00481CEE" w:rsidP="00481CEE"/>
    <w:p w14:paraId="01E0D6D4" w14:textId="27149566" w:rsidR="0099260C" w:rsidRDefault="0099260C" w:rsidP="00481CEE">
      <w:r w:rsidRPr="006A3866">
        <w:rPr>
          <w:color w:val="F55C5E"/>
        </w:rPr>
        <w:lastRenderedPageBreak/>
        <w:t>Art. 1475 C.c.Q. </w:t>
      </w:r>
      <w:r>
        <w:t>:</w:t>
      </w:r>
      <w:r w:rsidR="006A3866">
        <w:t xml:space="preserve"> pour les rendre opposables</w:t>
      </w:r>
    </w:p>
    <w:p w14:paraId="1DCC03B0" w14:textId="77777777" w:rsidR="00A645B4" w:rsidRDefault="00A645B4" w:rsidP="00481CEE"/>
    <w:p w14:paraId="25D7778D" w14:textId="05C1B7F9" w:rsidR="0099260C" w:rsidRDefault="006A3866" w:rsidP="00481CEE">
      <w:r w:rsidRPr="006A3866">
        <w:t>Un avis, qu’il soit ou non affiché, stipulant l’exclusion ou la limitation de l’obligation de réparer le préjudice résultant de l’inexécution d’une obligation contractuelle n’a d’effet, à l’égard du créancier, que si la partie qui invoque l’avis prouve que l’autre partie en avait connaissance au moment de la formation du contrat.</w:t>
      </w:r>
    </w:p>
    <w:p w14:paraId="62347869" w14:textId="11FC2E70" w:rsidR="00481CEE" w:rsidRDefault="00481CEE" w:rsidP="00481CEE"/>
    <w:p w14:paraId="128E2D72" w14:textId="27AD0B68" w:rsidR="00481CEE" w:rsidRDefault="00481CEE" w:rsidP="00481CEE">
      <w:pPr>
        <w:pStyle w:val="ListParagraph"/>
        <w:numPr>
          <w:ilvl w:val="0"/>
          <w:numId w:val="14"/>
        </w:numPr>
        <w:rPr>
          <w:b/>
          <w:bCs/>
        </w:rPr>
      </w:pPr>
      <w:r w:rsidRPr="00481CEE">
        <w:rPr>
          <w:b/>
          <w:bCs/>
        </w:rPr>
        <w:t>Régime extracontractuelle</w:t>
      </w:r>
    </w:p>
    <w:p w14:paraId="349B6FD2" w14:textId="76C9083E" w:rsidR="00481F05" w:rsidRDefault="00481F05" w:rsidP="00481F05">
      <w:pPr>
        <w:rPr>
          <w:b/>
          <w:bCs/>
        </w:rPr>
      </w:pPr>
    </w:p>
    <w:p w14:paraId="194E2039" w14:textId="05A13ED2" w:rsidR="00481F05" w:rsidRDefault="00C65DA8" w:rsidP="00C65DA8">
      <w:pPr>
        <w:pStyle w:val="ListParagraph"/>
        <w:numPr>
          <w:ilvl w:val="0"/>
          <w:numId w:val="10"/>
        </w:numPr>
      </w:pPr>
      <w:r w:rsidRPr="00C65DA8">
        <w:t>On voit</w:t>
      </w:r>
      <w:r>
        <w:t xml:space="preserve"> par exemple dans le vieux Mtl des affiches attention ça glisse nous ne sommes pas responsables. </w:t>
      </w:r>
    </w:p>
    <w:p w14:paraId="15F3A15C" w14:textId="3B0A02BC" w:rsidR="00C65DA8" w:rsidRDefault="00C65DA8" w:rsidP="00C65DA8">
      <w:pPr>
        <w:pStyle w:val="ListParagraph"/>
        <w:numPr>
          <w:ilvl w:val="0"/>
          <w:numId w:val="10"/>
        </w:numPr>
      </w:pPr>
      <w:r>
        <w:t>Le C.c.Q. prévoit qu’on ne peut pas limiter notre responsabilité</w:t>
      </w:r>
      <w:r w:rsidR="00A645B4">
        <w:t xml:space="preserve"> à l’égard d’un tier</w:t>
      </w:r>
      <w:r>
        <w:t xml:space="preserve">, mais que ça peut valoir dénonciation du danger. Valeur réduite comparée au régime contractuel. </w:t>
      </w:r>
    </w:p>
    <w:p w14:paraId="4C96BD65" w14:textId="52552BA1" w:rsidR="00C65DA8" w:rsidRDefault="00C65DA8" w:rsidP="00C65DA8"/>
    <w:p w14:paraId="28779894" w14:textId="32D497A7" w:rsidR="00C65DA8" w:rsidRDefault="00D57CB8" w:rsidP="00D57CB8">
      <w:pPr>
        <w:pStyle w:val="Heading2"/>
      </w:pPr>
      <w:r w:rsidRPr="00A645B4">
        <w:rPr>
          <w:color w:val="FF0000"/>
        </w:rPr>
        <w:t>À quel moment on est en matière contractuel ou extracontractuel ?</w:t>
      </w:r>
    </w:p>
    <w:p w14:paraId="20CAB66A" w14:textId="1BC4C4B2" w:rsidR="00D57CB8" w:rsidRDefault="00D57CB8" w:rsidP="00D57CB8"/>
    <w:p w14:paraId="2325892C" w14:textId="54A37E4A" w:rsidR="0038248A" w:rsidRDefault="0001322D" w:rsidP="00D57CB8">
      <w:r>
        <w:t xml:space="preserve">Dans le doute, la CSC est venue précisée que nous pouvons y aller avec un régime et avec un autre subsidiairement. </w:t>
      </w:r>
      <w:r w:rsidR="00A645B4">
        <w:t>(</w:t>
      </w:r>
      <w:proofErr w:type="gramStart"/>
      <w:r w:rsidR="00A645B4">
        <w:t>ex</w:t>
      </w:r>
      <w:proofErr w:type="gramEnd"/>
      <w:r w:rsidR="00A645B4">
        <w:t> : nous avons un contrat avec l’université pour étudier … tu tombes dans les escaliers de l’école, est-ce que c’est une poursuite contractuelle ou extra?)</w:t>
      </w:r>
    </w:p>
    <w:p w14:paraId="2E12CAF8" w14:textId="220154ED" w:rsidR="002E3119" w:rsidRDefault="002E3119" w:rsidP="00D57CB8"/>
    <w:p w14:paraId="2823D0DB" w14:textId="7EBEE35A" w:rsidR="002E3119" w:rsidRDefault="002E3119" w:rsidP="00D57CB8">
      <w:r w:rsidRPr="002E3119">
        <w:rPr>
          <w:u w:val="single"/>
        </w:rPr>
        <w:t>3 conditions pour utiliser le régime contractuel</w:t>
      </w:r>
      <w:r>
        <w:t> :</w:t>
      </w:r>
    </w:p>
    <w:p w14:paraId="7C24E1B0" w14:textId="2DF30FA7" w:rsidR="002E3119" w:rsidRDefault="002E3119" w:rsidP="00D57CB8"/>
    <w:p w14:paraId="60AC571A" w14:textId="1173DBD2" w:rsidR="002E3119" w:rsidRDefault="00461860" w:rsidP="002E3119">
      <w:pPr>
        <w:pStyle w:val="ListParagraph"/>
        <w:numPr>
          <w:ilvl w:val="0"/>
          <w:numId w:val="16"/>
        </w:numPr>
      </w:pPr>
      <w:r>
        <w:t>Un contrat valablement conclu</w:t>
      </w:r>
    </w:p>
    <w:p w14:paraId="24C4CEFF" w14:textId="56786D53" w:rsidR="00461860" w:rsidRDefault="00461860" w:rsidP="002E3119">
      <w:pPr>
        <w:pStyle w:val="ListParagraph"/>
        <w:numPr>
          <w:ilvl w:val="0"/>
          <w:numId w:val="16"/>
        </w:numPr>
      </w:pPr>
      <w:r>
        <w:t>Un contrat touche les deux parties au litige</w:t>
      </w:r>
    </w:p>
    <w:p w14:paraId="6506FF89" w14:textId="5FBA53E5" w:rsidR="00461860" w:rsidRDefault="00461860" w:rsidP="002E3119">
      <w:pPr>
        <w:pStyle w:val="ListParagraph"/>
        <w:numPr>
          <w:ilvl w:val="0"/>
          <w:numId w:val="16"/>
        </w:numPr>
      </w:pPr>
      <w:r>
        <w:t>Le litige concerne une obligation qui résulte du contrat (obligations principales ou implicites)</w:t>
      </w:r>
    </w:p>
    <w:p w14:paraId="0A3158A1" w14:textId="0A94989F" w:rsidR="00B230AB" w:rsidRDefault="00B230AB" w:rsidP="00B230AB"/>
    <w:p w14:paraId="01AFD14D" w14:textId="10ADD506" w:rsidR="00B230AB" w:rsidRDefault="00B230AB" w:rsidP="00B230AB">
      <w:r>
        <w:t xml:space="preserve">Il existe des obligations explicites et implicites. </w:t>
      </w:r>
    </w:p>
    <w:p w14:paraId="77D1F2DC" w14:textId="4C5EDE27" w:rsidR="00B230AB" w:rsidRDefault="00B230AB" w:rsidP="00B230AB"/>
    <w:p w14:paraId="6E7D5E4C" w14:textId="3130DD58" w:rsidR="00B230AB" w:rsidRDefault="00B230AB" w:rsidP="00B230AB">
      <w:r w:rsidRPr="00B230AB">
        <w:rPr>
          <w:color w:val="F55C5E"/>
        </w:rPr>
        <w:t>Art. 1434 C.c.Q. </w:t>
      </w:r>
      <w:r>
        <w:t>:</w:t>
      </w:r>
      <w:r w:rsidR="00AF731A">
        <w:t xml:space="preserve"> (obligation implicite)</w:t>
      </w:r>
    </w:p>
    <w:p w14:paraId="267C4355" w14:textId="4B1B2A78" w:rsidR="00B230AB" w:rsidRDefault="00B230AB" w:rsidP="00B230AB">
      <w:r w:rsidRPr="00B230AB">
        <w:t>Le contrat valablement formé oblige ceux qui l’ont conclu non seulement pour ce qu’ils y ont exprimé, mais aussi pour tout ce qui en découle d’après sa nature et suivant les usages, l’équité ou la loi.</w:t>
      </w:r>
    </w:p>
    <w:p w14:paraId="6C3924FE" w14:textId="674D1796" w:rsidR="00B230AB" w:rsidRDefault="00B230AB" w:rsidP="00B230AB"/>
    <w:p w14:paraId="138EC450" w14:textId="0C3E59E0" w:rsidR="00B230AB" w:rsidRDefault="00B230AB" w:rsidP="00B230AB">
      <w:pPr>
        <w:pStyle w:val="ListParagraph"/>
        <w:numPr>
          <w:ilvl w:val="0"/>
          <w:numId w:val="10"/>
        </w:numPr>
      </w:pPr>
      <w:r>
        <w:t xml:space="preserve">Obligation implicite la plus connue est celle de </w:t>
      </w:r>
      <w:r w:rsidRPr="00AF731A">
        <w:rPr>
          <w:b/>
          <w:bCs/>
        </w:rPr>
        <w:t>sécurité</w:t>
      </w:r>
      <w:r>
        <w:t xml:space="preserve">. La tendance jurisprudence inclue l’obligation de sécurité lors d’activité de rafting, de saut en parachute, de ski, etc. On est obligé de poursuivre le centre sportif en question. </w:t>
      </w:r>
      <w:r w:rsidR="00AF731A">
        <w:t>(Obligation de sécurité est une obligation de moyen).</w:t>
      </w:r>
    </w:p>
    <w:p w14:paraId="60343489" w14:textId="25683E77" w:rsidR="00707551" w:rsidRDefault="00707551" w:rsidP="00707551"/>
    <w:p w14:paraId="2B311647" w14:textId="3A21E0CB" w:rsidR="00707551" w:rsidRDefault="00707551" w:rsidP="00707551">
      <w:r>
        <w:t>Lorsqu’on est en matière contractuelle, nous devons déterminer l’intensité de l’obligation</w:t>
      </w:r>
      <w:r w:rsidR="0077641A">
        <w:t> :</w:t>
      </w:r>
    </w:p>
    <w:p w14:paraId="40B9ABF4" w14:textId="77777777" w:rsidR="00B91910" w:rsidRDefault="00B91910" w:rsidP="00707551"/>
    <w:p w14:paraId="5BAB82CE" w14:textId="5E700FFE" w:rsidR="0077641A" w:rsidRDefault="0077641A" w:rsidP="00B91910">
      <w:pPr>
        <w:pStyle w:val="ListParagraph"/>
        <w:numPr>
          <w:ilvl w:val="0"/>
          <w:numId w:val="17"/>
        </w:numPr>
      </w:pPr>
      <w:r>
        <w:t xml:space="preserve">De moyen </w:t>
      </w:r>
      <w:r w:rsidR="00FE63E6">
        <w:t>(plus intéressant pour le centre)</w:t>
      </w:r>
    </w:p>
    <w:p w14:paraId="4D22765A" w14:textId="59DC25BE" w:rsidR="00B91910" w:rsidRDefault="00B91910" w:rsidP="00B91910"/>
    <w:p w14:paraId="6DA0BEC4" w14:textId="63785E3E" w:rsidR="00B91910" w:rsidRDefault="00B91910" w:rsidP="00B91910">
      <w:pPr>
        <w:pStyle w:val="ListParagraph"/>
        <w:numPr>
          <w:ilvl w:val="0"/>
          <w:numId w:val="10"/>
        </w:numPr>
      </w:pPr>
      <w:r>
        <w:t xml:space="preserve">Exemple : je fais du ski, le centre de ski a une obligation de </w:t>
      </w:r>
      <w:r w:rsidR="00FE63E6">
        <w:t>moyen</w:t>
      </w:r>
      <w:r w:rsidR="00E457D1">
        <w:t>. Le fardeau repose sur les épaules du demandeur, soit la victime.</w:t>
      </w:r>
    </w:p>
    <w:p w14:paraId="41D75DFA" w14:textId="77777777" w:rsidR="00B91910" w:rsidRDefault="00B91910" w:rsidP="00B91910"/>
    <w:p w14:paraId="343DAF5C" w14:textId="2CE24DFC" w:rsidR="0077641A" w:rsidRDefault="0077641A" w:rsidP="00B91910">
      <w:pPr>
        <w:pStyle w:val="ListParagraph"/>
        <w:numPr>
          <w:ilvl w:val="0"/>
          <w:numId w:val="17"/>
        </w:numPr>
      </w:pPr>
      <w:r>
        <w:t xml:space="preserve">De résultat </w:t>
      </w:r>
      <w:r w:rsidR="00FE63E6">
        <w:t>(plus intéressant pour la victime)</w:t>
      </w:r>
    </w:p>
    <w:p w14:paraId="57C86C9F" w14:textId="77777777" w:rsidR="00B91910" w:rsidRDefault="00B91910" w:rsidP="00B91910"/>
    <w:p w14:paraId="4DA76EEB" w14:textId="20E6D17D" w:rsidR="002306A8" w:rsidRDefault="0077641A" w:rsidP="002306A8">
      <w:pPr>
        <w:pStyle w:val="ListParagraph"/>
        <w:numPr>
          <w:ilvl w:val="0"/>
          <w:numId w:val="17"/>
        </w:numPr>
      </w:pPr>
      <w:r>
        <w:t>De garantie</w:t>
      </w:r>
      <w:r w:rsidR="00AF731A">
        <w:t xml:space="preserve"> (pas mentionné dans la vidéo)</w:t>
      </w:r>
    </w:p>
    <w:p w14:paraId="190B807B" w14:textId="566FBD23" w:rsidR="002306A8" w:rsidRDefault="007B016D" w:rsidP="007B016D">
      <w:pPr>
        <w:pStyle w:val="Heading1"/>
      </w:pPr>
      <w:r>
        <w:lastRenderedPageBreak/>
        <w:t>Section 2 : Les conditions générales de la responsabilité civile</w:t>
      </w:r>
    </w:p>
    <w:p w14:paraId="774D09EF" w14:textId="61830C49" w:rsidR="007B016D" w:rsidRDefault="007B016D" w:rsidP="007B016D"/>
    <w:p w14:paraId="7B7B2D19" w14:textId="1C658AD3" w:rsidR="007B016D" w:rsidRDefault="003D4483" w:rsidP="007B016D">
      <w:r w:rsidRPr="007E5144">
        <w:rPr>
          <w:u w:val="single"/>
        </w:rPr>
        <w:t>3 conditions pour engager la responsabilité</w:t>
      </w:r>
      <w:r>
        <w:t> :</w:t>
      </w:r>
    </w:p>
    <w:p w14:paraId="7E8B76BF" w14:textId="47578322" w:rsidR="003D4483" w:rsidRDefault="003D4483" w:rsidP="007B016D"/>
    <w:p w14:paraId="034E9209" w14:textId="5CA7767E" w:rsidR="003D4483" w:rsidRDefault="003D4483" w:rsidP="003D4483">
      <w:pPr>
        <w:pStyle w:val="ListParagraph"/>
        <w:numPr>
          <w:ilvl w:val="0"/>
          <w:numId w:val="18"/>
        </w:numPr>
      </w:pPr>
      <w:r>
        <w:t>La faute</w:t>
      </w:r>
      <w:r w:rsidR="00AF731A">
        <w:t xml:space="preserve"> (subjective) – voir l’affaire </w:t>
      </w:r>
      <w:r w:rsidR="00AF731A">
        <w:rPr>
          <w:i/>
          <w:iCs/>
        </w:rPr>
        <w:t>Lapierre</w:t>
      </w:r>
      <w:r w:rsidR="00AF731A">
        <w:t xml:space="preserve"> (nous ne pouvons pas objectiver la responsabilité de l’auteur)</w:t>
      </w:r>
    </w:p>
    <w:p w14:paraId="5E26C3E3" w14:textId="6565F505" w:rsidR="00E14D67" w:rsidRDefault="00E14D67" w:rsidP="00E14D67"/>
    <w:p w14:paraId="513963F6" w14:textId="78B53FC7" w:rsidR="00C77249" w:rsidRDefault="00E14D67" w:rsidP="00E14D67">
      <w:r>
        <w:t xml:space="preserve">Capacité de discernement est essentiel pour être en mesure d’être condamné. </w:t>
      </w:r>
      <w:r w:rsidR="000630E5">
        <w:t>Il faut comprendre les conséquences de nos gestes</w:t>
      </w:r>
      <w:r w:rsidR="00C77249">
        <w:t>, être douée de raison.</w:t>
      </w:r>
    </w:p>
    <w:p w14:paraId="61B8734A" w14:textId="77777777" w:rsidR="00C77249" w:rsidRDefault="00C77249" w:rsidP="00E14D67"/>
    <w:p w14:paraId="4B11662C" w14:textId="318E2E36" w:rsidR="00E14D67" w:rsidRDefault="000630E5" w:rsidP="00E14D67">
      <w:r>
        <w:t xml:space="preserve">Il y a deux groupes d’individus qui sont exclus de l’application de </w:t>
      </w:r>
      <w:r w:rsidRPr="00C77249">
        <w:rPr>
          <w:color w:val="F55C5E"/>
        </w:rPr>
        <w:t>l’art. 1457</w:t>
      </w:r>
      <w:r w:rsidR="00C77249" w:rsidRPr="00C77249">
        <w:rPr>
          <w:color w:val="F55C5E"/>
        </w:rPr>
        <w:t xml:space="preserve">, al.2 </w:t>
      </w:r>
      <w:r w:rsidRPr="00C77249">
        <w:rPr>
          <w:color w:val="F55C5E"/>
        </w:rPr>
        <w:t>C.c.Q</w:t>
      </w:r>
      <w:r>
        <w:t>.</w:t>
      </w:r>
      <w:r w:rsidR="00506EE2">
        <w:t> :</w:t>
      </w:r>
    </w:p>
    <w:p w14:paraId="20DAB109" w14:textId="00C673E6" w:rsidR="00506EE2" w:rsidRDefault="00506EE2" w:rsidP="00E14D67"/>
    <w:p w14:paraId="5858F8EC" w14:textId="4CA9620F" w:rsidR="00506EE2" w:rsidRDefault="00506EE2" w:rsidP="00506EE2">
      <w:pPr>
        <w:pStyle w:val="ListParagraph"/>
        <w:numPr>
          <w:ilvl w:val="0"/>
          <w:numId w:val="20"/>
        </w:numPr>
      </w:pPr>
      <w:r>
        <w:t>Les enfants de moins de 7 ans : règle malléable en fonction d’une expertise médicale</w:t>
      </w:r>
      <w:r w:rsidR="00AF731A">
        <w:t xml:space="preserve"> (mais règle générale, un enfant de 7 ans n’a pas la capacité de discernement – voir l’affaire </w:t>
      </w:r>
      <w:r w:rsidR="00AF731A">
        <w:rPr>
          <w:i/>
          <w:iCs/>
        </w:rPr>
        <w:t>Howard</w:t>
      </w:r>
      <w:r w:rsidR="00AF731A">
        <w:t xml:space="preserve"> – l’enfant qui a tiré des roches)</w:t>
      </w:r>
    </w:p>
    <w:p w14:paraId="106E68ED" w14:textId="4BF133DC" w:rsidR="00506EE2" w:rsidRPr="007B016D" w:rsidRDefault="00506EE2" w:rsidP="00506EE2">
      <w:pPr>
        <w:pStyle w:val="ListParagraph"/>
        <w:numPr>
          <w:ilvl w:val="0"/>
          <w:numId w:val="20"/>
        </w:numPr>
      </w:pPr>
      <w:r>
        <w:t>Les personnes avec des troubles mentaux : nous sommes présumés saint d’esprit alors, il revient à l’individu de démontrer qu’il a ses troubles avec l’expertise psychiatrique à l’</w:t>
      </w:r>
      <w:r w:rsidR="00AF731A">
        <w:t xml:space="preserve">appui – voir l’affaire </w:t>
      </w:r>
      <w:r w:rsidR="00AF731A">
        <w:rPr>
          <w:i/>
          <w:iCs/>
        </w:rPr>
        <w:t xml:space="preserve">Laverdure c. Bélanger – </w:t>
      </w:r>
      <w:r w:rsidR="00AF731A">
        <w:t>le gars tue une fille et dit qu’il est schizo, il a été jugé au criminel et au civil)</w:t>
      </w:r>
    </w:p>
    <w:p w14:paraId="1375A287" w14:textId="75897F98" w:rsidR="00E14D67" w:rsidRDefault="00E14D67" w:rsidP="00E14D67"/>
    <w:p w14:paraId="7B5D5C8C" w14:textId="2ACAFDD5" w:rsidR="00700E21" w:rsidRPr="00FD1367" w:rsidRDefault="009D1869" w:rsidP="00650BDF">
      <w:pPr>
        <w:jc w:val="center"/>
      </w:pPr>
      <w:r w:rsidRPr="00A222A3">
        <w:rPr>
          <w:u w:val="single"/>
        </w:rPr>
        <w:t xml:space="preserve">Est-ce que le défendeur a agi comme une personne </w:t>
      </w:r>
      <w:r w:rsidR="00170C18" w:rsidRPr="00A222A3">
        <w:rPr>
          <w:u w:val="single"/>
        </w:rPr>
        <w:t>raisonnable placée dans les mêmes circonstances </w:t>
      </w:r>
      <w:r w:rsidRPr="00A222A3">
        <w:rPr>
          <w:u w:val="single"/>
        </w:rPr>
        <w:t>?</w:t>
      </w:r>
      <w:r w:rsidR="00FD1367">
        <w:rPr>
          <w:u w:val="single"/>
        </w:rPr>
        <w:t xml:space="preserve"> (</w:t>
      </w:r>
      <w:r w:rsidR="00FD1367">
        <w:t xml:space="preserve">si on juge que la personne n’as pas agi comme une personne prudente et diligente, il est condamné) – le critère d’évaluation est abstract avec un élément concret (ex : nous ne pouvons pas poursuivre une personne qui a fait une </w:t>
      </w:r>
      <w:r w:rsidR="004B739C">
        <w:t>chirurgie</w:t>
      </w:r>
      <w:r w:rsidR="00FD1367">
        <w:t xml:space="preserve"> d’urgence dans les b</w:t>
      </w:r>
      <w:r w:rsidR="004B739C">
        <w:t>o</w:t>
      </w:r>
      <w:r w:rsidR="00FD1367">
        <w:t xml:space="preserve">is comparativement à un </w:t>
      </w:r>
      <w:r w:rsidR="004B739C">
        <w:t xml:space="preserve">chirurgien </w:t>
      </w:r>
      <w:r w:rsidR="00FD1367">
        <w:t>dans une salle médicale)</w:t>
      </w:r>
    </w:p>
    <w:p w14:paraId="1356804F" w14:textId="78850620" w:rsidR="00650BDF" w:rsidRDefault="00650BDF" w:rsidP="00650BDF"/>
    <w:p w14:paraId="2248F901" w14:textId="2522CECE" w:rsidR="00650BDF" w:rsidRPr="00FD1367" w:rsidRDefault="00A55D84" w:rsidP="00650BDF">
      <w:r>
        <w:t>On peut regarder la réglementation pour fixer la norme de prudence pour préparer son dossier.</w:t>
      </w:r>
      <w:r w:rsidR="00FD1367">
        <w:t xml:space="preserve"> (Ex : regarder le code de conduite – voir l’affaire </w:t>
      </w:r>
      <w:r w:rsidR="00FD1367">
        <w:rPr>
          <w:i/>
          <w:iCs/>
        </w:rPr>
        <w:t>Morin c. Blais</w:t>
      </w:r>
      <w:r w:rsidR="00FD1367">
        <w:t>… si nous avons un règlement de conduite qui couvre la norme élémentaire de prudence, y contrevenir peut donner recours en responsabilité civile.)</w:t>
      </w:r>
    </w:p>
    <w:p w14:paraId="5692714C" w14:textId="6AD02609" w:rsidR="00E14D67" w:rsidRDefault="00E14D67" w:rsidP="00E14D67"/>
    <w:p w14:paraId="424CAA70" w14:textId="70C1FB46" w:rsidR="008F0BF7" w:rsidRDefault="00931B07" w:rsidP="00E14D67">
      <w:r>
        <w:t>La règle est l</w:t>
      </w:r>
      <w:r w:rsidR="00D1401E">
        <w:t>a faute est subjective sauf dans certains contextes le législateur prévoit une</w:t>
      </w:r>
      <w:r>
        <w:t xml:space="preserve"> faute</w:t>
      </w:r>
      <w:r w:rsidR="00D1401E">
        <w:t xml:space="preserve"> objective</w:t>
      </w:r>
      <w:r w:rsidR="008F0BF7">
        <w:t> :</w:t>
      </w:r>
    </w:p>
    <w:p w14:paraId="5CD19900" w14:textId="77777777" w:rsidR="008F0BF7" w:rsidRDefault="008F0BF7" w:rsidP="00E14D67"/>
    <w:p w14:paraId="1091200F" w14:textId="6ED34FDB" w:rsidR="008F0BF7" w:rsidRDefault="00A52ADA" w:rsidP="008F0BF7">
      <w:pPr>
        <w:pStyle w:val="ListParagraph"/>
        <w:numPr>
          <w:ilvl w:val="0"/>
          <w:numId w:val="10"/>
        </w:numPr>
      </w:pPr>
      <w:r>
        <w:t xml:space="preserve">Le </w:t>
      </w:r>
      <w:r w:rsidR="00D1401E">
        <w:t>patron est responsable de son employé</w:t>
      </w:r>
    </w:p>
    <w:p w14:paraId="1E074F35" w14:textId="188564E1" w:rsidR="008F0BF7" w:rsidRDefault="00A52ADA" w:rsidP="008F0BF7">
      <w:pPr>
        <w:pStyle w:val="ListParagraph"/>
        <w:numPr>
          <w:ilvl w:val="0"/>
          <w:numId w:val="10"/>
        </w:numPr>
      </w:pPr>
      <w:r>
        <w:t>L</w:t>
      </w:r>
      <w:r w:rsidR="00D1401E">
        <w:t>e propriétaire d’un animal</w:t>
      </w:r>
      <w:r w:rsidR="00DF5ECF">
        <w:t xml:space="preserve"> (</w:t>
      </w:r>
      <w:r w:rsidR="00DF5ECF" w:rsidRPr="008F0BF7">
        <w:rPr>
          <w:color w:val="F55C5E"/>
        </w:rPr>
        <w:t>art. 1466 C.c.Q</w:t>
      </w:r>
      <w:r w:rsidR="00DF5ECF">
        <w:t>.)</w:t>
      </w:r>
    </w:p>
    <w:p w14:paraId="4E5020BA" w14:textId="3614445A" w:rsidR="00A80C9F" w:rsidRDefault="00A52ADA" w:rsidP="008F0BF7">
      <w:pPr>
        <w:pStyle w:val="ListParagraph"/>
        <w:numPr>
          <w:ilvl w:val="0"/>
          <w:numId w:val="10"/>
        </w:numPr>
      </w:pPr>
      <w:r>
        <w:t>L</w:t>
      </w:r>
      <w:r w:rsidR="00931B07">
        <w:t>es troubles de voisinage (</w:t>
      </w:r>
      <w:r w:rsidR="00931B07" w:rsidRPr="008F0BF7">
        <w:rPr>
          <w:color w:val="F55C5E"/>
        </w:rPr>
        <w:t>art. 976 C.c.Q.</w:t>
      </w:r>
      <w:r w:rsidR="00931B07">
        <w:t>)</w:t>
      </w:r>
      <w:r w:rsidR="00FD1367">
        <w:t xml:space="preserve"> – même en absence de faute, nous sommes </w:t>
      </w:r>
      <w:proofErr w:type="gramStart"/>
      <w:r w:rsidR="00FD1367">
        <w:t>responsable</w:t>
      </w:r>
      <w:proofErr w:type="gramEnd"/>
      <w:r w:rsidR="00FD1367">
        <w:t xml:space="preserve"> objectivement. </w:t>
      </w:r>
    </w:p>
    <w:p w14:paraId="0B708598" w14:textId="77777777" w:rsidR="00A80C9F" w:rsidRDefault="00A80C9F" w:rsidP="00E14D67"/>
    <w:p w14:paraId="29288E06" w14:textId="3BAB6EE2" w:rsidR="003D4483" w:rsidRDefault="003D4483" w:rsidP="003D4483">
      <w:pPr>
        <w:pStyle w:val="ListParagraph"/>
        <w:numPr>
          <w:ilvl w:val="0"/>
          <w:numId w:val="18"/>
        </w:numPr>
      </w:pPr>
      <w:r>
        <w:t>Le préjudice</w:t>
      </w:r>
    </w:p>
    <w:p w14:paraId="3AC9A45A" w14:textId="26ADC103" w:rsidR="00A52ADA" w:rsidRDefault="00A52ADA" w:rsidP="00A52ADA"/>
    <w:p w14:paraId="72D25B04" w14:textId="3A9402FD" w:rsidR="00A52ADA" w:rsidRDefault="00F534D6" w:rsidP="00A52ADA">
      <w:r w:rsidRPr="00F534D6">
        <w:rPr>
          <w:color w:val="F55C5E"/>
        </w:rPr>
        <w:t>Art. 1607 C.c.Q. </w:t>
      </w:r>
      <w:r>
        <w:t>:</w:t>
      </w:r>
    </w:p>
    <w:p w14:paraId="5B436BEA" w14:textId="1A45867F" w:rsidR="00F534D6" w:rsidRDefault="00F534D6" w:rsidP="00A52ADA">
      <w:r w:rsidRPr="00F534D6">
        <w:t xml:space="preserve">Le créancier a droit à des dommages-intérêts en réparation du préjudice, qu’il soit </w:t>
      </w:r>
      <w:r w:rsidRPr="0077038B">
        <w:rPr>
          <w:u w:val="single"/>
        </w:rPr>
        <w:t>corporel, moral ou matériel</w:t>
      </w:r>
      <w:r w:rsidRPr="00F534D6">
        <w:t>, que lui cause le défaut du débiteur et qui en est une suite immédiate et directe.</w:t>
      </w:r>
    </w:p>
    <w:p w14:paraId="1C5E61C6" w14:textId="7A908C1A" w:rsidR="00F534D6" w:rsidRDefault="00F534D6" w:rsidP="00F534D6"/>
    <w:p w14:paraId="165BA939" w14:textId="70FE10F8" w:rsidR="00F534D6" w:rsidRDefault="00F534D6" w:rsidP="00F534D6">
      <w:r w:rsidRPr="00F534D6">
        <w:rPr>
          <w:color w:val="F55C5E"/>
        </w:rPr>
        <w:t>Art. 1611 C.c.Q. </w:t>
      </w:r>
      <w:r>
        <w:t>:</w:t>
      </w:r>
    </w:p>
    <w:p w14:paraId="5DF53D69" w14:textId="77777777" w:rsidR="00F534D6" w:rsidRDefault="00F534D6" w:rsidP="00F534D6">
      <w:r>
        <w:t>Les dommages-intérêts dus au créancier compensent la perte qu’il subit et le gain dont il est privé.</w:t>
      </w:r>
    </w:p>
    <w:p w14:paraId="4F060365" w14:textId="77777777" w:rsidR="00F534D6" w:rsidRDefault="00F534D6" w:rsidP="00F534D6"/>
    <w:p w14:paraId="5DDDF6B3" w14:textId="34BD0F43" w:rsidR="00F534D6" w:rsidRDefault="00F534D6" w:rsidP="00F534D6">
      <w:r>
        <w:lastRenderedPageBreak/>
        <w:t>On tient compte, pour les déterminer, du préjudice futur lorsqu’il est certain et qu’il est susceptible d’être évalué.</w:t>
      </w:r>
    </w:p>
    <w:p w14:paraId="53FF4173" w14:textId="027EB6E4" w:rsidR="00F534D6" w:rsidRDefault="00F534D6" w:rsidP="00F534D6"/>
    <w:p w14:paraId="0C7FDE7F" w14:textId="3B6A5002" w:rsidR="00F534D6" w:rsidRDefault="00F534D6" w:rsidP="00F534D6">
      <w:pPr>
        <w:pStyle w:val="ListParagraph"/>
        <w:numPr>
          <w:ilvl w:val="0"/>
          <w:numId w:val="10"/>
        </w:numPr>
      </w:pPr>
      <w:r>
        <w:t>Possible d’avoir des dommages punitifs aussi</w:t>
      </w:r>
    </w:p>
    <w:p w14:paraId="1ADB5F35" w14:textId="77777777" w:rsidR="00F534D6" w:rsidRDefault="00F534D6" w:rsidP="00A52ADA"/>
    <w:p w14:paraId="7D054096" w14:textId="0799B45D" w:rsidR="003D4483" w:rsidRDefault="003D4483" w:rsidP="003D4483">
      <w:pPr>
        <w:pStyle w:val="ListParagraph"/>
        <w:numPr>
          <w:ilvl w:val="0"/>
          <w:numId w:val="18"/>
        </w:numPr>
      </w:pPr>
      <w:r>
        <w:t>Un lien causal</w:t>
      </w:r>
      <w:r w:rsidR="00E550CB">
        <w:t xml:space="preserve"> (basé sur les faits selon la balance des probabilités)</w:t>
      </w:r>
    </w:p>
    <w:p w14:paraId="32F77399" w14:textId="77777777" w:rsidR="00AD0F27" w:rsidRDefault="00AD0F27" w:rsidP="00AD0F27"/>
    <w:p w14:paraId="1F3BEBDF" w14:textId="28671589" w:rsidR="0077038B" w:rsidRDefault="0077038B" w:rsidP="007E5144">
      <w:r>
        <w:t>Entre le préjudice et la faute. Le fardeau est sur les épaules de la victime par prépondérance des probabilité.</w:t>
      </w:r>
    </w:p>
    <w:p w14:paraId="37F8E30E" w14:textId="622B5A7D" w:rsidR="0077038B" w:rsidRDefault="0077038B" w:rsidP="007E5144"/>
    <w:p w14:paraId="343B5569" w14:textId="017FAAC0" w:rsidR="0077038B" w:rsidRDefault="0077038B" w:rsidP="007E5144">
      <w:r>
        <w:t>Présomption de faits exceptionnellement : on a de la moulée pour les porcs, on décide de changer la moulée et ils développent une malformation on décide de revenir avec l’ancienne et les malformations disparaissent. La Cour d’appel a affirmé qu’il y avait un lien causal</w:t>
      </w:r>
      <w:r w:rsidR="005A532E">
        <w:t xml:space="preserve"> en la faute et le préjudice.</w:t>
      </w:r>
    </w:p>
    <w:p w14:paraId="19C627BF" w14:textId="61EF935E" w:rsidR="00747A10" w:rsidRDefault="00747A10" w:rsidP="007E5144"/>
    <w:p w14:paraId="3EF55F58" w14:textId="40CACA83" w:rsidR="00747A10" w:rsidRDefault="00F450BA" w:rsidP="007E5144">
      <w:r>
        <w:t xml:space="preserve">Aussi, dans </w:t>
      </w:r>
      <w:r w:rsidRPr="007B2A4F">
        <w:rPr>
          <w:i/>
          <w:iCs/>
        </w:rPr>
        <w:t>Morin c Blais</w:t>
      </w:r>
      <w:r>
        <w:t xml:space="preserve"> a énoncé que lorsque l’accident que l’on voulait éviter dans la règlementation qui immédiatement est survenu, on pouvait en inférer une présomption de lien causal. L’accident a été causé en raison de l’absence d’un triangle en contravention à la règlementation sur la sécurité routière. </w:t>
      </w:r>
    </w:p>
    <w:p w14:paraId="3EC7E00D" w14:textId="493ABA4C" w:rsidR="007B2A4F" w:rsidRDefault="007B2A4F" w:rsidP="007E5144"/>
    <w:p w14:paraId="6D09DBE2" w14:textId="77777777" w:rsidR="00F6488F" w:rsidRDefault="00F6488F" w:rsidP="007E5144"/>
    <w:p w14:paraId="1DEE186B" w14:textId="3FC68FBB" w:rsidR="007B2A4F" w:rsidRDefault="007B2A4F" w:rsidP="007B2A4F">
      <w:pPr>
        <w:pStyle w:val="Heading1"/>
      </w:pPr>
      <w:r>
        <w:t>Section 3 : La responsabilité pour le fait ou la faute d’autrui et pour le bien</w:t>
      </w:r>
    </w:p>
    <w:p w14:paraId="3F84C609" w14:textId="63AE1D96" w:rsidR="007B2A4F" w:rsidRDefault="007B2A4F" w:rsidP="007B2A4F"/>
    <w:p w14:paraId="0576AE60" w14:textId="10E204CA" w:rsidR="007B2A4F" w:rsidRDefault="007B2A4F" w:rsidP="007B2A4F">
      <w:pPr>
        <w:rPr>
          <w:color w:val="F55C5E"/>
        </w:rPr>
      </w:pPr>
      <w:r w:rsidRPr="007B2A4F">
        <w:rPr>
          <w:color w:val="F55C5E"/>
        </w:rPr>
        <w:t xml:space="preserve">L'art. 1457 C.c.Q. </w:t>
      </w:r>
      <w:r w:rsidRPr="007B2A4F">
        <w:t xml:space="preserve">prévoit, à </w:t>
      </w:r>
      <w:r w:rsidRPr="007B2A4F">
        <w:rPr>
          <w:color w:val="F55C5E"/>
        </w:rPr>
        <w:t>l'al. 3</w:t>
      </w:r>
      <w:r w:rsidRPr="007B2A4F">
        <w:t xml:space="preserve">, qu'une personne peut être appelée à répondre du fait d'autrui ou d'un bien. Ces règles, qui sont prévues aux </w:t>
      </w:r>
      <w:r w:rsidRPr="007B2A4F">
        <w:rPr>
          <w:color w:val="F55C5E"/>
        </w:rPr>
        <w:t xml:space="preserve">arts 1459 C.c.Q. et ss </w:t>
      </w:r>
      <w:r w:rsidRPr="007B2A4F">
        <w:t xml:space="preserve">permettent habituellement à la victime de profiter d'un régime plus avantageux que le régime de responsabilité du fait personnel fondé sur la faute de </w:t>
      </w:r>
      <w:r w:rsidRPr="007B2A4F">
        <w:rPr>
          <w:color w:val="F55C5E"/>
        </w:rPr>
        <w:t>l'art. 1457, al.1 et 2 C.c.Q.</w:t>
      </w:r>
    </w:p>
    <w:p w14:paraId="49DE6DE8" w14:textId="77777777" w:rsidR="004A64EC" w:rsidRDefault="004A64EC" w:rsidP="007B2A4F">
      <w:pPr>
        <w:rPr>
          <w:color w:val="F55C5E"/>
        </w:rPr>
      </w:pPr>
    </w:p>
    <w:p w14:paraId="31EE607C" w14:textId="491E6DD4" w:rsidR="007B2A4F" w:rsidRDefault="007B2A4F" w:rsidP="007B2A4F">
      <w:pPr>
        <w:pStyle w:val="Heading2"/>
      </w:pPr>
      <w:r>
        <w:t>La responsabilité pour le fait ou la faute d’autrui</w:t>
      </w:r>
    </w:p>
    <w:p w14:paraId="2F682E91" w14:textId="69AA9846" w:rsidR="007B2A4F" w:rsidRDefault="007B2A4F" w:rsidP="007B2A4F"/>
    <w:p w14:paraId="50A09483" w14:textId="323C15D7" w:rsidR="00885D3E" w:rsidRDefault="00EA71FB" w:rsidP="007B2A4F">
      <w:r>
        <w:t>**Ces recours peuvent être cumulatifs**</w:t>
      </w:r>
    </w:p>
    <w:p w14:paraId="1266EF66" w14:textId="77777777" w:rsidR="00885D3E" w:rsidRDefault="00885D3E" w:rsidP="007B2A4F"/>
    <w:p w14:paraId="3EDBFBF9" w14:textId="4C7BB713" w:rsidR="003E4164" w:rsidRPr="00833D83" w:rsidRDefault="003E4164" w:rsidP="003E4164">
      <w:pPr>
        <w:pStyle w:val="ListParagraph"/>
        <w:numPr>
          <w:ilvl w:val="0"/>
          <w:numId w:val="21"/>
        </w:numPr>
        <w:rPr>
          <w:b/>
          <w:bCs/>
        </w:rPr>
      </w:pPr>
      <w:r w:rsidRPr="00833D83">
        <w:rPr>
          <w:b/>
          <w:bCs/>
        </w:rPr>
        <w:t>La faut</w:t>
      </w:r>
      <w:r w:rsidR="00703B92" w:rsidRPr="00833D83">
        <w:rPr>
          <w:b/>
          <w:bCs/>
        </w:rPr>
        <w:t>e</w:t>
      </w:r>
      <w:r w:rsidRPr="00833D83">
        <w:rPr>
          <w:b/>
          <w:bCs/>
        </w:rPr>
        <w:t xml:space="preserve"> ou le fait du mineur – La responsabilité du titulaire de l’autorité parentale</w:t>
      </w:r>
      <w:r w:rsidR="00CD1CB6" w:rsidRPr="00833D83">
        <w:rPr>
          <w:b/>
          <w:bCs/>
        </w:rPr>
        <w:t xml:space="preserve"> (</w:t>
      </w:r>
      <w:r w:rsidR="00CD1CB6" w:rsidRPr="00833D83">
        <w:rPr>
          <w:b/>
          <w:bCs/>
          <w:color w:val="F55C5E"/>
        </w:rPr>
        <w:t>art. 1459 C.c.Q</w:t>
      </w:r>
      <w:r w:rsidR="00CD1CB6" w:rsidRPr="00833D83">
        <w:rPr>
          <w:b/>
          <w:bCs/>
        </w:rPr>
        <w:t>.)</w:t>
      </w:r>
    </w:p>
    <w:p w14:paraId="74B47FE0" w14:textId="77777777" w:rsidR="003E4164" w:rsidRDefault="003E4164" w:rsidP="003E4164"/>
    <w:p w14:paraId="13C149AA" w14:textId="0440E8AC" w:rsidR="003E4164" w:rsidRDefault="00CD1CB6" w:rsidP="00CD1CB6">
      <w:pPr>
        <w:ind w:firstLine="708"/>
      </w:pPr>
      <w:r>
        <w:rPr>
          <w:u w:val="single"/>
        </w:rPr>
        <w:t xml:space="preserve">Trois </w:t>
      </w:r>
      <w:r w:rsidRPr="00CD1CB6">
        <w:rPr>
          <w:u w:val="single"/>
        </w:rPr>
        <w:t>conditions</w:t>
      </w:r>
      <w:r>
        <w:t> :</w:t>
      </w:r>
    </w:p>
    <w:p w14:paraId="21611551" w14:textId="247B85FD" w:rsidR="00CD1CB6" w:rsidRDefault="00CD1CB6" w:rsidP="007B2A4F"/>
    <w:p w14:paraId="31D01247" w14:textId="44D73EC5" w:rsidR="00CD1CB6" w:rsidRDefault="00CD1CB6" w:rsidP="00CD1CB6">
      <w:pPr>
        <w:pStyle w:val="ListParagraph"/>
        <w:numPr>
          <w:ilvl w:val="0"/>
          <w:numId w:val="23"/>
        </w:numPr>
      </w:pPr>
      <w:r>
        <w:t>Il doit être titulaire de l’autorité parentale</w:t>
      </w:r>
      <w:r w:rsidR="00323362">
        <w:t xml:space="preserve"> (</w:t>
      </w:r>
      <w:r w:rsidR="00323362" w:rsidRPr="00323362">
        <w:rPr>
          <w:color w:val="F55C5E"/>
        </w:rPr>
        <w:t>art. 600 C.c.Q.</w:t>
      </w:r>
      <w:r w:rsidR="00323362">
        <w:t>)</w:t>
      </w:r>
    </w:p>
    <w:p w14:paraId="408953A2" w14:textId="41A596EA" w:rsidR="00CD1CB6" w:rsidRDefault="00932971" w:rsidP="0099784D">
      <w:pPr>
        <w:pStyle w:val="ListParagraph"/>
        <w:numPr>
          <w:ilvl w:val="0"/>
          <w:numId w:val="24"/>
        </w:numPr>
      </w:pPr>
      <w:r>
        <w:t xml:space="preserve">La minorité de l’auteur du fait dommageable, 18 ans et moins, sous réserve de </w:t>
      </w:r>
      <w:r w:rsidRPr="00932971">
        <w:rPr>
          <w:color w:val="F55C5E"/>
        </w:rPr>
        <w:t>l’art. 167 et ss C.c.Q</w:t>
      </w:r>
      <w:r>
        <w:t>.</w:t>
      </w:r>
      <w:r w:rsidR="0099784D">
        <w:t xml:space="preserve"> auquel cas les parents ne pourront pas être poursuivis</w:t>
      </w:r>
    </w:p>
    <w:p w14:paraId="35E40918" w14:textId="4FC55495" w:rsidR="00932971" w:rsidRDefault="00932971" w:rsidP="00CD1CB6">
      <w:pPr>
        <w:pStyle w:val="ListParagraph"/>
        <w:numPr>
          <w:ilvl w:val="0"/>
          <w:numId w:val="23"/>
        </w:numPr>
      </w:pPr>
      <w:r>
        <w:t>La faute du mineur qui possède la capacité de discernement OU le fait objectivement fautif du mineur non doué de raison (</w:t>
      </w:r>
      <w:r w:rsidRPr="003360AD">
        <w:rPr>
          <w:color w:val="F55C5E"/>
        </w:rPr>
        <w:t>art. 1462 C.c.Q</w:t>
      </w:r>
      <w:r>
        <w:t>.)</w:t>
      </w:r>
    </w:p>
    <w:p w14:paraId="421CCBDD" w14:textId="50A4D984" w:rsidR="00CD1CB6" w:rsidRDefault="00CD1CB6" w:rsidP="007B2A4F"/>
    <w:p w14:paraId="5F396CE6" w14:textId="5729817E" w:rsidR="00B52778" w:rsidRDefault="00B52778" w:rsidP="007B2A4F">
      <w:r w:rsidRPr="00B52778">
        <w:rPr>
          <w:color w:val="F55C5E"/>
        </w:rPr>
        <w:t>Art.1462 C.c.Q </w:t>
      </w:r>
      <w:r>
        <w:t>:</w:t>
      </w:r>
    </w:p>
    <w:p w14:paraId="6E59A2F3" w14:textId="5A8FAE26" w:rsidR="00B52778" w:rsidRDefault="00B52778" w:rsidP="007B2A4F">
      <w:r w:rsidRPr="00B52778">
        <w:t>On ne peut être responsable du préjudice causé à autrui par le fait d’une personne non douée de raison que dans le cas où le comportement de celle-ci aurait été autrement considéré comme fautif.</w:t>
      </w:r>
    </w:p>
    <w:p w14:paraId="5518E023" w14:textId="365B93FB" w:rsidR="00B52778" w:rsidRDefault="00B52778" w:rsidP="007B2A4F"/>
    <w:p w14:paraId="7248C1EC" w14:textId="52F548D2" w:rsidR="00B52778" w:rsidRDefault="00B52778" w:rsidP="00B52778">
      <w:pPr>
        <w:pStyle w:val="ListParagraph"/>
        <w:numPr>
          <w:ilvl w:val="0"/>
          <w:numId w:val="10"/>
        </w:numPr>
      </w:pPr>
      <w:r>
        <w:t>Un enfant de 4 ans qui lance des roche</w:t>
      </w:r>
      <w:r w:rsidR="00052709">
        <w:t>s, donne un coup de couteau, mettre le feu</w:t>
      </w:r>
      <w:r>
        <w:t xml:space="preserve"> ne commet pas de faute puisqu’il n’est pas doué de raison.</w:t>
      </w:r>
      <w:r w:rsidR="00052709">
        <w:t xml:space="preserve"> Cependant, c’est un acte qui est objectivement fautif</w:t>
      </w:r>
      <w:r w:rsidR="00496EDC">
        <w:t xml:space="preserve">, </w:t>
      </w:r>
      <w:r w:rsidR="00496EDC">
        <w:lastRenderedPageBreak/>
        <w:t xml:space="preserve">de sorte qu’une personne douée de raison commettrait une faute en pareil cas </w:t>
      </w:r>
      <w:r w:rsidR="00E218BF">
        <w:t>alors</w:t>
      </w:r>
      <w:r w:rsidR="00496EDC">
        <w:t>,</w:t>
      </w:r>
      <w:r w:rsidR="00E218BF">
        <w:t xml:space="preserve"> les titulaires de l’autorité parentale seront tenus responsable</w:t>
      </w:r>
      <w:r w:rsidR="00A4730C">
        <w:t>s</w:t>
      </w:r>
      <w:r w:rsidR="00E218BF">
        <w:t xml:space="preserve">. </w:t>
      </w:r>
    </w:p>
    <w:p w14:paraId="23A396E0" w14:textId="78EA3D73" w:rsidR="00E218BF" w:rsidRDefault="00E218BF" w:rsidP="00B52778">
      <w:pPr>
        <w:pStyle w:val="ListParagraph"/>
        <w:numPr>
          <w:ilvl w:val="0"/>
          <w:numId w:val="10"/>
        </w:numPr>
      </w:pPr>
      <w:r>
        <w:t>Un enfant qui échappe par terre un verre en vitre</w:t>
      </w:r>
      <w:r w:rsidR="00496EDC">
        <w:t>, ne sera pas une faute</w:t>
      </w:r>
      <w:r w:rsidR="00E3739A">
        <w:t xml:space="preserve">. </w:t>
      </w:r>
    </w:p>
    <w:p w14:paraId="42CD17B1" w14:textId="0E34129A" w:rsidR="00B52778" w:rsidRDefault="00B52778" w:rsidP="007B2A4F"/>
    <w:p w14:paraId="7EBA4F3F" w14:textId="6B842C62" w:rsidR="000B5625" w:rsidRDefault="00541730" w:rsidP="00BA0789">
      <w:pPr>
        <w:jc w:val="center"/>
      </w:pPr>
      <w:r>
        <w:t xml:space="preserve">= </w:t>
      </w:r>
      <w:r w:rsidRPr="00BA0789">
        <w:rPr>
          <w:b/>
          <w:bCs/>
        </w:rPr>
        <w:t>Lorsque ces 3 éléments sont prouvés, il y a un renversement et les parents sont présumés fautifs.</w:t>
      </w:r>
      <w:r>
        <w:t xml:space="preserve"> </w:t>
      </w:r>
      <w:r w:rsidR="000A7E7A">
        <w:t xml:space="preserve">Ils devront prouvés qu’il n’a pas été mal éduqué, mal surveillé ou mal gardé. </w:t>
      </w:r>
      <w:r w:rsidR="00C957BB">
        <w:t xml:space="preserve">Ça va dépendre de l’âge de l’enfant et du niveau de surveillance nécessaire. Pour l’éducation, ce ne sera pas seulement concernant l’acte fautif, mais plutôt l’éducation en général. </w:t>
      </w:r>
      <w:r w:rsidR="00BA0789">
        <w:t>Faire témoigner les voisins.</w:t>
      </w:r>
    </w:p>
    <w:p w14:paraId="411891F7" w14:textId="66A494D5" w:rsidR="00BA0789" w:rsidRDefault="00BA0789" w:rsidP="007B2A4F"/>
    <w:p w14:paraId="52EEA2FE" w14:textId="4FF16C82" w:rsidR="00BA0789" w:rsidRDefault="00BA0789" w:rsidP="00BA0789">
      <w:pPr>
        <w:pStyle w:val="ListParagraph"/>
        <w:numPr>
          <w:ilvl w:val="0"/>
          <w:numId w:val="10"/>
        </w:numPr>
      </w:pPr>
      <w:r>
        <w:t xml:space="preserve">Exemple </w:t>
      </w:r>
      <w:r w:rsidRPr="00BA0789">
        <w:rPr>
          <w:i/>
          <w:iCs/>
        </w:rPr>
        <w:t>Pitre c Tremblay</w:t>
      </w:r>
      <w:r w:rsidR="00874952">
        <w:rPr>
          <w:i/>
          <w:iCs/>
        </w:rPr>
        <w:t>, 1990</w:t>
      </w:r>
      <w:r>
        <w:t> : jeune adolescent qui frappe un autre qui harcelait sa copine. L</w:t>
      </w:r>
      <w:r w:rsidR="00500645">
        <w:t>e</w:t>
      </w:r>
      <w:r>
        <w:t>s 3 éléments sont rencontrés</w:t>
      </w:r>
      <w:r w:rsidR="00401871">
        <w:t xml:space="preserve"> et il y a présomption</w:t>
      </w:r>
      <w:r w:rsidR="00234D6E">
        <w:t xml:space="preserve"> de faute</w:t>
      </w:r>
      <w:r w:rsidR="00401871">
        <w:t xml:space="preserve">. </w:t>
      </w:r>
      <w:r w:rsidR="00874952">
        <w:t xml:space="preserve">Ensuite, </w:t>
      </w:r>
      <w:r w:rsidR="009B1FDF">
        <w:t>les parents devaient prouver une bonne éducation. L</w:t>
      </w:r>
      <w:r w:rsidR="00874952">
        <w:t>a preuve rév</w:t>
      </w:r>
      <w:r w:rsidR="009B1FDF">
        <w:t xml:space="preserve">èle </w:t>
      </w:r>
      <w:r w:rsidR="00874952">
        <w:t xml:space="preserve">relativement à l’éducation que l’ado à </w:t>
      </w:r>
      <w:r w:rsidR="002D6DBA">
        <w:t>15 ans conduisait la voiture sans permis</w:t>
      </w:r>
      <w:r w:rsidR="0052007F">
        <w:t xml:space="preserve"> et que sa copine de 13 ans couchait à la maison. Cela a été considéré comme une mauvaise éducation. </w:t>
      </w:r>
    </w:p>
    <w:p w14:paraId="41D537EB" w14:textId="0A7E1266" w:rsidR="000B5625" w:rsidRDefault="000B5625" w:rsidP="007B2A4F"/>
    <w:p w14:paraId="2194966B" w14:textId="07B08FE3" w:rsidR="00703B92" w:rsidRPr="00833D83" w:rsidRDefault="00C74D14" w:rsidP="00703B92">
      <w:pPr>
        <w:pStyle w:val="ListParagraph"/>
        <w:numPr>
          <w:ilvl w:val="0"/>
          <w:numId w:val="21"/>
        </w:numPr>
        <w:rPr>
          <w:b/>
          <w:bCs/>
        </w:rPr>
      </w:pPr>
      <w:r w:rsidRPr="00833D83">
        <w:rPr>
          <w:b/>
          <w:bCs/>
        </w:rPr>
        <w:t>La faute ou le fait du mineur – La responsabilité du titulaire déchu de l’autorité parentale</w:t>
      </w:r>
      <w:r w:rsidR="00852F0E" w:rsidRPr="00833D83">
        <w:rPr>
          <w:b/>
          <w:bCs/>
        </w:rPr>
        <w:t xml:space="preserve"> (</w:t>
      </w:r>
      <w:r w:rsidR="00852F0E" w:rsidRPr="00833D83">
        <w:rPr>
          <w:b/>
          <w:bCs/>
          <w:color w:val="F55C5E"/>
        </w:rPr>
        <w:t>art.</w:t>
      </w:r>
      <w:r w:rsidR="00925D8C" w:rsidRPr="00833D83">
        <w:rPr>
          <w:b/>
          <w:bCs/>
          <w:color w:val="F55C5E"/>
        </w:rPr>
        <w:t xml:space="preserve"> 1459,</w:t>
      </w:r>
      <w:r w:rsidR="00852F0E" w:rsidRPr="00833D83">
        <w:rPr>
          <w:b/>
          <w:bCs/>
          <w:color w:val="F55C5E"/>
        </w:rPr>
        <w:t xml:space="preserve"> al.2 C.c.Q.</w:t>
      </w:r>
      <w:r w:rsidR="00852F0E" w:rsidRPr="00833D83">
        <w:rPr>
          <w:b/>
          <w:bCs/>
        </w:rPr>
        <w:t>)</w:t>
      </w:r>
    </w:p>
    <w:p w14:paraId="67DC9FBB" w14:textId="48D2B023" w:rsidR="00E14160" w:rsidRDefault="00E14160" w:rsidP="00E14160"/>
    <w:p w14:paraId="55BC0CC0" w14:textId="4612B326" w:rsidR="00E14160" w:rsidRDefault="00D07FB4" w:rsidP="00852F0E">
      <w:pPr>
        <w:ind w:left="708"/>
      </w:pPr>
      <w:r>
        <w:rPr>
          <w:u w:val="single"/>
        </w:rPr>
        <w:t>Quatre c</w:t>
      </w:r>
      <w:r w:rsidR="00852F0E" w:rsidRPr="00852F0E">
        <w:rPr>
          <w:u w:val="single"/>
        </w:rPr>
        <w:t>onditions</w:t>
      </w:r>
      <w:r w:rsidR="00852F0E">
        <w:t> :</w:t>
      </w:r>
    </w:p>
    <w:p w14:paraId="7715BDC0" w14:textId="181D703B" w:rsidR="00852F0E" w:rsidRDefault="00852F0E" w:rsidP="00852F0E">
      <w:pPr>
        <w:ind w:left="708"/>
      </w:pPr>
    </w:p>
    <w:p w14:paraId="1F08725F" w14:textId="7004CA4E" w:rsidR="0099784D" w:rsidRDefault="0099784D" w:rsidP="0099784D">
      <w:pPr>
        <w:pStyle w:val="ListParagraph"/>
        <w:numPr>
          <w:ilvl w:val="0"/>
          <w:numId w:val="24"/>
        </w:numPr>
      </w:pPr>
      <w:r>
        <w:t xml:space="preserve">La minorité de l’auteur du fait dommageable, 18 ans et moins, sous réserve de </w:t>
      </w:r>
      <w:r w:rsidRPr="00932971">
        <w:rPr>
          <w:color w:val="F55C5E"/>
        </w:rPr>
        <w:t>l’art. 167 et ss C.c.Q</w:t>
      </w:r>
      <w:r>
        <w:t xml:space="preserve"> auquel cas les parents ne pourront pas être poursuivis</w:t>
      </w:r>
    </w:p>
    <w:p w14:paraId="04577AEF" w14:textId="77777777" w:rsidR="0099784D" w:rsidRDefault="0099784D" w:rsidP="0099784D">
      <w:pPr>
        <w:pStyle w:val="ListParagraph"/>
        <w:numPr>
          <w:ilvl w:val="0"/>
          <w:numId w:val="24"/>
        </w:numPr>
      </w:pPr>
      <w:r>
        <w:t>La faute du mineur qui possède la capacité de discernement OU le fait objectivement fautif du mineur non doué de raison (</w:t>
      </w:r>
      <w:r w:rsidRPr="003360AD">
        <w:rPr>
          <w:color w:val="F55C5E"/>
        </w:rPr>
        <w:t>art. 1462 C.c.Q</w:t>
      </w:r>
      <w:r>
        <w:t>.)</w:t>
      </w:r>
    </w:p>
    <w:p w14:paraId="70B41A7E" w14:textId="566FA154" w:rsidR="00A03AF9" w:rsidRDefault="00706C9E" w:rsidP="00852F0E">
      <w:pPr>
        <w:pStyle w:val="ListParagraph"/>
        <w:numPr>
          <w:ilvl w:val="0"/>
          <w:numId w:val="24"/>
        </w:numPr>
      </w:pPr>
      <w:r>
        <w:t>Le fait d’avoir été déchu de l’autorité parentale avant la survenance du fait dommageable</w:t>
      </w:r>
    </w:p>
    <w:p w14:paraId="138CFC45" w14:textId="1B533EAD" w:rsidR="00D07FB4" w:rsidRDefault="00D07FB4" w:rsidP="00852F0E">
      <w:pPr>
        <w:pStyle w:val="ListParagraph"/>
        <w:numPr>
          <w:ilvl w:val="0"/>
          <w:numId w:val="24"/>
        </w:numPr>
      </w:pPr>
      <w:r>
        <w:t xml:space="preserve">Le lien entre la faute ou le fait du mineur </w:t>
      </w:r>
      <w:r w:rsidRPr="00885D3E">
        <w:rPr>
          <w:b/>
          <w:bCs/>
        </w:rPr>
        <w:t xml:space="preserve">et </w:t>
      </w:r>
      <w:r>
        <w:t>la mauvaise éducation reçus du parent déchu de l’autorité parentale</w:t>
      </w:r>
    </w:p>
    <w:p w14:paraId="37416E99" w14:textId="77777777" w:rsidR="009E5B23" w:rsidRDefault="009E5B23" w:rsidP="009E5B23"/>
    <w:p w14:paraId="625FFEDD" w14:textId="6AB9ECBC" w:rsidR="00953675" w:rsidRDefault="00953675" w:rsidP="00953675">
      <w:r>
        <w:t>Le parent déchu conserve une certaine responsabilité en matière de responsabilité civile</w:t>
      </w:r>
      <w:r w:rsidR="00857CAF">
        <w:t>.</w:t>
      </w:r>
      <w:r w:rsidR="00247739">
        <w:t xml:space="preserve"> </w:t>
      </w:r>
      <w:r w:rsidR="00831EAB">
        <w:t xml:space="preserve">On pourrait poursuivre le titulaire de l’autorité parentale et le parent déchu pour la faute ou le fait du mineur. </w:t>
      </w:r>
    </w:p>
    <w:p w14:paraId="79BBC907" w14:textId="341BFE7D" w:rsidR="002E2025" w:rsidRDefault="002E2025" w:rsidP="00953675"/>
    <w:p w14:paraId="30FEDF72" w14:textId="109E10B8" w:rsidR="002E2025" w:rsidRDefault="002E2025" w:rsidP="002E2025">
      <w:pPr>
        <w:pStyle w:val="ListParagraph"/>
        <w:numPr>
          <w:ilvl w:val="0"/>
          <w:numId w:val="21"/>
        </w:numPr>
      </w:pPr>
      <w:r w:rsidRPr="00833D83">
        <w:rPr>
          <w:b/>
          <w:bCs/>
        </w:rPr>
        <w:t>La faute ou le fait du mineur –</w:t>
      </w:r>
      <w:r>
        <w:rPr>
          <w:b/>
          <w:bCs/>
        </w:rPr>
        <w:t xml:space="preserve"> </w:t>
      </w:r>
      <w:r w:rsidRPr="00833D83">
        <w:rPr>
          <w:b/>
          <w:bCs/>
        </w:rPr>
        <w:t>La responsabilité</w:t>
      </w:r>
      <w:r>
        <w:rPr>
          <w:b/>
          <w:bCs/>
        </w:rPr>
        <w:t xml:space="preserve"> de la personne qui se voit confier le mineur à titre onéreux</w:t>
      </w:r>
      <w:r w:rsidR="00B64319">
        <w:rPr>
          <w:b/>
          <w:bCs/>
        </w:rPr>
        <w:t xml:space="preserve"> (</w:t>
      </w:r>
      <w:r w:rsidR="00B64319" w:rsidRPr="00116EFA">
        <w:rPr>
          <w:b/>
          <w:bCs/>
          <w:color w:val="F55C5E"/>
        </w:rPr>
        <w:t>art.</w:t>
      </w:r>
      <w:r w:rsidR="00116EFA" w:rsidRPr="00116EFA">
        <w:rPr>
          <w:b/>
          <w:bCs/>
          <w:color w:val="F55C5E"/>
        </w:rPr>
        <w:t xml:space="preserve"> </w:t>
      </w:r>
      <w:r w:rsidR="00116EFA">
        <w:rPr>
          <w:b/>
          <w:bCs/>
          <w:color w:val="F55C5E"/>
        </w:rPr>
        <w:t>1460</w:t>
      </w:r>
      <w:r w:rsidR="00792047">
        <w:rPr>
          <w:b/>
          <w:bCs/>
          <w:color w:val="F55C5E"/>
        </w:rPr>
        <w:t xml:space="preserve">, al.1 </w:t>
      </w:r>
      <w:r w:rsidR="00B64319" w:rsidRPr="00116EFA">
        <w:rPr>
          <w:b/>
          <w:bCs/>
          <w:color w:val="F55C5E"/>
        </w:rPr>
        <w:t>C.c.Q</w:t>
      </w:r>
      <w:r w:rsidR="00B64319">
        <w:rPr>
          <w:b/>
          <w:bCs/>
        </w:rPr>
        <w:t>.)</w:t>
      </w:r>
    </w:p>
    <w:p w14:paraId="4AF489C6" w14:textId="24D95DBC" w:rsidR="00953675" w:rsidRDefault="00953675" w:rsidP="00953675"/>
    <w:p w14:paraId="41EDBB81" w14:textId="170316C9" w:rsidR="00116EFA" w:rsidRDefault="00F67B12" w:rsidP="00F67B12">
      <w:pPr>
        <w:pStyle w:val="ListParagraph"/>
        <w:numPr>
          <w:ilvl w:val="0"/>
          <w:numId w:val="10"/>
        </w:numPr>
      </w:pPr>
      <w:r>
        <w:t>Exemple : moniteur de camp de vacance</w:t>
      </w:r>
      <w:r w:rsidR="003D4D0C">
        <w:t>s</w:t>
      </w:r>
      <w:r>
        <w:t xml:space="preserve">, professeur, sauveteur, </w:t>
      </w:r>
      <w:r w:rsidR="00542CA3">
        <w:t xml:space="preserve">instituteur, </w:t>
      </w:r>
      <w:r>
        <w:t>celui qui garde des enfants…</w:t>
      </w:r>
      <w:r w:rsidR="00542CA3">
        <w:t>c’est large</w:t>
      </w:r>
    </w:p>
    <w:p w14:paraId="3394D0CB" w14:textId="6B5B40A3" w:rsidR="00F67B12" w:rsidRDefault="00F67B12" w:rsidP="00F67B12"/>
    <w:p w14:paraId="26CBAC98" w14:textId="77D73608" w:rsidR="00F67B12" w:rsidRDefault="00542CA3" w:rsidP="003D4D0C">
      <w:pPr>
        <w:ind w:firstLine="708"/>
      </w:pPr>
      <w:r>
        <w:rPr>
          <w:u w:val="single"/>
        </w:rPr>
        <w:t>Quatre c</w:t>
      </w:r>
      <w:r w:rsidR="00F67B12" w:rsidRPr="003D4D0C">
        <w:rPr>
          <w:u w:val="single"/>
        </w:rPr>
        <w:t>onditions </w:t>
      </w:r>
      <w:r w:rsidR="00F67B12">
        <w:t>:</w:t>
      </w:r>
    </w:p>
    <w:p w14:paraId="3EC3ED80" w14:textId="76C68344" w:rsidR="00F67B12" w:rsidRDefault="00F67B12" w:rsidP="00F67B12"/>
    <w:p w14:paraId="0985A701" w14:textId="0CA10F27" w:rsidR="00116EFA" w:rsidRDefault="00687278" w:rsidP="003D4D0C">
      <w:pPr>
        <w:pStyle w:val="ListParagraph"/>
        <w:numPr>
          <w:ilvl w:val="0"/>
          <w:numId w:val="25"/>
        </w:numPr>
      </w:pPr>
      <w:r>
        <w:t>La minorité de l’auteur du fait dommageable</w:t>
      </w:r>
    </w:p>
    <w:p w14:paraId="19CF0970" w14:textId="13BF2D60" w:rsidR="00687278" w:rsidRDefault="00687278" w:rsidP="003D4D0C">
      <w:pPr>
        <w:pStyle w:val="ListParagraph"/>
        <w:numPr>
          <w:ilvl w:val="0"/>
          <w:numId w:val="25"/>
        </w:numPr>
      </w:pPr>
      <w:r>
        <w:t>On s</w:t>
      </w:r>
      <w:r w:rsidRPr="00687278">
        <w:t>e voit confier, par délégation ou autrement, la garde, la surveillance ou l’éducation</w:t>
      </w:r>
    </w:p>
    <w:p w14:paraId="283C866E" w14:textId="001F4D0C" w:rsidR="00687278" w:rsidRDefault="001852F5" w:rsidP="003D4D0C">
      <w:pPr>
        <w:pStyle w:val="ListParagraph"/>
        <w:numPr>
          <w:ilvl w:val="0"/>
          <w:numId w:val="25"/>
        </w:numPr>
      </w:pPr>
      <w:r>
        <w:t>La faute du mineur ou le fait objectivement fautif du mineur non doué de raison</w:t>
      </w:r>
      <w:r w:rsidR="00A1654E">
        <w:t xml:space="preserve"> (</w:t>
      </w:r>
      <w:r w:rsidR="00A1654E" w:rsidRPr="001701BE">
        <w:rPr>
          <w:color w:val="F55C5E"/>
        </w:rPr>
        <w:t>art. 1462 C.c.Q.</w:t>
      </w:r>
      <w:r w:rsidR="00A1654E">
        <w:t>)</w:t>
      </w:r>
    </w:p>
    <w:p w14:paraId="74896169" w14:textId="273B9FB8" w:rsidR="00BB1A24" w:rsidRDefault="00124A3B" w:rsidP="00542CA3">
      <w:pPr>
        <w:pStyle w:val="ListParagraph"/>
        <w:numPr>
          <w:ilvl w:val="0"/>
          <w:numId w:val="25"/>
        </w:numPr>
      </w:pPr>
      <w:r>
        <w:t xml:space="preserve">L’exercice de la garde ne survient pas à titre gratuit ou moyennant récompense (sinon c’est l’art. </w:t>
      </w:r>
      <w:r w:rsidRPr="006908EA">
        <w:rPr>
          <w:color w:val="F55C5E"/>
        </w:rPr>
        <w:t xml:space="preserve">1460, l’al.2 C.c.Q. </w:t>
      </w:r>
      <w:r>
        <w:t>qui s’applique et il n’y a pas de présomption de faute)</w:t>
      </w:r>
    </w:p>
    <w:p w14:paraId="2843B93E" w14:textId="4926594A" w:rsidR="00542CA3" w:rsidRDefault="00542CA3" w:rsidP="00542CA3">
      <w:pPr>
        <w:tabs>
          <w:tab w:val="left" w:pos="8893"/>
        </w:tabs>
      </w:pPr>
    </w:p>
    <w:p w14:paraId="5F3C3696" w14:textId="70EACD45" w:rsidR="00542CA3" w:rsidRDefault="00542CA3" w:rsidP="00B026B8">
      <w:pPr>
        <w:tabs>
          <w:tab w:val="left" w:pos="8893"/>
        </w:tabs>
        <w:jc w:val="center"/>
      </w:pPr>
      <w:r>
        <w:lastRenderedPageBreak/>
        <w:t xml:space="preserve">= Quand </w:t>
      </w:r>
      <w:r w:rsidR="00B026B8">
        <w:t>c’est conditions sont prouvés, comme pour les parents, il y a un renversement du fardeau. Ces personnes devront prouver qu’ils ont bien surveiller l’enfant</w:t>
      </w:r>
      <w:r w:rsidR="00CF7A13">
        <w:t xml:space="preserve"> compte tenu des circonstances.</w:t>
      </w:r>
      <w:r w:rsidR="00B026B8">
        <w:t xml:space="preserve"> Ce ne sera pas une question d’éducation.</w:t>
      </w:r>
    </w:p>
    <w:p w14:paraId="5266C5E3" w14:textId="31025EF3" w:rsidR="00D606CD" w:rsidRDefault="00D606CD" w:rsidP="00D606CD"/>
    <w:p w14:paraId="43016AB7" w14:textId="7F7B7192" w:rsidR="003E787D" w:rsidRDefault="00B16ECB" w:rsidP="00B16ECB">
      <w:pPr>
        <w:pStyle w:val="ListParagraph"/>
        <w:numPr>
          <w:ilvl w:val="0"/>
          <w:numId w:val="21"/>
        </w:numPr>
      </w:pPr>
      <w:r w:rsidRPr="00833D83">
        <w:rPr>
          <w:b/>
          <w:bCs/>
        </w:rPr>
        <w:t>La faute ou le fait du mineur –</w:t>
      </w:r>
      <w:r>
        <w:rPr>
          <w:b/>
          <w:bCs/>
        </w:rPr>
        <w:t xml:space="preserve"> </w:t>
      </w:r>
      <w:r w:rsidRPr="00833D83">
        <w:rPr>
          <w:b/>
          <w:bCs/>
        </w:rPr>
        <w:t>La responsabilité</w:t>
      </w:r>
      <w:r>
        <w:rPr>
          <w:b/>
          <w:bCs/>
        </w:rPr>
        <w:t xml:space="preserve"> </w:t>
      </w:r>
      <w:r w:rsidR="0081357F">
        <w:rPr>
          <w:b/>
          <w:bCs/>
        </w:rPr>
        <w:t>de la personne qui se voit confier le mineur à titre gratuit ou moyennant récompense</w:t>
      </w:r>
      <w:r w:rsidR="00EA3B3E">
        <w:rPr>
          <w:b/>
          <w:bCs/>
        </w:rPr>
        <w:t xml:space="preserve"> (</w:t>
      </w:r>
      <w:r w:rsidR="00EA3B3E" w:rsidRPr="00B3683D">
        <w:rPr>
          <w:b/>
          <w:bCs/>
          <w:color w:val="F55C5E"/>
        </w:rPr>
        <w:t xml:space="preserve">art. </w:t>
      </w:r>
      <w:r w:rsidR="00B3683D">
        <w:rPr>
          <w:b/>
          <w:bCs/>
          <w:color w:val="F55C5E"/>
        </w:rPr>
        <w:t xml:space="preserve">1460, al.2 </w:t>
      </w:r>
      <w:r w:rsidR="00EA3B3E" w:rsidRPr="00B3683D">
        <w:rPr>
          <w:b/>
          <w:bCs/>
          <w:color w:val="F55C5E"/>
        </w:rPr>
        <w:t>C.c.Q.</w:t>
      </w:r>
      <w:r w:rsidR="00EA3B3E">
        <w:rPr>
          <w:b/>
          <w:bCs/>
        </w:rPr>
        <w:t>)</w:t>
      </w:r>
    </w:p>
    <w:p w14:paraId="348C467A" w14:textId="5A255E47" w:rsidR="00703B92" w:rsidRDefault="00703B92" w:rsidP="007B2A4F"/>
    <w:p w14:paraId="669EBB88" w14:textId="6238F565" w:rsidR="00B16ECB" w:rsidRDefault="00B642BD" w:rsidP="007B2A4F">
      <w:r>
        <w:t xml:space="preserve">Contrairement aux parents ou à ceux qui le font moyennant rémunération, </w:t>
      </w:r>
      <w:r w:rsidR="00B044D9">
        <w:t xml:space="preserve">la personne qui le fait gratuitement </w:t>
      </w:r>
      <w:r w:rsidR="00ED65ED">
        <w:t xml:space="preserve">n’est pas présumée fautive. La victime devra alors prouver la faute dans la surveillance. </w:t>
      </w:r>
      <w:r w:rsidR="00553148">
        <w:t xml:space="preserve">C’est le pendant de </w:t>
      </w:r>
      <w:r w:rsidR="00553148" w:rsidRPr="00997AB3">
        <w:rPr>
          <w:color w:val="F55C5E"/>
        </w:rPr>
        <w:t>l’art. 1457 C.c.Q</w:t>
      </w:r>
      <w:r w:rsidR="00553148">
        <w:t>.</w:t>
      </w:r>
    </w:p>
    <w:p w14:paraId="30CD9431" w14:textId="59BAEE72" w:rsidR="00B16ECB" w:rsidRDefault="00B16ECB" w:rsidP="007B2A4F"/>
    <w:p w14:paraId="735A72AA" w14:textId="03AA6683" w:rsidR="00B16ECB" w:rsidRDefault="00997AB3" w:rsidP="007B2A4F">
      <w:r>
        <w:t>Si c’est moyennant une récompense</w:t>
      </w:r>
      <w:r w:rsidR="00D568BD">
        <w:t xml:space="preserve">, </w:t>
      </w:r>
      <w:r w:rsidR="009964DC">
        <w:t>pour une somme modique, elle ne sera pas tenue responsable. On parle ici de la gardienne de soir</w:t>
      </w:r>
      <w:r w:rsidR="001E6915">
        <w:t xml:space="preserve">. </w:t>
      </w:r>
    </w:p>
    <w:p w14:paraId="3B2B7220" w14:textId="0CC61ADB" w:rsidR="0099494B" w:rsidRDefault="0099494B" w:rsidP="007B2A4F"/>
    <w:p w14:paraId="2701063F" w14:textId="122D3A15" w:rsidR="0099494B" w:rsidRPr="00236514" w:rsidRDefault="0099494B" w:rsidP="0099494B">
      <w:pPr>
        <w:pStyle w:val="ListParagraph"/>
        <w:numPr>
          <w:ilvl w:val="0"/>
          <w:numId w:val="21"/>
        </w:numPr>
        <w:rPr>
          <w:b/>
          <w:bCs/>
        </w:rPr>
      </w:pPr>
      <w:r w:rsidRPr="00236514">
        <w:rPr>
          <w:b/>
          <w:bCs/>
        </w:rPr>
        <w:t>Le fait du majeur non doué de raison : la responsabilité du tuteur, du curateur ou du gardien</w:t>
      </w:r>
      <w:r w:rsidR="00236514">
        <w:rPr>
          <w:b/>
          <w:bCs/>
        </w:rPr>
        <w:t xml:space="preserve"> (</w:t>
      </w:r>
      <w:r w:rsidR="00236514" w:rsidRPr="00333188">
        <w:rPr>
          <w:b/>
          <w:bCs/>
          <w:color w:val="F55C5E"/>
        </w:rPr>
        <w:t xml:space="preserve">art. </w:t>
      </w:r>
      <w:r w:rsidR="00E84F73">
        <w:rPr>
          <w:b/>
          <w:bCs/>
          <w:color w:val="F55C5E"/>
        </w:rPr>
        <w:t xml:space="preserve">1461 </w:t>
      </w:r>
      <w:r w:rsidR="00236514" w:rsidRPr="00333188">
        <w:rPr>
          <w:b/>
          <w:bCs/>
          <w:color w:val="F55C5E"/>
        </w:rPr>
        <w:t>C.c.Q</w:t>
      </w:r>
      <w:r w:rsidR="00236514">
        <w:rPr>
          <w:b/>
          <w:bCs/>
        </w:rPr>
        <w:t>.)</w:t>
      </w:r>
    </w:p>
    <w:p w14:paraId="272AC0AF" w14:textId="0AF5BE2F" w:rsidR="00236514" w:rsidRDefault="00236514" w:rsidP="00236514"/>
    <w:p w14:paraId="4976685E" w14:textId="2C2F38A7" w:rsidR="00F3094F" w:rsidRDefault="00EE48F7" w:rsidP="00236514">
      <w:r>
        <w:t xml:space="preserve">Il n’est pas question de faute ici, mais bien d’un fait. On doit lire </w:t>
      </w:r>
      <w:r w:rsidRPr="00445469">
        <w:rPr>
          <w:color w:val="F55C5E"/>
        </w:rPr>
        <w:t xml:space="preserve">l’art. 1461 </w:t>
      </w:r>
      <w:r>
        <w:t xml:space="preserve">avec </w:t>
      </w:r>
      <w:r w:rsidRPr="00445469">
        <w:rPr>
          <w:color w:val="F55C5E"/>
        </w:rPr>
        <w:t>l’art. 1462 C.c.Q</w:t>
      </w:r>
      <w:r>
        <w:t xml:space="preserve">. </w:t>
      </w:r>
    </w:p>
    <w:p w14:paraId="23D09B1C" w14:textId="1E8DA157" w:rsidR="00F3094F" w:rsidRDefault="00F3094F" w:rsidP="00236514">
      <w:r>
        <w:t>Est-ce qu</w:t>
      </w:r>
      <w:r w:rsidR="00EF5564">
        <w:t xml:space="preserve">e ces actes commis par une personne douée de raison sont objectivement fautif ? </w:t>
      </w:r>
    </w:p>
    <w:p w14:paraId="3A73477E" w14:textId="738A9226" w:rsidR="000B1945" w:rsidRDefault="000B1945" w:rsidP="00236514"/>
    <w:p w14:paraId="2615B2CB" w14:textId="5AD327BE" w:rsidR="000B1945" w:rsidRDefault="00150D28" w:rsidP="00236514">
      <w:r>
        <w:t xml:space="preserve">Ces personnes ne seront </w:t>
      </w:r>
      <w:r w:rsidR="008E15A3">
        <w:t>responsables que s’il est prouvé qu’ils ont commis une faute lourde ou intentionnelle</w:t>
      </w:r>
      <w:r w:rsidR="005E350B">
        <w:t xml:space="preserve"> dans la garde et la surveillance </w:t>
      </w:r>
      <w:r w:rsidR="00197322">
        <w:t>du majeur non doué de raison.</w:t>
      </w:r>
    </w:p>
    <w:p w14:paraId="24A2B790" w14:textId="77777777" w:rsidR="00B92325" w:rsidRDefault="00B92325" w:rsidP="00236514">
      <w:pPr>
        <w:rPr>
          <w:color w:val="F55C5E"/>
        </w:rPr>
      </w:pPr>
    </w:p>
    <w:p w14:paraId="7796A69D" w14:textId="49F705B4" w:rsidR="00197322" w:rsidRDefault="00197322" w:rsidP="00236514">
      <w:r w:rsidRPr="00B92325">
        <w:rPr>
          <w:color w:val="F55C5E"/>
        </w:rPr>
        <w:t>Art. 1474 C.c.Q. </w:t>
      </w:r>
      <w:r>
        <w:t>:</w:t>
      </w:r>
    </w:p>
    <w:p w14:paraId="15D1C3F4" w14:textId="725281F7" w:rsidR="00B92325" w:rsidRDefault="00B92325" w:rsidP="00B92325">
      <w:r>
        <w:t>Une personne ne peut exclure ou limiter sa responsabilité pour le préjudice matériel causé à autrui par une faute intentionnelle ou une faute lourde; la faute lourde est celle qui dénote une insouciance, une imprudence ou une négligence grossières.</w:t>
      </w:r>
    </w:p>
    <w:p w14:paraId="6250D58B" w14:textId="77777777" w:rsidR="004E716F" w:rsidRDefault="004E716F" w:rsidP="00B92325"/>
    <w:p w14:paraId="08FEBFA4" w14:textId="2B572A1B" w:rsidR="00197322" w:rsidRDefault="00B92325" w:rsidP="00B92325">
      <w:r>
        <w:t>Elle ne peut aucunement exclure ou limiter sa responsabilité pour le préjudice corporel ou moral causé à autrui.</w:t>
      </w:r>
    </w:p>
    <w:p w14:paraId="104A146A" w14:textId="1168DBBE" w:rsidR="00B16ECB" w:rsidRDefault="00B16ECB" w:rsidP="007B2A4F"/>
    <w:p w14:paraId="7EC2C5FC" w14:textId="40E39A2E" w:rsidR="00B92325" w:rsidRPr="00110832" w:rsidRDefault="00B74A0A" w:rsidP="00B92325">
      <w:pPr>
        <w:pStyle w:val="ListParagraph"/>
        <w:numPr>
          <w:ilvl w:val="0"/>
          <w:numId w:val="21"/>
        </w:numPr>
        <w:rPr>
          <w:b/>
          <w:bCs/>
        </w:rPr>
      </w:pPr>
      <w:r w:rsidRPr="00110832">
        <w:rPr>
          <w:b/>
          <w:bCs/>
        </w:rPr>
        <w:t>La faute du préposé : la responsabilité du commettant (</w:t>
      </w:r>
      <w:r w:rsidRPr="00110832">
        <w:rPr>
          <w:b/>
          <w:bCs/>
          <w:color w:val="F55C5E"/>
        </w:rPr>
        <w:t xml:space="preserve">art. </w:t>
      </w:r>
      <w:r w:rsidR="00353DE5">
        <w:rPr>
          <w:b/>
          <w:bCs/>
          <w:color w:val="F55C5E"/>
        </w:rPr>
        <w:t xml:space="preserve">1463 </w:t>
      </w:r>
      <w:r w:rsidRPr="00110832">
        <w:rPr>
          <w:b/>
          <w:bCs/>
          <w:color w:val="F55C5E"/>
        </w:rPr>
        <w:t>C.c.Q.</w:t>
      </w:r>
      <w:r w:rsidRPr="00110832">
        <w:rPr>
          <w:b/>
          <w:bCs/>
        </w:rPr>
        <w:t>)</w:t>
      </w:r>
    </w:p>
    <w:p w14:paraId="39FE834C" w14:textId="0C78D916" w:rsidR="00B74A0A" w:rsidRDefault="00B74A0A" w:rsidP="00B74A0A"/>
    <w:p w14:paraId="132CD179" w14:textId="174532E6" w:rsidR="00B74A0A" w:rsidRDefault="00353DE5" w:rsidP="00DF06E9">
      <w:pPr>
        <w:ind w:firstLine="360"/>
      </w:pPr>
      <w:r w:rsidRPr="00DF06E9">
        <w:rPr>
          <w:u w:val="single"/>
        </w:rPr>
        <w:t>Trois conditions </w:t>
      </w:r>
      <w:r>
        <w:t>:</w:t>
      </w:r>
    </w:p>
    <w:p w14:paraId="54BE6FC7" w14:textId="28D31769" w:rsidR="00353DE5" w:rsidRDefault="00353DE5" w:rsidP="00B74A0A"/>
    <w:p w14:paraId="4535E31F" w14:textId="1470BD4A" w:rsidR="00353DE5" w:rsidRDefault="00DF06E9" w:rsidP="00DF06E9">
      <w:pPr>
        <w:pStyle w:val="ListParagraph"/>
        <w:numPr>
          <w:ilvl w:val="0"/>
          <w:numId w:val="26"/>
        </w:numPr>
      </w:pPr>
      <w:r>
        <w:t xml:space="preserve"> </w:t>
      </w:r>
      <w:r w:rsidR="003704B7">
        <w:t xml:space="preserve">La faute du préposé : </w:t>
      </w:r>
      <w:r w:rsidR="00BB1915">
        <w:t xml:space="preserve">si le préposé n’est pas doué de raison, le régime ne s’applique pas. </w:t>
      </w:r>
    </w:p>
    <w:p w14:paraId="2E6A152A" w14:textId="24723748" w:rsidR="00DF06E9" w:rsidRDefault="00BB1915" w:rsidP="00DF06E9">
      <w:pPr>
        <w:pStyle w:val="ListParagraph"/>
        <w:numPr>
          <w:ilvl w:val="0"/>
          <w:numId w:val="26"/>
        </w:numPr>
      </w:pPr>
      <w:r>
        <w:t>Lien de préposition entre le commettant et le préposé</w:t>
      </w:r>
      <w:r w:rsidR="00AB5C5F">
        <w:t xml:space="preserve"> : subordination, </w:t>
      </w:r>
      <w:r w:rsidR="00616324">
        <w:t>le</w:t>
      </w:r>
      <w:r w:rsidR="00AB5C5F">
        <w:t xml:space="preserve"> contrôle </w:t>
      </w:r>
      <w:r w:rsidR="00616324">
        <w:t>d’une autre personne</w:t>
      </w:r>
      <w:r w:rsidR="004C3DE4">
        <w:t xml:space="preserve"> (fournir les outils, horaire…)</w:t>
      </w:r>
    </w:p>
    <w:p w14:paraId="60C829C0" w14:textId="3EA9FAB4" w:rsidR="00DF06E9" w:rsidRDefault="004C3DE4" w:rsidP="00DF06E9">
      <w:pPr>
        <w:pStyle w:val="ListParagraph"/>
        <w:numPr>
          <w:ilvl w:val="0"/>
          <w:numId w:val="26"/>
        </w:numPr>
      </w:pPr>
      <w:r>
        <w:t>La survenance de la faute du préposé dans l’exécution de ses fonctions</w:t>
      </w:r>
      <w:r w:rsidR="00274D70">
        <w:t xml:space="preserve"> : </w:t>
      </w:r>
      <w:r w:rsidR="00265A64">
        <w:t>lorsque le préposé a commis l’acte dommageable,</w:t>
      </w:r>
      <w:r w:rsidR="0006619E">
        <w:t xml:space="preserve"> </w:t>
      </w:r>
      <w:r w:rsidR="00265A64">
        <w:t>est-ce qu’il le faisait d’une certaine façon pour le bénéfice du patron</w:t>
      </w:r>
      <w:r w:rsidR="00215EEB">
        <w:t> </w:t>
      </w:r>
      <w:r w:rsidR="0006619E">
        <w:t>?</w:t>
      </w:r>
      <w:r w:rsidR="00215EEB">
        <w:t xml:space="preserve"> Si ce n’est que pour son bénéfice personnelle, ce n’est pas inclus dans ce régime, mais si c’était concurrent ou que pour le patron, ça entre</w:t>
      </w:r>
    </w:p>
    <w:p w14:paraId="1A0392A6" w14:textId="4BFDD492" w:rsidR="007D2C36" w:rsidRDefault="007D2C36" w:rsidP="007D2C36"/>
    <w:p w14:paraId="63D0D534" w14:textId="63594A4A" w:rsidR="007D2C36" w:rsidRDefault="007D2C36" w:rsidP="007D2C36">
      <w:pPr>
        <w:pStyle w:val="ListParagraph"/>
        <w:numPr>
          <w:ilvl w:val="0"/>
          <w:numId w:val="10"/>
        </w:numPr>
      </w:pPr>
      <w:r>
        <w:t xml:space="preserve">Exemple : un policier qui décide de mettre du plomb dans </w:t>
      </w:r>
      <w:r w:rsidR="00090139">
        <w:t xml:space="preserve">sa matraque pour </w:t>
      </w:r>
      <w:r w:rsidR="00B72CB6">
        <w:t xml:space="preserve">frapper plus fort. </w:t>
      </w:r>
      <w:r w:rsidR="001C439D">
        <w:t xml:space="preserve">Il frappe et blesse sérieusement la personne. Est-ce qu’il était dans l’exercice de ses fonctions ? Il y </w:t>
      </w:r>
      <w:r w:rsidR="001C439D">
        <w:lastRenderedPageBreak/>
        <w:t>a un bénéfice concurrent, voulait mettre fin à la manifestation illégale, mais en même temps il se faisait plaisir en frappant plus fort</w:t>
      </w:r>
      <w:r w:rsidR="00642E4C">
        <w:t xml:space="preserve"> (on peut considérer qu’il est dans l’exécution de ses fonctions)</w:t>
      </w:r>
    </w:p>
    <w:p w14:paraId="05A921D9" w14:textId="6129107C" w:rsidR="007C7291" w:rsidRDefault="006675A6" w:rsidP="007C7291">
      <w:pPr>
        <w:pStyle w:val="ListParagraph"/>
        <w:numPr>
          <w:ilvl w:val="0"/>
          <w:numId w:val="10"/>
        </w:numPr>
      </w:pPr>
      <w:r>
        <w:t xml:space="preserve">Exemple : individu dans un restaurant, il commande un </w:t>
      </w:r>
      <w:proofErr w:type="spellStart"/>
      <w:r>
        <w:t>smoke</w:t>
      </w:r>
      <w:proofErr w:type="spellEnd"/>
      <w:r>
        <w:t xml:space="preserve"> </w:t>
      </w:r>
      <w:proofErr w:type="spellStart"/>
      <w:r>
        <w:t>meat</w:t>
      </w:r>
      <w:proofErr w:type="spellEnd"/>
      <w:r>
        <w:t xml:space="preserve"> avec cornichon</w:t>
      </w:r>
      <w:r w:rsidR="008B723B">
        <w:t>s</w:t>
      </w:r>
      <w:r>
        <w:t xml:space="preserve"> et puis un 2</w:t>
      </w:r>
      <w:r w:rsidRPr="006675A6">
        <w:rPr>
          <w:vertAlign w:val="superscript"/>
        </w:rPr>
        <w:t>ème</w:t>
      </w:r>
      <w:r>
        <w:t>, un 3</w:t>
      </w:r>
      <w:r w:rsidRPr="006675A6">
        <w:rPr>
          <w:vertAlign w:val="superscript"/>
        </w:rPr>
        <w:t>ème</w:t>
      </w:r>
      <w:r>
        <w:t xml:space="preserve"> et au 4</w:t>
      </w:r>
      <w:r w:rsidRPr="006675A6">
        <w:rPr>
          <w:vertAlign w:val="superscript"/>
        </w:rPr>
        <w:t>ème</w:t>
      </w:r>
      <w:r>
        <w:t xml:space="preserve">, la serveuse va lui dire non. </w:t>
      </w:r>
      <w:r w:rsidR="008B723B">
        <w:t xml:space="preserve">L’individu </w:t>
      </w:r>
      <w:r w:rsidR="007C7291">
        <w:t xml:space="preserve">était à l’extérieur et </w:t>
      </w:r>
      <w:r w:rsidR="008B723B">
        <w:t xml:space="preserve">va se rendre </w:t>
      </w:r>
      <w:r w:rsidR="007C7291">
        <w:t xml:space="preserve">à l’intérieur pour prendre un cornichon et le gérant va lui donner un coup de couvercle et va le blesser. Les individus se connaissaient déjà et avaient une dispute personnelle : ce ne sera pas dans l’exécution des fonctions, mais s’il protégeait les cornichons, ce sera inclue. </w:t>
      </w:r>
    </w:p>
    <w:p w14:paraId="583B4F21" w14:textId="2E640BCF" w:rsidR="00C70023" w:rsidRDefault="007C7291" w:rsidP="00C70023">
      <w:pPr>
        <w:pStyle w:val="ListParagraph"/>
        <w:numPr>
          <w:ilvl w:val="0"/>
          <w:numId w:val="10"/>
        </w:numPr>
      </w:pPr>
      <w:r>
        <w:t xml:space="preserve">Exemple : </w:t>
      </w:r>
      <w:r w:rsidR="00244394">
        <w:t xml:space="preserve">compagnie de construction dans le centre-ville et il y a la compagnie Garda qui surveille les lieux. Un préposé surveillant décide de mettre le feu à l’endroit </w:t>
      </w:r>
      <w:r w:rsidR="00E03C37">
        <w:t>et d’y mettre fin pour paraitre comme un héro. Les pompiers ont dû intervenir pour cesser le feu et des dommages de plus centaine de milliers de $ ont été causés</w:t>
      </w:r>
      <w:r w:rsidR="00852872">
        <w:t xml:space="preserve">. </w:t>
      </w:r>
      <w:r w:rsidR="001D5F3D">
        <w:t xml:space="preserve">Lorsqu’il a fait cela est-ce qu’il était dans l’exercice de ses fonctions ? La Cour vient dire que oui puisqu’il </w:t>
      </w:r>
      <w:r w:rsidR="006E43B1">
        <w:t xml:space="preserve">avait un bénéfice personnel et il </w:t>
      </w:r>
      <w:r w:rsidR="001D5F3D">
        <w:t xml:space="preserve">le faisait pour </w:t>
      </w:r>
      <w:r w:rsidR="006E43B1">
        <w:t xml:space="preserve">montrer </w:t>
      </w:r>
      <w:r w:rsidR="001D5F3D">
        <w:t xml:space="preserve">que Garda </w:t>
      </w:r>
      <w:r w:rsidR="006E43B1">
        <w:t>avait de super</w:t>
      </w:r>
      <w:r w:rsidR="002B6441">
        <w:t>s</w:t>
      </w:r>
      <w:r w:rsidR="006E43B1">
        <w:t xml:space="preserve"> employé</w:t>
      </w:r>
      <w:r w:rsidR="00A55910">
        <w:t>s</w:t>
      </w:r>
      <w:r w:rsidR="0038071B">
        <w:t>.</w:t>
      </w:r>
    </w:p>
    <w:p w14:paraId="54292D37" w14:textId="4D90A414" w:rsidR="00B92325" w:rsidRDefault="00B92325" w:rsidP="007B2A4F"/>
    <w:p w14:paraId="40F37A38" w14:textId="11B340B6" w:rsidR="00E626DB" w:rsidRDefault="00E626DB" w:rsidP="00E54AD1">
      <w:pPr>
        <w:jc w:val="center"/>
      </w:pPr>
      <w:r>
        <w:t xml:space="preserve">= Lorsque ces trois éléments sont prouvés, il y a une présomption qui va s’établir. </w:t>
      </w:r>
      <w:r w:rsidR="00FB2FF4">
        <w:t>Quasi</w:t>
      </w:r>
      <w:r w:rsidR="00FD2782">
        <w:t>-</w:t>
      </w:r>
      <w:r w:rsidR="00FB2FF4">
        <w:t xml:space="preserve">obligation objective du commettant. </w:t>
      </w:r>
      <w:r w:rsidR="00E54AD1">
        <w:t>Le commettant devra démontrer que son préposé n’a pas commis de faut</w:t>
      </w:r>
      <w:r w:rsidR="00793368">
        <w:t>e</w:t>
      </w:r>
      <w:r w:rsidR="00F81BD5">
        <w:t xml:space="preserve">, </w:t>
      </w:r>
      <w:r w:rsidR="00CC41D7">
        <w:t>que ce n’était pas son préposé, qu’il n’était pas dans l’exécution de ses fonctions. Les moyens de défenses généraux : la faute de la victime, la force majeure</w:t>
      </w:r>
      <w:r w:rsidR="00E441B7">
        <w:t>…¨</w:t>
      </w:r>
      <w:r w:rsidR="00CC41D7">
        <w:t xml:space="preserve"> </w:t>
      </w:r>
    </w:p>
    <w:p w14:paraId="2283A3E0" w14:textId="77777777" w:rsidR="00985990" w:rsidRDefault="00985990" w:rsidP="007B2A4F"/>
    <w:p w14:paraId="19641061" w14:textId="2B9569D6" w:rsidR="003E4164" w:rsidRDefault="003E4164" w:rsidP="003E4164">
      <w:pPr>
        <w:pStyle w:val="Heading2"/>
      </w:pPr>
      <w:r>
        <w:t xml:space="preserve">La responsabilité du fait des biens </w:t>
      </w:r>
    </w:p>
    <w:p w14:paraId="52CA9603" w14:textId="77777777" w:rsidR="0069091E" w:rsidRDefault="0069091E" w:rsidP="0069091E"/>
    <w:p w14:paraId="40E9CDDA" w14:textId="77777777" w:rsidR="0069091E" w:rsidRPr="00985990" w:rsidRDefault="0069091E" w:rsidP="0069091E">
      <w:pPr>
        <w:rPr>
          <w:b/>
          <w:bCs/>
        </w:rPr>
      </w:pPr>
      <w:r w:rsidRPr="00985990">
        <w:rPr>
          <w:b/>
          <w:bCs/>
        </w:rPr>
        <w:t>Vrai/Faux</w:t>
      </w:r>
    </w:p>
    <w:p w14:paraId="648AF916" w14:textId="77777777" w:rsidR="0069091E" w:rsidRDefault="0069091E" w:rsidP="0069091E"/>
    <w:p w14:paraId="4282B97A" w14:textId="77777777" w:rsidR="0069091E" w:rsidRDefault="0069091E" w:rsidP="0069091E">
      <w:r w:rsidRPr="00985990">
        <w:t>Le propriétaire d’un animal peut invoquer comme moyen de défense à l’encontre du fait fautif de celui-ci qu’il s’est égaré ou échappé.</w:t>
      </w:r>
    </w:p>
    <w:p w14:paraId="2C125A28" w14:textId="77777777" w:rsidR="0069091E" w:rsidRDefault="0069091E" w:rsidP="0069091E"/>
    <w:p w14:paraId="2CAC1428" w14:textId="611CC8A3" w:rsidR="00DE6953" w:rsidRDefault="0069091E" w:rsidP="00E0560B">
      <w:r>
        <w:t>Faux, l</w:t>
      </w:r>
      <w:r w:rsidRPr="00FD2782">
        <w:t xml:space="preserve">e fait que l’animal se soit égaré ou échappé n’est pas un moyen de défense </w:t>
      </w:r>
      <w:r w:rsidRPr="0069091E">
        <w:rPr>
          <w:color w:val="F55C5E"/>
        </w:rPr>
        <w:t>art. 1466, al. 1 C.c.Q. in fine</w:t>
      </w:r>
      <w:r w:rsidRPr="00FD2782">
        <w:t>.</w:t>
      </w:r>
    </w:p>
    <w:p w14:paraId="2849FAAB" w14:textId="392249B7" w:rsidR="00E0560B" w:rsidRDefault="00E0560B" w:rsidP="00E0560B"/>
    <w:p w14:paraId="7372B1EA" w14:textId="130CF1D2" w:rsidR="00E0560B" w:rsidRPr="00C0261B" w:rsidRDefault="00E0560B" w:rsidP="00E0560B">
      <w:pPr>
        <w:pStyle w:val="ListParagraph"/>
        <w:numPr>
          <w:ilvl w:val="0"/>
          <w:numId w:val="27"/>
        </w:numPr>
        <w:rPr>
          <w:b/>
          <w:bCs/>
        </w:rPr>
      </w:pPr>
      <w:r w:rsidRPr="00C0261B">
        <w:rPr>
          <w:b/>
          <w:bCs/>
        </w:rPr>
        <w:t>Le fait autonome du gardien du bien</w:t>
      </w:r>
      <w:r w:rsidR="00B36CCE">
        <w:rPr>
          <w:b/>
          <w:bCs/>
        </w:rPr>
        <w:t xml:space="preserve"> (</w:t>
      </w:r>
      <w:r w:rsidR="00B36CCE" w:rsidRPr="001658F3">
        <w:rPr>
          <w:b/>
          <w:bCs/>
          <w:color w:val="F55C5E"/>
        </w:rPr>
        <w:t>art. 1465 C.c.Q.</w:t>
      </w:r>
      <w:r w:rsidR="00B36CCE">
        <w:rPr>
          <w:b/>
          <w:bCs/>
        </w:rPr>
        <w:t>)</w:t>
      </w:r>
    </w:p>
    <w:p w14:paraId="00018167" w14:textId="77777777" w:rsidR="00E0560B" w:rsidRDefault="00E0560B" w:rsidP="00E0560B"/>
    <w:p w14:paraId="508925E0" w14:textId="26E77AEE" w:rsidR="008D256E" w:rsidRDefault="00C44F59" w:rsidP="0064267D">
      <w:pPr>
        <w:rPr>
          <w:color w:val="000000" w:themeColor="text1"/>
        </w:rPr>
      </w:pPr>
      <w:r w:rsidRPr="00015501">
        <w:rPr>
          <w:color w:val="F55C5E"/>
        </w:rPr>
        <w:t xml:space="preserve">Art. 1465 </w:t>
      </w:r>
      <w:r w:rsidR="00015501" w:rsidRPr="00015501">
        <w:rPr>
          <w:color w:val="F55C5E"/>
        </w:rPr>
        <w:t>C.c.Q</w:t>
      </w:r>
      <w:r w:rsidR="00015501">
        <w:rPr>
          <w:color w:val="000000" w:themeColor="text1"/>
        </w:rPr>
        <w:t>. : application qu’en matière extracontractuelle</w:t>
      </w:r>
    </w:p>
    <w:p w14:paraId="1963C42C" w14:textId="10043C99" w:rsidR="00015501" w:rsidRDefault="00015501" w:rsidP="0064267D">
      <w:pPr>
        <w:rPr>
          <w:color w:val="000000" w:themeColor="text1"/>
        </w:rPr>
      </w:pPr>
      <w:r w:rsidRPr="00015501">
        <w:rPr>
          <w:color w:val="000000" w:themeColor="text1"/>
        </w:rPr>
        <w:t>Le gardien d’un bien est tenu de réparer le préjudice causé par le fait autonome de celui-ci, à moins qu’il prouve n’avoir commis aucune faute.</w:t>
      </w:r>
    </w:p>
    <w:p w14:paraId="0D9566EB" w14:textId="3799F4BA" w:rsidR="00015501" w:rsidRDefault="00015501" w:rsidP="0064267D">
      <w:pPr>
        <w:rPr>
          <w:color w:val="000000" w:themeColor="text1"/>
        </w:rPr>
      </w:pPr>
    </w:p>
    <w:p w14:paraId="284E559E" w14:textId="2B2734F6" w:rsidR="00015501" w:rsidRDefault="00342D7D" w:rsidP="00F61A84">
      <w:pPr>
        <w:ind w:firstLine="360"/>
        <w:rPr>
          <w:color w:val="000000" w:themeColor="text1"/>
        </w:rPr>
      </w:pPr>
      <w:r w:rsidRPr="00A701B7">
        <w:rPr>
          <w:color w:val="000000" w:themeColor="text1"/>
          <w:u w:val="single"/>
        </w:rPr>
        <w:t>Trois c</w:t>
      </w:r>
      <w:r w:rsidR="00C0261B" w:rsidRPr="00A701B7">
        <w:rPr>
          <w:color w:val="000000" w:themeColor="text1"/>
          <w:u w:val="single"/>
        </w:rPr>
        <w:t>onditions</w:t>
      </w:r>
      <w:r w:rsidR="00C0261B">
        <w:rPr>
          <w:color w:val="000000" w:themeColor="text1"/>
        </w:rPr>
        <w:t> :</w:t>
      </w:r>
    </w:p>
    <w:p w14:paraId="5F23F66D" w14:textId="01B19DB3" w:rsidR="00C0261B" w:rsidRDefault="00C0261B" w:rsidP="00C0261B">
      <w:pPr>
        <w:rPr>
          <w:color w:val="000000" w:themeColor="text1"/>
        </w:rPr>
      </w:pPr>
    </w:p>
    <w:p w14:paraId="15FB974C" w14:textId="3E5BC7A2" w:rsidR="00C0261B" w:rsidRDefault="00C0261B" w:rsidP="00C0261B">
      <w:pPr>
        <w:pStyle w:val="ListParagraph"/>
        <w:numPr>
          <w:ilvl w:val="0"/>
          <w:numId w:val="28"/>
        </w:numPr>
        <w:rPr>
          <w:color w:val="000000" w:themeColor="text1"/>
        </w:rPr>
      </w:pPr>
      <w:r>
        <w:rPr>
          <w:color w:val="000000" w:themeColor="text1"/>
        </w:rPr>
        <w:t>Le gardien du bien : généralement le propriétaire du bien, mais parfois le locataire</w:t>
      </w:r>
    </w:p>
    <w:p w14:paraId="620665FF" w14:textId="4EA729B2" w:rsidR="009F213C" w:rsidRDefault="00947C03" w:rsidP="00C0261B">
      <w:pPr>
        <w:pStyle w:val="ListParagraph"/>
        <w:numPr>
          <w:ilvl w:val="0"/>
          <w:numId w:val="28"/>
        </w:numPr>
        <w:rPr>
          <w:color w:val="000000" w:themeColor="text1"/>
        </w:rPr>
      </w:pPr>
      <w:r>
        <w:rPr>
          <w:color w:val="000000" w:themeColor="text1"/>
        </w:rPr>
        <w:t>Un bien : interprétation large</w:t>
      </w:r>
    </w:p>
    <w:p w14:paraId="7DF771B8" w14:textId="121FF720" w:rsidR="00FF298D" w:rsidRDefault="00AF4EB8" w:rsidP="00C0261B">
      <w:pPr>
        <w:pStyle w:val="ListParagraph"/>
        <w:numPr>
          <w:ilvl w:val="0"/>
          <w:numId w:val="28"/>
        </w:numPr>
        <w:rPr>
          <w:color w:val="000000" w:themeColor="text1"/>
        </w:rPr>
      </w:pPr>
      <w:r>
        <w:rPr>
          <w:color w:val="000000" w:themeColor="text1"/>
        </w:rPr>
        <w:t>Le fait autonome du bien : un mouvement</w:t>
      </w:r>
      <w:r w:rsidR="00D611AA">
        <w:rPr>
          <w:color w:val="000000" w:themeColor="text1"/>
        </w:rPr>
        <w:t xml:space="preserve"> indépend</w:t>
      </w:r>
      <w:r w:rsidR="001D235F">
        <w:rPr>
          <w:color w:val="000000" w:themeColor="text1"/>
        </w:rPr>
        <w:t>ant du bien</w:t>
      </w:r>
    </w:p>
    <w:p w14:paraId="6F58311B" w14:textId="7DB250DB" w:rsidR="0099070C" w:rsidRDefault="0099070C" w:rsidP="0099070C">
      <w:pPr>
        <w:rPr>
          <w:color w:val="000000" w:themeColor="text1"/>
        </w:rPr>
      </w:pPr>
    </w:p>
    <w:p w14:paraId="14CC51C8" w14:textId="4492BFBE" w:rsidR="0033369E" w:rsidRDefault="003E1212" w:rsidP="0033369E">
      <w:pPr>
        <w:jc w:val="center"/>
        <w:rPr>
          <w:color w:val="000000" w:themeColor="text1"/>
        </w:rPr>
      </w:pPr>
      <w:r>
        <w:rPr>
          <w:color w:val="000000" w:themeColor="text1"/>
        </w:rPr>
        <w:t xml:space="preserve">= </w:t>
      </w:r>
      <w:r w:rsidR="00E44D83">
        <w:rPr>
          <w:color w:val="000000" w:themeColor="text1"/>
        </w:rPr>
        <w:t>Présomption de faute à l’égard du gardien</w:t>
      </w:r>
      <w:r w:rsidR="00615574">
        <w:rPr>
          <w:color w:val="000000" w:themeColor="text1"/>
        </w:rPr>
        <w:t>. Le gardien pourra utiliser la défense de la force majeure, de la faute de la victime</w:t>
      </w:r>
      <w:r w:rsidR="008E5A3C">
        <w:rPr>
          <w:color w:val="000000" w:themeColor="text1"/>
        </w:rPr>
        <w:t xml:space="preserve">. Aussi, démontrer qu’il n’a commis aucune faute par exemple en affirmant que quand le bien ne fonctionnait pas bien, il </w:t>
      </w:r>
      <w:r w:rsidR="00C83297">
        <w:rPr>
          <w:color w:val="000000" w:themeColor="text1"/>
        </w:rPr>
        <w:t>est allé</w:t>
      </w:r>
      <w:r w:rsidR="008E5A3C">
        <w:rPr>
          <w:color w:val="000000" w:themeColor="text1"/>
        </w:rPr>
        <w:t xml:space="preserve"> le réparer et c’est peut-être lui qui ne l’a pas bien réparé.</w:t>
      </w:r>
      <w:r w:rsidR="0033369E">
        <w:rPr>
          <w:color w:val="000000" w:themeColor="text1"/>
        </w:rPr>
        <w:t xml:space="preserve"> Gardien prudent et diligent.</w:t>
      </w:r>
    </w:p>
    <w:p w14:paraId="5BA17266" w14:textId="5BAE8ADF" w:rsidR="0033369E" w:rsidRDefault="0033369E" w:rsidP="0033369E">
      <w:pPr>
        <w:rPr>
          <w:color w:val="000000" w:themeColor="text1"/>
        </w:rPr>
      </w:pPr>
    </w:p>
    <w:p w14:paraId="5212625B" w14:textId="1E906454" w:rsidR="0033369E" w:rsidRPr="005B5AE0" w:rsidRDefault="0033369E" w:rsidP="0033369E">
      <w:pPr>
        <w:pStyle w:val="ListParagraph"/>
        <w:numPr>
          <w:ilvl w:val="0"/>
          <w:numId w:val="27"/>
        </w:numPr>
        <w:rPr>
          <w:b/>
          <w:bCs/>
          <w:color w:val="000000" w:themeColor="text1"/>
        </w:rPr>
      </w:pPr>
      <w:r w:rsidRPr="005B5AE0">
        <w:rPr>
          <w:b/>
          <w:bCs/>
          <w:color w:val="000000" w:themeColor="text1"/>
        </w:rPr>
        <w:lastRenderedPageBreak/>
        <w:t>Le fait de l’animal – La responsabilité du propriétaire et du gardien</w:t>
      </w:r>
      <w:r w:rsidR="005B5AE0">
        <w:rPr>
          <w:b/>
          <w:bCs/>
          <w:color w:val="000000" w:themeColor="text1"/>
        </w:rPr>
        <w:t xml:space="preserve"> (</w:t>
      </w:r>
      <w:r w:rsidR="005B5AE0" w:rsidRPr="001658F3">
        <w:rPr>
          <w:b/>
          <w:bCs/>
          <w:color w:val="F55C5E"/>
        </w:rPr>
        <w:t xml:space="preserve">art. </w:t>
      </w:r>
      <w:r w:rsidR="00375499">
        <w:rPr>
          <w:b/>
          <w:bCs/>
          <w:color w:val="F55C5E"/>
        </w:rPr>
        <w:t>1466</w:t>
      </w:r>
      <w:r w:rsidR="00A210FE">
        <w:rPr>
          <w:b/>
          <w:bCs/>
          <w:color w:val="F55C5E"/>
        </w:rPr>
        <w:t xml:space="preserve"> </w:t>
      </w:r>
      <w:r w:rsidR="005B5AE0" w:rsidRPr="001658F3">
        <w:rPr>
          <w:b/>
          <w:bCs/>
          <w:color w:val="F55C5E"/>
        </w:rPr>
        <w:t>C.c.Q</w:t>
      </w:r>
      <w:r w:rsidR="005B5AE0">
        <w:rPr>
          <w:b/>
          <w:bCs/>
          <w:color w:val="000000" w:themeColor="text1"/>
        </w:rPr>
        <w:t>.)</w:t>
      </w:r>
    </w:p>
    <w:p w14:paraId="4843102F" w14:textId="1AFDACC8" w:rsidR="00C367BF" w:rsidRDefault="00C367BF" w:rsidP="00C367BF">
      <w:pPr>
        <w:rPr>
          <w:color w:val="000000" w:themeColor="text1"/>
        </w:rPr>
      </w:pPr>
    </w:p>
    <w:p w14:paraId="10DA3DDD" w14:textId="09FD917D" w:rsidR="005B5AE0" w:rsidRDefault="00977A4C" w:rsidP="00F61A84">
      <w:pPr>
        <w:ind w:firstLine="360"/>
        <w:rPr>
          <w:color w:val="000000" w:themeColor="text1"/>
        </w:rPr>
      </w:pPr>
      <w:r>
        <w:rPr>
          <w:color w:val="000000" w:themeColor="text1"/>
          <w:u w:val="single"/>
        </w:rPr>
        <w:t>Deux c</w:t>
      </w:r>
      <w:r w:rsidR="001658F3" w:rsidRPr="00F61A84">
        <w:rPr>
          <w:color w:val="000000" w:themeColor="text1"/>
          <w:u w:val="single"/>
        </w:rPr>
        <w:t>onditions</w:t>
      </w:r>
      <w:r w:rsidR="001658F3">
        <w:rPr>
          <w:color w:val="000000" w:themeColor="text1"/>
        </w:rPr>
        <w:t> :</w:t>
      </w:r>
    </w:p>
    <w:p w14:paraId="4EB04750" w14:textId="5BACA293" w:rsidR="001658F3" w:rsidRDefault="001658F3" w:rsidP="00C367BF">
      <w:pPr>
        <w:rPr>
          <w:color w:val="000000" w:themeColor="text1"/>
        </w:rPr>
      </w:pPr>
    </w:p>
    <w:p w14:paraId="08E5CB6E" w14:textId="79F29D3F" w:rsidR="001658F3" w:rsidRDefault="00BF4F25" w:rsidP="001658F3">
      <w:pPr>
        <w:pStyle w:val="ListParagraph"/>
        <w:numPr>
          <w:ilvl w:val="0"/>
          <w:numId w:val="29"/>
        </w:numPr>
        <w:rPr>
          <w:color w:val="000000" w:themeColor="text1"/>
        </w:rPr>
      </w:pPr>
      <w:r>
        <w:rPr>
          <w:color w:val="000000" w:themeColor="text1"/>
        </w:rPr>
        <w:t>Le fait d’un animal</w:t>
      </w:r>
      <w:r w:rsidR="007D3C80">
        <w:rPr>
          <w:color w:val="000000" w:themeColor="text1"/>
        </w:rPr>
        <w:t xml:space="preserve"> : chien, </w:t>
      </w:r>
      <w:r w:rsidR="00375B5A">
        <w:rPr>
          <w:color w:val="000000" w:themeColor="text1"/>
        </w:rPr>
        <w:t>chevaux, chat. Pas nécessairement une morsure, ça peut être le fait de se tasser par peur de l’animal, pas besoin d’un contact physique</w:t>
      </w:r>
    </w:p>
    <w:p w14:paraId="626F52CA" w14:textId="39F8DB87" w:rsidR="007B1D89" w:rsidRPr="00977A4C" w:rsidRDefault="00375B5A" w:rsidP="007B1D89">
      <w:pPr>
        <w:pStyle w:val="ListParagraph"/>
        <w:numPr>
          <w:ilvl w:val="0"/>
          <w:numId w:val="29"/>
        </w:numPr>
        <w:rPr>
          <w:color w:val="000000" w:themeColor="text1"/>
        </w:rPr>
      </w:pPr>
      <w:r>
        <w:rPr>
          <w:color w:val="000000" w:themeColor="text1"/>
        </w:rPr>
        <w:t>La propriété de l’animal ou l’usage de l’animal (</w:t>
      </w:r>
      <w:r w:rsidRPr="00F2522C">
        <w:rPr>
          <w:color w:val="F55C5E"/>
        </w:rPr>
        <w:t>art. 1466, al.2 C.c.Q.</w:t>
      </w:r>
      <w:r>
        <w:rPr>
          <w:color w:val="000000" w:themeColor="text1"/>
        </w:rPr>
        <w:t>)</w:t>
      </w:r>
      <w:r w:rsidR="007B3D22">
        <w:rPr>
          <w:color w:val="000000" w:themeColor="text1"/>
        </w:rPr>
        <w:t> : confié la garde d’un animal (usage)</w:t>
      </w:r>
      <w:r w:rsidR="007636CF">
        <w:rPr>
          <w:color w:val="000000" w:themeColor="text1"/>
        </w:rPr>
        <w:t>. Si fait garder mon animal, la responsabilité est cumulative, à la fois au gardien et au propriétaire</w:t>
      </w:r>
      <w:r w:rsidR="00BA2296">
        <w:rPr>
          <w:color w:val="000000" w:themeColor="text1"/>
        </w:rPr>
        <w:t xml:space="preserve">. </w:t>
      </w:r>
      <w:r w:rsidR="00922082">
        <w:rPr>
          <w:color w:val="000000" w:themeColor="text1"/>
        </w:rPr>
        <w:t>Le propriétaire peut toujours se retourner par contre le gardien</w:t>
      </w:r>
    </w:p>
    <w:p w14:paraId="79CBD6B9" w14:textId="1BF977DD" w:rsidR="007B1D89" w:rsidRDefault="007B1D89" w:rsidP="007B1D89">
      <w:pPr>
        <w:rPr>
          <w:color w:val="000000" w:themeColor="text1"/>
        </w:rPr>
      </w:pPr>
    </w:p>
    <w:p w14:paraId="4C78081D" w14:textId="72A2B4C4" w:rsidR="007B1D89" w:rsidRDefault="007B1D89" w:rsidP="007B1D89">
      <w:pPr>
        <w:rPr>
          <w:color w:val="000000" w:themeColor="text1"/>
        </w:rPr>
      </w:pPr>
      <w:r>
        <w:rPr>
          <w:color w:val="000000" w:themeColor="text1"/>
        </w:rPr>
        <w:t xml:space="preserve">Présomption de responsabilité. </w:t>
      </w:r>
      <w:r w:rsidR="00BA1E1F">
        <w:rPr>
          <w:color w:val="000000" w:themeColor="text1"/>
        </w:rPr>
        <w:t>Moyens de défense très limités.</w:t>
      </w:r>
      <w:r w:rsidR="00977A4C">
        <w:rPr>
          <w:color w:val="000000" w:themeColor="text1"/>
        </w:rPr>
        <w:t xml:space="preserve"> La première est la force majeure si le chien par peur a changé de comportement</w:t>
      </w:r>
      <w:r w:rsidR="00AC4220">
        <w:rPr>
          <w:color w:val="000000" w:themeColor="text1"/>
        </w:rPr>
        <w:t>. La seconde, la faute de la victime si elle flatte un chien dans le stationnement.</w:t>
      </w:r>
    </w:p>
    <w:p w14:paraId="66FDC188" w14:textId="2FF661D6" w:rsidR="00AC4220" w:rsidRDefault="00AC4220" w:rsidP="007B1D89">
      <w:pPr>
        <w:rPr>
          <w:color w:val="000000" w:themeColor="text1"/>
        </w:rPr>
      </w:pPr>
    </w:p>
    <w:p w14:paraId="110346CA" w14:textId="0001CCB4" w:rsidR="00AC4220" w:rsidRDefault="006F7D1A" w:rsidP="00AC4220">
      <w:pPr>
        <w:pStyle w:val="ListParagraph"/>
        <w:numPr>
          <w:ilvl w:val="0"/>
          <w:numId w:val="27"/>
        </w:numPr>
        <w:rPr>
          <w:b/>
          <w:bCs/>
          <w:color w:val="000000" w:themeColor="text1"/>
        </w:rPr>
      </w:pPr>
      <w:r w:rsidRPr="006F7D1A">
        <w:rPr>
          <w:b/>
          <w:bCs/>
          <w:color w:val="000000" w:themeColor="text1"/>
        </w:rPr>
        <w:t xml:space="preserve">La ruine de l’immeuble – La responsabilité du propriétaire </w:t>
      </w:r>
      <w:r w:rsidR="007A0BF6" w:rsidRPr="006F7D1A">
        <w:rPr>
          <w:b/>
          <w:bCs/>
          <w:color w:val="000000" w:themeColor="text1"/>
        </w:rPr>
        <w:t>(</w:t>
      </w:r>
      <w:r w:rsidR="007A0BF6" w:rsidRPr="006F7D1A">
        <w:rPr>
          <w:b/>
          <w:bCs/>
          <w:color w:val="F55C5E"/>
        </w:rPr>
        <w:t xml:space="preserve">art. </w:t>
      </w:r>
      <w:r w:rsidRPr="006F7D1A">
        <w:rPr>
          <w:b/>
          <w:bCs/>
          <w:color w:val="F55C5E"/>
        </w:rPr>
        <w:t xml:space="preserve">1467 </w:t>
      </w:r>
      <w:r w:rsidR="007A0BF6" w:rsidRPr="006F7D1A">
        <w:rPr>
          <w:b/>
          <w:bCs/>
          <w:color w:val="F55C5E"/>
        </w:rPr>
        <w:t>C.c.Q.</w:t>
      </w:r>
      <w:r w:rsidR="007A0BF6" w:rsidRPr="006F7D1A">
        <w:rPr>
          <w:b/>
          <w:bCs/>
          <w:color w:val="000000" w:themeColor="text1"/>
        </w:rPr>
        <w:t>)</w:t>
      </w:r>
    </w:p>
    <w:p w14:paraId="6016D527" w14:textId="66642C69" w:rsidR="006F7D1A" w:rsidRDefault="006F7D1A" w:rsidP="006F7D1A">
      <w:pPr>
        <w:rPr>
          <w:b/>
          <w:bCs/>
          <w:color w:val="000000" w:themeColor="text1"/>
        </w:rPr>
      </w:pPr>
    </w:p>
    <w:p w14:paraId="2C089AE7" w14:textId="42A355CB" w:rsidR="006F7D1A" w:rsidRPr="00221239" w:rsidRDefault="002D279F" w:rsidP="00221239">
      <w:pPr>
        <w:ind w:firstLine="360"/>
        <w:rPr>
          <w:color w:val="000000" w:themeColor="text1"/>
        </w:rPr>
      </w:pPr>
      <w:r>
        <w:rPr>
          <w:color w:val="000000" w:themeColor="text1"/>
          <w:u w:val="single"/>
        </w:rPr>
        <w:t>Quatre c</w:t>
      </w:r>
      <w:r w:rsidR="00C7496B" w:rsidRPr="00B079AD">
        <w:rPr>
          <w:color w:val="000000" w:themeColor="text1"/>
          <w:u w:val="single"/>
        </w:rPr>
        <w:t>onditions</w:t>
      </w:r>
      <w:r w:rsidR="00C7496B" w:rsidRPr="00221239">
        <w:rPr>
          <w:color w:val="000000" w:themeColor="text1"/>
        </w:rPr>
        <w:t> :</w:t>
      </w:r>
    </w:p>
    <w:p w14:paraId="3DF0A766" w14:textId="5452B8B0" w:rsidR="00C7496B" w:rsidRPr="00221239" w:rsidRDefault="00C7496B" w:rsidP="006F7D1A">
      <w:pPr>
        <w:rPr>
          <w:color w:val="000000" w:themeColor="text1"/>
        </w:rPr>
      </w:pPr>
    </w:p>
    <w:p w14:paraId="04842077" w14:textId="5BFDF1A6" w:rsidR="00C7496B" w:rsidRDefault="00221239" w:rsidP="00C7496B">
      <w:pPr>
        <w:pStyle w:val="ListParagraph"/>
        <w:numPr>
          <w:ilvl w:val="0"/>
          <w:numId w:val="30"/>
        </w:numPr>
        <w:rPr>
          <w:color w:val="000000" w:themeColor="text1"/>
        </w:rPr>
      </w:pPr>
      <w:r w:rsidRPr="00221239">
        <w:rPr>
          <w:color w:val="000000" w:themeColor="text1"/>
        </w:rPr>
        <w:t>L</w:t>
      </w:r>
      <w:r>
        <w:rPr>
          <w:color w:val="000000" w:themeColor="text1"/>
        </w:rPr>
        <w:t xml:space="preserve">a propriété de l’immeuble, c’est le propriétaire </w:t>
      </w:r>
      <w:r w:rsidR="00B12B28">
        <w:rPr>
          <w:color w:val="000000" w:themeColor="text1"/>
        </w:rPr>
        <w:t xml:space="preserve">au moment de l’accident </w:t>
      </w:r>
      <w:r>
        <w:rPr>
          <w:color w:val="000000" w:themeColor="text1"/>
        </w:rPr>
        <w:t>que l’on poursuit</w:t>
      </w:r>
    </w:p>
    <w:p w14:paraId="59BD7E1F" w14:textId="0C267263" w:rsidR="0085771E" w:rsidRDefault="005E658A" w:rsidP="00C7496B">
      <w:pPr>
        <w:pStyle w:val="ListParagraph"/>
        <w:numPr>
          <w:ilvl w:val="0"/>
          <w:numId w:val="30"/>
        </w:numPr>
        <w:rPr>
          <w:color w:val="000000" w:themeColor="text1"/>
        </w:rPr>
      </w:pPr>
      <w:r>
        <w:rPr>
          <w:color w:val="000000" w:themeColor="text1"/>
        </w:rPr>
        <w:t>Un bien immeuble (</w:t>
      </w:r>
      <w:r w:rsidRPr="00A651D8">
        <w:rPr>
          <w:color w:val="F55C5E"/>
        </w:rPr>
        <w:t>arts. 900 et ss C.c.Q.</w:t>
      </w:r>
      <w:r>
        <w:rPr>
          <w:color w:val="000000" w:themeColor="text1"/>
        </w:rPr>
        <w:t>)</w:t>
      </w:r>
    </w:p>
    <w:p w14:paraId="39FEF431" w14:textId="59C49AB2" w:rsidR="00A651D8" w:rsidRDefault="00A651D8" w:rsidP="00C7496B">
      <w:pPr>
        <w:pStyle w:val="ListParagraph"/>
        <w:numPr>
          <w:ilvl w:val="0"/>
          <w:numId w:val="30"/>
        </w:numPr>
        <w:rPr>
          <w:color w:val="000000" w:themeColor="text1"/>
        </w:rPr>
      </w:pPr>
      <w:r>
        <w:rPr>
          <w:color w:val="000000" w:themeColor="text1"/>
        </w:rPr>
        <w:t>La ruine totale ou partielle de l’immeuble</w:t>
      </w:r>
      <w:r w:rsidR="00EA2130">
        <w:rPr>
          <w:color w:val="000000" w:themeColor="text1"/>
        </w:rPr>
        <w:t> : balcon décrépit, un trou….</w:t>
      </w:r>
    </w:p>
    <w:p w14:paraId="666F8A2F" w14:textId="747CF5FC" w:rsidR="00EA2130" w:rsidRDefault="00EA2130" w:rsidP="00C7496B">
      <w:pPr>
        <w:pStyle w:val="ListParagraph"/>
        <w:numPr>
          <w:ilvl w:val="0"/>
          <w:numId w:val="30"/>
        </w:numPr>
        <w:rPr>
          <w:color w:val="000000" w:themeColor="text1"/>
        </w:rPr>
      </w:pPr>
      <w:r>
        <w:rPr>
          <w:color w:val="000000" w:themeColor="text1"/>
        </w:rPr>
        <w:t>L’existence d’un défaut d’entretien ou d’un vice de construction à l’origine de la ruine</w:t>
      </w:r>
      <w:r w:rsidR="004D336F">
        <w:rPr>
          <w:color w:val="000000" w:themeColor="text1"/>
        </w:rPr>
        <w:t xml:space="preserve"> : ça peut être l’erreur de l’architecte, mais c’est tout de même contre le propriétaire que le recours sera effectué. Par contre, </w:t>
      </w:r>
      <w:r w:rsidR="008772EA">
        <w:rPr>
          <w:color w:val="000000" w:themeColor="text1"/>
        </w:rPr>
        <w:t>le propriétaire pourra se retourner contre l’architecte</w:t>
      </w:r>
    </w:p>
    <w:p w14:paraId="4C3FCDBA" w14:textId="063BBFA1" w:rsidR="00EA2130" w:rsidRDefault="00EA2130" w:rsidP="002D279F">
      <w:pPr>
        <w:rPr>
          <w:color w:val="000000" w:themeColor="text1"/>
        </w:rPr>
      </w:pPr>
    </w:p>
    <w:p w14:paraId="3D3341E7" w14:textId="6D262E44" w:rsidR="002D279F" w:rsidRDefault="002D279F" w:rsidP="009A2C2C">
      <w:pPr>
        <w:jc w:val="center"/>
        <w:rPr>
          <w:color w:val="000000" w:themeColor="text1"/>
        </w:rPr>
      </w:pPr>
      <w:r>
        <w:rPr>
          <w:color w:val="000000" w:themeColor="text1"/>
        </w:rPr>
        <w:t>= Présomption de responsabilité de la part du propriétaire. Même s’il est propriétaire que depuis 1 journée !! Les moyens de défense : force majeure, faute de la victime</w:t>
      </w:r>
      <w:r w:rsidR="00B77DE9">
        <w:rPr>
          <w:color w:val="000000" w:themeColor="text1"/>
        </w:rPr>
        <w:t>.</w:t>
      </w:r>
    </w:p>
    <w:p w14:paraId="6CC9EA6D" w14:textId="19333E07" w:rsidR="00B77DE9" w:rsidRDefault="00B77DE9" w:rsidP="002D279F">
      <w:pPr>
        <w:rPr>
          <w:color w:val="000000" w:themeColor="text1"/>
        </w:rPr>
      </w:pPr>
    </w:p>
    <w:p w14:paraId="5DDF51B5" w14:textId="585FA726" w:rsidR="00B77DE9" w:rsidRDefault="009A2C2C" w:rsidP="002D279F">
      <w:pPr>
        <w:rPr>
          <w:color w:val="000000" w:themeColor="text1"/>
        </w:rPr>
      </w:pPr>
      <w:r>
        <w:rPr>
          <w:color w:val="000000" w:themeColor="text1"/>
        </w:rPr>
        <w:t xml:space="preserve">** Puisque c’est une présomption légale, elle ne s’applique pas au contrat. Le locataire ne peut pas l’utiliser contre le propriétaire. Aussi, il est possible pour la victime de cumuler le recours de </w:t>
      </w:r>
      <w:r w:rsidRPr="008C79A3">
        <w:rPr>
          <w:color w:val="F55C5E"/>
        </w:rPr>
        <w:t xml:space="preserve">l’art. 1467 C.c.Q. </w:t>
      </w:r>
      <w:r>
        <w:rPr>
          <w:color w:val="000000" w:themeColor="text1"/>
        </w:rPr>
        <w:t>avec le fait autonome du bien</w:t>
      </w:r>
      <w:r w:rsidR="00205C2B">
        <w:rPr>
          <w:color w:val="000000" w:themeColor="text1"/>
        </w:rPr>
        <w:t xml:space="preserve"> à </w:t>
      </w:r>
      <w:r w:rsidR="00205C2B" w:rsidRPr="008C79A3">
        <w:rPr>
          <w:color w:val="F55C5E"/>
        </w:rPr>
        <w:t>l’art. 1465 C.c.Q.</w:t>
      </w:r>
      <w:r w:rsidR="00174556">
        <w:rPr>
          <w:color w:val="000000" w:themeColor="text1"/>
        </w:rPr>
        <w:t xml:space="preserve"> </w:t>
      </w:r>
      <w:r>
        <w:rPr>
          <w:color w:val="000000" w:themeColor="text1"/>
        </w:rPr>
        <w:t>**</w:t>
      </w:r>
    </w:p>
    <w:p w14:paraId="689C4387" w14:textId="4DD7935E" w:rsidR="003D53F3" w:rsidRDefault="003D53F3" w:rsidP="002D279F">
      <w:pPr>
        <w:rPr>
          <w:color w:val="000000" w:themeColor="text1"/>
        </w:rPr>
      </w:pPr>
    </w:p>
    <w:p w14:paraId="623D6A9E" w14:textId="30B8AC5B" w:rsidR="003D53F3" w:rsidRDefault="003D53F3" w:rsidP="003D53F3">
      <w:pPr>
        <w:pStyle w:val="ListParagraph"/>
        <w:numPr>
          <w:ilvl w:val="0"/>
          <w:numId w:val="27"/>
        </w:numPr>
        <w:rPr>
          <w:b/>
          <w:bCs/>
          <w:color w:val="000000" w:themeColor="text1"/>
        </w:rPr>
      </w:pPr>
      <w:r w:rsidRPr="00502D34">
        <w:rPr>
          <w:b/>
          <w:bCs/>
          <w:color w:val="000000" w:themeColor="text1"/>
        </w:rPr>
        <w:t>Le défaut de sécurité du produit – La responsabilité du fabricant et des autres intermédiaires de la chaîne de distribution (</w:t>
      </w:r>
      <w:r w:rsidRPr="00502D34">
        <w:rPr>
          <w:b/>
          <w:bCs/>
          <w:color w:val="F55C5E"/>
        </w:rPr>
        <w:t>art.</w:t>
      </w:r>
      <w:r w:rsidR="00E33CA6">
        <w:rPr>
          <w:b/>
          <w:bCs/>
          <w:color w:val="F55C5E"/>
        </w:rPr>
        <w:t xml:space="preserve"> 1468</w:t>
      </w:r>
      <w:r w:rsidRPr="00502D34">
        <w:rPr>
          <w:b/>
          <w:bCs/>
          <w:color w:val="F55C5E"/>
        </w:rPr>
        <w:t xml:space="preserve"> C.c.Q.</w:t>
      </w:r>
      <w:r w:rsidRPr="00502D34">
        <w:rPr>
          <w:b/>
          <w:bCs/>
          <w:color w:val="000000" w:themeColor="text1"/>
        </w:rPr>
        <w:t>)</w:t>
      </w:r>
    </w:p>
    <w:p w14:paraId="68D9F81A" w14:textId="63391C18" w:rsidR="00BA17BD" w:rsidRDefault="00BA17BD" w:rsidP="00BA17BD">
      <w:pPr>
        <w:rPr>
          <w:b/>
          <w:bCs/>
          <w:color w:val="000000" w:themeColor="text1"/>
        </w:rPr>
      </w:pPr>
    </w:p>
    <w:p w14:paraId="20F7C034" w14:textId="5F0F35ED" w:rsidR="00BA17BD" w:rsidRPr="00E33CA6" w:rsidRDefault="00613C7C" w:rsidP="00E33CA6">
      <w:pPr>
        <w:ind w:firstLine="360"/>
        <w:rPr>
          <w:color w:val="000000" w:themeColor="text1"/>
        </w:rPr>
      </w:pPr>
      <w:r w:rsidRPr="00E33CA6">
        <w:rPr>
          <w:color w:val="000000" w:themeColor="text1"/>
          <w:u w:val="single"/>
        </w:rPr>
        <w:t>Quatre conditions</w:t>
      </w:r>
      <w:r w:rsidRPr="00E33CA6">
        <w:rPr>
          <w:color w:val="000000" w:themeColor="text1"/>
        </w:rPr>
        <w:t> :</w:t>
      </w:r>
    </w:p>
    <w:p w14:paraId="6594B796" w14:textId="71EBB366" w:rsidR="00613C7C" w:rsidRDefault="00613C7C" w:rsidP="00BA17BD">
      <w:pPr>
        <w:rPr>
          <w:color w:val="000000" w:themeColor="text1"/>
        </w:rPr>
      </w:pPr>
    </w:p>
    <w:p w14:paraId="7A4E5559" w14:textId="29A978CE" w:rsidR="00E33CA6" w:rsidRDefault="00E33CA6" w:rsidP="00E33CA6">
      <w:pPr>
        <w:pStyle w:val="ListParagraph"/>
        <w:numPr>
          <w:ilvl w:val="0"/>
          <w:numId w:val="31"/>
        </w:numPr>
        <w:rPr>
          <w:color w:val="000000" w:themeColor="text1"/>
        </w:rPr>
      </w:pPr>
      <w:r>
        <w:rPr>
          <w:color w:val="000000" w:themeColor="text1"/>
        </w:rPr>
        <w:t>Être un tiers : pas un cocontractant</w:t>
      </w:r>
    </w:p>
    <w:p w14:paraId="658C3061" w14:textId="1370DB7D" w:rsidR="00E33CA6" w:rsidRDefault="00E33CA6" w:rsidP="00E33CA6">
      <w:pPr>
        <w:pStyle w:val="ListParagraph"/>
        <w:numPr>
          <w:ilvl w:val="0"/>
          <w:numId w:val="31"/>
        </w:numPr>
        <w:rPr>
          <w:color w:val="000000" w:themeColor="text1"/>
        </w:rPr>
      </w:pPr>
      <w:r>
        <w:rPr>
          <w:color w:val="000000" w:themeColor="text1"/>
        </w:rPr>
        <w:t xml:space="preserve">Un bien meuble </w:t>
      </w:r>
    </w:p>
    <w:p w14:paraId="6BA10753" w14:textId="342D07EE" w:rsidR="007645A5" w:rsidRDefault="00E92AAC" w:rsidP="00E33CA6">
      <w:pPr>
        <w:pStyle w:val="ListParagraph"/>
        <w:numPr>
          <w:ilvl w:val="0"/>
          <w:numId w:val="31"/>
        </w:numPr>
        <w:rPr>
          <w:color w:val="000000" w:themeColor="text1"/>
        </w:rPr>
      </w:pPr>
      <w:r>
        <w:rPr>
          <w:color w:val="000000" w:themeColor="text1"/>
        </w:rPr>
        <w:t>La qualité du fabriquant, de distributeur ou de fournisseur :</w:t>
      </w:r>
    </w:p>
    <w:p w14:paraId="3E95F3CD" w14:textId="77777777" w:rsidR="00E92AAC" w:rsidRDefault="00E92AAC" w:rsidP="00E92AAC">
      <w:pPr>
        <w:pStyle w:val="ListParagraph"/>
        <w:rPr>
          <w:color w:val="000000" w:themeColor="text1"/>
        </w:rPr>
      </w:pPr>
    </w:p>
    <w:p w14:paraId="3AC1B907" w14:textId="67C4D4CB" w:rsidR="00E92AAC" w:rsidRDefault="00E92AAC" w:rsidP="00E92AAC">
      <w:pPr>
        <w:pStyle w:val="ListParagraph"/>
        <w:numPr>
          <w:ilvl w:val="0"/>
          <w:numId w:val="10"/>
        </w:numPr>
        <w:rPr>
          <w:color w:val="000000" w:themeColor="text1"/>
        </w:rPr>
      </w:pPr>
      <w:r>
        <w:rPr>
          <w:color w:val="000000" w:themeColor="text1"/>
        </w:rPr>
        <w:t xml:space="preserve">Fabriquant </w:t>
      </w:r>
      <w:r w:rsidRPr="00E92AAC">
        <w:rPr>
          <w:color w:val="000000" w:themeColor="text1"/>
        </w:rPr>
        <w:sym w:font="Wingdings" w:char="F0E0"/>
      </w:r>
      <w:r>
        <w:rPr>
          <w:color w:val="000000" w:themeColor="text1"/>
        </w:rPr>
        <w:t xml:space="preserve"> transforme la matière</w:t>
      </w:r>
    </w:p>
    <w:p w14:paraId="052458A7" w14:textId="10576E37" w:rsidR="00E92AAC" w:rsidRDefault="00E92AAC" w:rsidP="00E92AAC">
      <w:pPr>
        <w:pStyle w:val="ListParagraph"/>
        <w:numPr>
          <w:ilvl w:val="0"/>
          <w:numId w:val="10"/>
        </w:numPr>
        <w:rPr>
          <w:color w:val="000000" w:themeColor="text1"/>
        </w:rPr>
      </w:pPr>
      <w:r>
        <w:rPr>
          <w:color w:val="000000" w:themeColor="text1"/>
        </w:rPr>
        <w:t xml:space="preserve">Distributeur </w:t>
      </w:r>
      <w:r w:rsidRPr="00E92AAC">
        <w:rPr>
          <w:color w:val="000000" w:themeColor="text1"/>
        </w:rPr>
        <w:sym w:font="Wingdings" w:char="F0E0"/>
      </w:r>
      <w:r>
        <w:rPr>
          <w:color w:val="000000" w:themeColor="text1"/>
        </w:rPr>
        <w:t xml:space="preserve"> généralement un intermédiaire entre le fabriquant et le fournisseur</w:t>
      </w:r>
    </w:p>
    <w:p w14:paraId="052BF0E7" w14:textId="4EF984D6" w:rsidR="00E92AAC" w:rsidRDefault="00E92AAC" w:rsidP="00E92AAC">
      <w:pPr>
        <w:pStyle w:val="ListParagraph"/>
        <w:numPr>
          <w:ilvl w:val="0"/>
          <w:numId w:val="10"/>
        </w:numPr>
        <w:rPr>
          <w:color w:val="000000" w:themeColor="text1"/>
        </w:rPr>
      </w:pPr>
      <w:r>
        <w:rPr>
          <w:color w:val="000000" w:themeColor="text1"/>
        </w:rPr>
        <w:t xml:space="preserve">Fournisseur </w:t>
      </w:r>
      <w:r w:rsidRPr="00E92AAC">
        <w:rPr>
          <w:color w:val="000000" w:themeColor="text1"/>
        </w:rPr>
        <w:sym w:font="Wingdings" w:char="F0E0"/>
      </w:r>
      <w:r>
        <w:rPr>
          <w:color w:val="000000" w:themeColor="text1"/>
        </w:rPr>
        <w:t xml:space="preserve"> à l’autre extrémité de la chaîne de distribution, met le produit sur le marché</w:t>
      </w:r>
    </w:p>
    <w:p w14:paraId="5569DF5B" w14:textId="6A46F718" w:rsidR="0027079A" w:rsidRDefault="0027079A" w:rsidP="0027079A">
      <w:pPr>
        <w:rPr>
          <w:color w:val="000000" w:themeColor="text1"/>
        </w:rPr>
      </w:pPr>
    </w:p>
    <w:p w14:paraId="55DF1660" w14:textId="1C546A31" w:rsidR="000508D1" w:rsidRDefault="00E07232" w:rsidP="000508D1">
      <w:pPr>
        <w:pStyle w:val="ListParagraph"/>
        <w:numPr>
          <w:ilvl w:val="0"/>
          <w:numId w:val="31"/>
        </w:numPr>
        <w:rPr>
          <w:color w:val="000000" w:themeColor="text1"/>
        </w:rPr>
      </w:pPr>
      <w:r>
        <w:rPr>
          <w:color w:val="000000" w:themeColor="text1"/>
        </w:rPr>
        <w:lastRenderedPageBreak/>
        <w:t>La preuve d’un défaut de sécurité du bien </w:t>
      </w:r>
      <w:r w:rsidR="0038214B">
        <w:rPr>
          <w:color w:val="000000" w:themeColor="text1"/>
        </w:rPr>
        <w:t>(</w:t>
      </w:r>
      <w:r w:rsidR="0038214B" w:rsidRPr="009E1523">
        <w:rPr>
          <w:color w:val="F55C5E"/>
        </w:rPr>
        <w:t>art. 1469 C.c.Q</w:t>
      </w:r>
      <w:r w:rsidR="0038214B">
        <w:rPr>
          <w:color w:val="000000" w:themeColor="text1"/>
        </w:rPr>
        <w:t>.) :</w:t>
      </w:r>
      <w:r w:rsidR="000508D1">
        <w:rPr>
          <w:color w:val="000000" w:themeColor="text1"/>
        </w:rPr>
        <w:t xml:space="preserve"> la victime n’a qu’à prouver l’existence d’un défaut</w:t>
      </w:r>
      <w:r w:rsidR="00FC406D">
        <w:rPr>
          <w:color w:val="000000" w:themeColor="text1"/>
        </w:rPr>
        <w:t xml:space="preserve"> sans plus</w:t>
      </w:r>
    </w:p>
    <w:p w14:paraId="0C188517" w14:textId="77777777" w:rsidR="000508D1" w:rsidRDefault="000508D1" w:rsidP="000508D1">
      <w:pPr>
        <w:pStyle w:val="ListParagraph"/>
        <w:rPr>
          <w:color w:val="000000" w:themeColor="text1"/>
        </w:rPr>
      </w:pPr>
    </w:p>
    <w:p w14:paraId="637D80CF" w14:textId="384604FA" w:rsidR="00E07232" w:rsidRDefault="00E07232" w:rsidP="000508D1">
      <w:pPr>
        <w:pStyle w:val="ListParagraph"/>
        <w:numPr>
          <w:ilvl w:val="0"/>
          <w:numId w:val="10"/>
        </w:numPr>
        <w:rPr>
          <w:color w:val="000000" w:themeColor="text1"/>
        </w:rPr>
      </w:pPr>
      <w:r>
        <w:rPr>
          <w:color w:val="000000" w:themeColor="text1"/>
        </w:rPr>
        <w:t>D’un vice de conception, de fabrication, de conservation ou de présentation</w:t>
      </w:r>
    </w:p>
    <w:p w14:paraId="757FCEF2" w14:textId="408A90C6" w:rsidR="00E07232" w:rsidRDefault="00E07232" w:rsidP="00E07232">
      <w:pPr>
        <w:pStyle w:val="ListParagraph"/>
        <w:numPr>
          <w:ilvl w:val="0"/>
          <w:numId w:val="10"/>
        </w:numPr>
        <w:rPr>
          <w:color w:val="000000" w:themeColor="text1"/>
        </w:rPr>
      </w:pPr>
      <w:r>
        <w:rPr>
          <w:color w:val="000000" w:themeColor="text1"/>
        </w:rPr>
        <w:t>D’un manque d’information</w:t>
      </w:r>
    </w:p>
    <w:p w14:paraId="1EE0CB48" w14:textId="1977E2DD" w:rsidR="00D06B36" w:rsidRDefault="00D06B36" w:rsidP="00D06B36">
      <w:pPr>
        <w:rPr>
          <w:color w:val="000000" w:themeColor="text1"/>
        </w:rPr>
      </w:pPr>
    </w:p>
    <w:p w14:paraId="2746F055" w14:textId="0A6B5E5D" w:rsidR="00D06B36" w:rsidRDefault="00D06B36" w:rsidP="00D06B36">
      <w:pPr>
        <w:jc w:val="center"/>
        <w:rPr>
          <w:color w:val="000000" w:themeColor="text1"/>
        </w:rPr>
      </w:pPr>
      <w:r>
        <w:rPr>
          <w:color w:val="000000" w:themeColor="text1"/>
        </w:rPr>
        <w:t>= Présomption</w:t>
      </w:r>
      <w:r w:rsidR="00A03DF8">
        <w:rPr>
          <w:color w:val="000000" w:themeColor="text1"/>
        </w:rPr>
        <w:t xml:space="preserve"> de responsabilité</w:t>
      </w:r>
    </w:p>
    <w:p w14:paraId="39180C04" w14:textId="6A91CA58" w:rsidR="000C03FF" w:rsidRDefault="000C03FF" w:rsidP="00D06B36">
      <w:pPr>
        <w:jc w:val="center"/>
        <w:rPr>
          <w:color w:val="000000" w:themeColor="text1"/>
        </w:rPr>
      </w:pPr>
    </w:p>
    <w:p w14:paraId="5A1D32C2" w14:textId="37CBFB6A" w:rsidR="000C03FF" w:rsidRDefault="000C03FF" w:rsidP="000C03FF">
      <w:pPr>
        <w:pStyle w:val="Heading1"/>
      </w:pPr>
      <w:r>
        <w:t xml:space="preserve">Section 4 : </w:t>
      </w:r>
      <w:r w:rsidR="00435AB9">
        <w:t>Les cas d’exonération</w:t>
      </w:r>
    </w:p>
    <w:p w14:paraId="2778EA4D" w14:textId="64C148D0" w:rsidR="00435AB9" w:rsidRDefault="00435AB9" w:rsidP="00435AB9"/>
    <w:p w14:paraId="66134048" w14:textId="037824A7" w:rsidR="00435AB9" w:rsidRPr="007201F9" w:rsidRDefault="007201F9" w:rsidP="00435AB9">
      <w:pPr>
        <w:rPr>
          <w:b/>
          <w:bCs/>
        </w:rPr>
      </w:pPr>
      <w:r w:rsidRPr="007201F9">
        <w:rPr>
          <w:b/>
          <w:bCs/>
        </w:rPr>
        <w:t xml:space="preserve">Vrai/Faux </w:t>
      </w:r>
    </w:p>
    <w:p w14:paraId="3322C3BB" w14:textId="4BDE199D" w:rsidR="007201F9" w:rsidRDefault="007201F9" w:rsidP="00435AB9"/>
    <w:p w14:paraId="228975F4" w14:textId="3462069C" w:rsidR="001D375B" w:rsidRDefault="001D375B" w:rsidP="00435AB9">
      <w:r w:rsidRPr="001D375B">
        <w:t>Les deux seuls moyens d'exonération sont la force majeure et la faute de la victime</w:t>
      </w:r>
    </w:p>
    <w:p w14:paraId="302EE3A4" w14:textId="77777777" w:rsidR="001D375B" w:rsidRDefault="001D375B" w:rsidP="00435AB9"/>
    <w:p w14:paraId="54B93A1F" w14:textId="2FA45E3F" w:rsidR="007201F9" w:rsidRDefault="007201F9" w:rsidP="00435AB9">
      <w:r>
        <w:t>Faux, i</w:t>
      </w:r>
      <w:r w:rsidRPr="007201F9">
        <w:t>l existe d'autres moyens d'exonération. La présente section vous présente les moyens généraux d'exonération de même que certains moyens particuliers.</w:t>
      </w:r>
    </w:p>
    <w:p w14:paraId="4FC06CFB" w14:textId="2421A7B6" w:rsidR="001D375B" w:rsidRDefault="001D375B" w:rsidP="00435AB9"/>
    <w:p w14:paraId="3A2BB261" w14:textId="0F7C9654" w:rsidR="001D375B" w:rsidRDefault="00312C86" w:rsidP="00312C86">
      <w:pPr>
        <w:pStyle w:val="Heading2"/>
      </w:pPr>
      <w:r>
        <w:t>Les moyens généraux d’exonération</w:t>
      </w:r>
    </w:p>
    <w:p w14:paraId="399FD09C" w14:textId="1512699F" w:rsidR="00312C86" w:rsidRDefault="00312C86" w:rsidP="00312C86"/>
    <w:p w14:paraId="5022291C" w14:textId="5311716F" w:rsidR="00BE3AE5" w:rsidRPr="00FC5D7E" w:rsidRDefault="00BE3AE5" w:rsidP="00312C86">
      <w:pPr>
        <w:pStyle w:val="ListParagraph"/>
        <w:numPr>
          <w:ilvl w:val="0"/>
          <w:numId w:val="32"/>
        </w:numPr>
        <w:rPr>
          <w:b/>
          <w:bCs/>
        </w:rPr>
      </w:pPr>
      <w:r w:rsidRPr="008E0A2F">
        <w:rPr>
          <w:b/>
          <w:bCs/>
        </w:rPr>
        <w:t xml:space="preserve">La force majeure </w:t>
      </w:r>
    </w:p>
    <w:p w14:paraId="42569C7E" w14:textId="5F4C818A" w:rsidR="00CE7394" w:rsidRDefault="00CE7394" w:rsidP="00312C86">
      <w:r w:rsidRPr="00BE3AE5">
        <w:rPr>
          <w:color w:val="F55C5E"/>
        </w:rPr>
        <w:t>Art. 1470 C.c.Q. </w:t>
      </w:r>
      <w:r>
        <w:t xml:space="preserve">: </w:t>
      </w:r>
    </w:p>
    <w:p w14:paraId="0868A9C9" w14:textId="77777777" w:rsidR="00BE3AE5" w:rsidRDefault="00BE3AE5" w:rsidP="00BE3AE5">
      <w:r>
        <w:t>Toute personne peut se dégager de sa responsabilité pour le préjudice causé à autrui si elle prouve que le préjudice résulte d’une force majeure, à moins qu’elle ne se soit engagée à le réparer.</w:t>
      </w:r>
    </w:p>
    <w:p w14:paraId="28362993" w14:textId="77777777" w:rsidR="00BE3AE5" w:rsidRDefault="00BE3AE5" w:rsidP="00BE3AE5"/>
    <w:p w14:paraId="153273E0" w14:textId="4AB1F5F9" w:rsidR="00CE7394" w:rsidRDefault="00BE3AE5" w:rsidP="00BE3AE5">
      <w:r>
        <w:t>La force majeure est un événement i</w:t>
      </w:r>
      <w:r w:rsidRPr="00BE3AE5">
        <w:rPr>
          <w:u w:val="single"/>
        </w:rPr>
        <w:t>mprévisible et irrésistible</w:t>
      </w:r>
      <w:r>
        <w:t xml:space="preserve">; y est assimilée la </w:t>
      </w:r>
      <w:r w:rsidRPr="00EA67E0">
        <w:rPr>
          <w:u w:val="single"/>
        </w:rPr>
        <w:t>cause étrangère</w:t>
      </w:r>
      <w:r>
        <w:t xml:space="preserve"> qui </w:t>
      </w:r>
      <w:r w:rsidRPr="00EA67E0">
        <w:rPr>
          <w:u w:val="single"/>
        </w:rPr>
        <w:t>présente ces mêmes caractères</w:t>
      </w:r>
      <w:r>
        <w:t>.</w:t>
      </w:r>
    </w:p>
    <w:p w14:paraId="4112AABB" w14:textId="40E5B742" w:rsidR="00312C86" w:rsidRDefault="00312C86" w:rsidP="00312C86"/>
    <w:p w14:paraId="47B4240F" w14:textId="4F16B78B" w:rsidR="00BE3AE5" w:rsidRPr="008E0A2F" w:rsidRDefault="00BE3AE5" w:rsidP="00BE3AE5">
      <w:pPr>
        <w:pStyle w:val="ListParagraph"/>
        <w:numPr>
          <w:ilvl w:val="0"/>
          <w:numId w:val="32"/>
        </w:numPr>
        <w:rPr>
          <w:b/>
          <w:bCs/>
        </w:rPr>
      </w:pPr>
      <w:r w:rsidRPr="008E0A2F">
        <w:rPr>
          <w:b/>
          <w:bCs/>
        </w:rPr>
        <w:t>La rupture du lien causal</w:t>
      </w:r>
      <w:r w:rsidR="0007393B">
        <w:rPr>
          <w:b/>
          <w:bCs/>
        </w:rPr>
        <w:t xml:space="preserve"> (</w:t>
      </w:r>
      <w:proofErr w:type="spellStart"/>
      <w:r w:rsidR="0007393B">
        <w:rPr>
          <w:b/>
          <w:bCs/>
        </w:rPr>
        <w:t>novus</w:t>
      </w:r>
      <w:proofErr w:type="spellEnd"/>
      <w:r w:rsidR="0007393B">
        <w:rPr>
          <w:b/>
          <w:bCs/>
        </w:rPr>
        <w:t xml:space="preserve"> actus)</w:t>
      </w:r>
    </w:p>
    <w:p w14:paraId="382E155F" w14:textId="403D7BF4" w:rsidR="00BE3AE5" w:rsidRDefault="00BE3AE5" w:rsidP="00BE3AE5"/>
    <w:p w14:paraId="11C91403" w14:textId="0CD70A44" w:rsidR="00EA67E0" w:rsidRDefault="00EA67E0" w:rsidP="00BE3AE5">
      <w:r>
        <w:t xml:space="preserve">Événement qui survient après la faute initiale et qui est </w:t>
      </w:r>
      <w:r w:rsidR="00CE3F99">
        <w:t>aussi grave ou plus grave que le premier et coup</w:t>
      </w:r>
      <w:r w:rsidR="00A74B98">
        <w:t>e</w:t>
      </w:r>
      <w:r w:rsidR="00CE3F99">
        <w:t xml:space="preserve"> le lien causal avec le premier. </w:t>
      </w:r>
    </w:p>
    <w:p w14:paraId="30B186EE" w14:textId="25922317" w:rsidR="00FC5DB7" w:rsidRDefault="00FC5DB7" w:rsidP="00BE3AE5"/>
    <w:p w14:paraId="7258FFE5" w14:textId="15B555DF" w:rsidR="00FC5DB7" w:rsidRDefault="00FC5DB7" w:rsidP="00FC5DB7">
      <w:pPr>
        <w:pStyle w:val="ListParagraph"/>
        <w:numPr>
          <w:ilvl w:val="0"/>
          <w:numId w:val="10"/>
        </w:numPr>
      </w:pPr>
      <w:r w:rsidRPr="00FC5DB7">
        <w:t xml:space="preserve">Exemple : </w:t>
      </w:r>
      <w:proofErr w:type="spellStart"/>
      <w:r w:rsidRPr="00FC5DB7">
        <w:t>fire</w:t>
      </w:r>
      <w:proofErr w:type="spellEnd"/>
      <w:r w:rsidRPr="00FC5DB7">
        <w:t xml:space="preserve"> </w:t>
      </w:r>
      <w:proofErr w:type="spellStart"/>
      <w:r w:rsidRPr="00FC5DB7">
        <w:t>works</w:t>
      </w:r>
      <w:proofErr w:type="spellEnd"/>
      <w:r w:rsidRPr="00FC5DB7">
        <w:t xml:space="preserve"> a laissé une pièce p</w:t>
      </w:r>
      <w:r>
        <w:t xml:space="preserve">yrotechnique à un enfant qui lui a été confisqué par son père. Le père l’a donné à l’un de ses employés qui l’a fait exploser en présence de l’enfant. L’enfant n’a pas été indemnisé par </w:t>
      </w:r>
      <w:proofErr w:type="spellStart"/>
      <w:r>
        <w:t>fire</w:t>
      </w:r>
      <w:proofErr w:type="spellEnd"/>
      <w:r>
        <w:t xml:space="preserve"> </w:t>
      </w:r>
      <w:proofErr w:type="spellStart"/>
      <w:r>
        <w:t>works</w:t>
      </w:r>
      <w:proofErr w:type="spellEnd"/>
      <w:r>
        <w:t>.</w:t>
      </w:r>
    </w:p>
    <w:p w14:paraId="68AC0135" w14:textId="766E8100" w:rsidR="00DA7538" w:rsidRDefault="00DA7538" w:rsidP="00DA7538"/>
    <w:p w14:paraId="0857C348" w14:textId="621826C9" w:rsidR="00E63DD9" w:rsidRPr="008E0A2F" w:rsidRDefault="00E63DD9" w:rsidP="00E63DD9">
      <w:pPr>
        <w:pStyle w:val="ListParagraph"/>
        <w:numPr>
          <w:ilvl w:val="0"/>
          <w:numId w:val="32"/>
        </w:numPr>
        <w:rPr>
          <w:b/>
          <w:bCs/>
        </w:rPr>
      </w:pPr>
      <w:r w:rsidRPr="008E0A2F">
        <w:rPr>
          <w:b/>
          <w:bCs/>
        </w:rPr>
        <w:t>Faute d’un tiers</w:t>
      </w:r>
    </w:p>
    <w:p w14:paraId="43C46067" w14:textId="77777777" w:rsidR="00E63DD9" w:rsidRDefault="00E63DD9" w:rsidP="00DA7538"/>
    <w:p w14:paraId="2AA3DAA9" w14:textId="77777777" w:rsidR="002A78E2" w:rsidRDefault="00080AC4" w:rsidP="00DA7538">
      <w:r>
        <w:t xml:space="preserve">En présence d’une autre personne qui commet une faute, on l’ajoute simplement aux personnes débitrices et en vertu de </w:t>
      </w:r>
      <w:r w:rsidRPr="00BC488A">
        <w:rPr>
          <w:color w:val="F55C5E"/>
        </w:rPr>
        <w:t>l’art. 1526 C.c.Q.</w:t>
      </w:r>
      <w:r w:rsidR="00810F64" w:rsidRPr="00BC488A">
        <w:rPr>
          <w:color w:val="F55C5E"/>
        </w:rPr>
        <w:t xml:space="preserve"> </w:t>
      </w:r>
      <w:r w:rsidR="00810F64">
        <w:t xml:space="preserve">et de </w:t>
      </w:r>
      <w:r w:rsidR="00810F64" w:rsidRPr="00BC488A">
        <w:rPr>
          <w:color w:val="F55C5E"/>
        </w:rPr>
        <w:t>l’art. 1528 C.c.Q.</w:t>
      </w:r>
      <w:r w:rsidRPr="00BC488A">
        <w:rPr>
          <w:color w:val="F55C5E"/>
        </w:rPr>
        <w:t xml:space="preserve"> </w:t>
      </w:r>
      <w:r w:rsidR="00E82C0D">
        <w:t>on peut plaider</w:t>
      </w:r>
      <w:r w:rsidR="0052002C">
        <w:t xml:space="preserve"> pour qu’il ait absence de possibilité division du recours pour la faute personnelle commise. Ils seront poursuivis pour le tout</w:t>
      </w:r>
      <w:r w:rsidR="000A0CE9">
        <w:t xml:space="preserve"> solidairement.</w:t>
      </w:r>
      <w:r w:rsidR="00C30D5C">
        <w:t xml:space="preserve"> </w:t>
      </w:r>
    </w:p>
    <w:p w14:paraId="3A2EFE7F" w14:textId="77777777" w:rsidR="002A78E2" w:rsidRDefault="002A78E2" w:rsidP="00DA7538"/>
    <w:p w14:paraId="775EF922" w14:textId="6B085843" w:rsidR="00DA7538" w:rsidRDefault="00C30D5C" w:rsidP="00DA7538">
      <w:r>
        <w:t>Par contre, si un tiers commet une faute telle qu’il y a une rupture du lien causal</w:t>
      </w:r>
      <w:r w:rsidR="00CE701C">
        <w:t>, il ne pourra poursuivre que celui-ci.</w:t>
      </w:r>
    </w:p>
    <w:p w14:paraId="7AF61B9A" w14:textId="4E8DE578" w:rsidR="005210C3" w:rsidRDefault="005210C3" w:rsidP="00DA7538"/>
    <w:p w14:paraId="34A9169E" w14:textId="18AC47ED" w:rsidR="005210C3" w:rsidRPr="008E0A2F" w:rsidRDefault="002A78E2" w:rsidP="002A78E2">
      <w:pPr>
        <w:pStyle w:val="ListParagraph"/>
        <w:numPr>
          <w:ilvl w:val="0"/>
          <w:numId w:val="32"/>
        </w:numPr>
        <w:rPr>
          <w:b/>
          <w:bCs/>
        </w:rPr>
      </w:pPr>
      <w:r w:rsidRPr="008E0A2F">
        <w:rPr>
          <w:b/>
          <w:bCs/>
        </w:rPr>
        <w:t>La victime commet une faute (</w:t>
      </w:r>
      <w:r w:rsidRPr="008E0A2F">
        <w:rPr>
          <w:b/>
          <w:bCs/>
          <w:color w:val="F55C5E"/>
        </w:rPr>
        <w:t>art. 1478</w:t>
      </w:r>
      <w:r w:rsidR="00BE1A54">
        <w:rPr>
          <w:b/>
          <w:bCs/>
          <w:color w:val="F55C5E"/>
        </w:rPr>
        <w:t xml:space="preserve"> </w:t>
      </w:r>
      <w:r w:rsidRPr="008E0A2F">
        <w:rPr>
          <w:b/>
          <w:bCs/>
          <w:color w:val="F55C5E"/>
        </w:rPr>
        <w:t>C.c.Q.</w:t>
      </w:r>
      <w:r w:rsidRPr="008E0A2F">
        <w:rPr>
          <w:b/>
          <w:bCs/>
        </w:rPr>
        <w:t>)</w:t>
      </w:r>
    </w:p>
    <w:p w14:paraId="774CC01F" w14:textId="6AC0F3E1" w:rsidR="00BE3AE5" w:rsidRDefault="00BE3AE5" w:rsidP="00BE3AE5"/>
    <w:p w14:paraId="3E3E8680" w14:textId="1CD28460" w:rsidR="00312C86" w:rsidRDefault="00BE1A54" w:rsidP="00312C86">
      <w:r w:rsidRPr="00BE598C">
        <w:rPr>
          <w:color w:val="F55C5E"/>
        </w:rPr>
        <w:t>Art. 1478 C.c.Q. </w:t>
      </w:r>
      <w:r>
        <w:t>:</w:t>
      </w:r>
    </w:p>
    <w:p w14:paraId="287F7909" w14:textId="35C43F0F" w:rsidR="00BE598C" w:rsidRDefault="00BE598C" w:rsidP="00BE598C">
      <w:r>
        <w:t>Lorsque le préjudice est causé par plusieurs personnes, la responsabilité se partage entre elles en proportion de la gravité de leur faute respective.</w:t>
      </w:r>
    </w:p>
    <w:p w14:paraId="44B3EA28" w14:textId="77777777" w:rsidR="00BE598C" w:rsidRDefault="00BE598C" w:rsidP="00BE598C"/>
    <w:p w14:paraId="532D1A4F" w14:textId="3D530A70" w:rsidR="00BE1A54" w:rsidRDefault="00BE598C" w:rsidP="00BE598C">
      <w:r>
        <w:t xml:space="preserve">La </w:t>
      </w:r>
      <w:r w:rsidRPr="00D921E9">
        <w:rPr>
          <w:u w:val="single"/>
        </w:rPr>
        <w:t>faute de la victime</w:t>
      </w:r>
      <w:r>
        <w:t>, commune dans ses effets avec celle de l’auteur, entraîne également un tel partage.</w:t>
      </w:r>
    </w:p>
    <w:p w14:paraId="2FA46EDD" w14:textId="2E16800F" w:rsidR="00BE1A54" w:rsidRDefault="00BE1A54" w:rsidP="00312C86"/>
    <w:p w14:paraId="303B84C2" w14:textId="5534F61B" w:rsidR="00D921E9" w:rsidRDefault="00003A89" w:rsidP="00D921E9">
      <w:pPr>
        <w:pStyle w:val="ListParagraph"/>
        <w:numPr>
          <w:ilvl w:val="0"/>
          <w:numId w:val="10"/>
        </w:numPr>
      </w:pPr>
      <w:r>
        <w:t>Si la faute est commise par un enfant, on ne doit pas en tenir compte puisqu’il n’est pas doué de raison</w:t>
      </w:r>
      <w:r w:rsidR="00AB1673">
        <w:t>. On pourra obtenir 100%</w:t>
      </w:r>
      <w:r w:rsidR="001E76C1">
        <w:t xml:space="preserve"> des dommages (« faute de la victime)</w:t>
      </w:r>
    </w:p>
    <w:p w14:paraId="5D46768F" w14:textId="60895339" w:rsidR="00AB1673" w:rsidRDefault="008B0DB8" w:rsidP="00FD156F">
      <w:pPr>
        <w:pStyle w:val="ListParagraph"/>
        <w:numPr>
          <w:ilvl w:val="0"/>
          <w:numId w:val="10"/>
        </w:numPr>
      </w:pPr>
      <w:r>
        <w:t>Entre les deux on va y aller avec la gravité des fautes commises, mais à l’égard de la victime o</w:t>
      </w:r>
      <w:r w:rsidR="00164564">
        <w:t xml:space="preserve">n ne peut jamais </w:t>
      </w:r>
      <w:r w:rsidR="00DE5551">
        <w:t xml:space="preserve">lui </w:t>
      </w:r>
      <w:r w:rsidR="00164564">
        <w:t xml:space="preserve">opposer </w:t>
      </w:r>
      <w:r w:rsidR="00DE5551">
        <w:t>la possibilité d’aller chercher cette part. La victime est chanceuse, elle bénéficie de la solidarité et va chercher un montant de l’un et de l’autre.</w:t>
      </w:r>
      <w:r w:rsidR="00613DA9">
        <w:t xml:space="preserve"> </w:t>
      </w:r>
      <w:r w:rsidR="003B1F36" w:rsidRPr="003B1F36">
        <w:rPr>
          <w:color w:val="F55C5E"/>
        </w:rPr>
        <w:t xml:space="preserve">L’al.1 </w:t>
      </w:r>
      <w:r w:rsidR="003B1F36">
        <w:t>ne s’applique qu’e</w:t>
      </w:r>
      <w:r w:rsidR="00613DA9">
        <w:t>ntre les différentes parties</w:t>
      </w:r>
      <w:r w:rsidR="00787ECF">
        <w:t xml:space="preserve"> </w:t>
      </w:r>
      <w:r w:rsidR="00613DA9">
        <w:t>fautives</w:t>
      </w:r>
      <w:r w:rsidR="00787ECF">
        <w:t>, à l’exclusion de la victime</w:t>
      </w:r>
      <w:r w:rsidR="003B1F36">
        <w:t>.</w:t>
      </w:r>
    </w:p>
    <w:p w14:paraId="2C60D93F" w14:textId="76E09175" w:rsidR="00BE1A54" w:rsidRDefault="00BE1A54" w:rsidP="00312C86"/>
    <w:p w14:paraId="20393B7A" w14:textId="4EAB8878" w:rsidR="005B235A" w:rsidRDefault="005B235A" w:rsidP="00312C86"/>
    <w:p w14:paraId="259F3292" w14:textId="6763CFBF" w:rsidR="005B235A" w:rsidRDefault="005B235A" w:rsidP="00312C86"/>
    <w:p w14:paraId="7B25C1E0" w14:textId="728BB95D" w:rsidR="005B235A" w:rsidRDefault="005B235A" w:rsidP="00312C86"/>
    <w:p w14:paraId="755322E3" w14:textId="116E5348" w:rsidR="005B235A" w:rsidRDefault="005B235A" w:rsidP="00312C86"/>
    <w:p w14:paraId="507DAB86" w14:textId="77777777" w:rsidR="005B235A" w:rsidRPr="00FC5DB7" w:rsidRDefault="005B235A" w:rsidP="00312C86"/>
    <w:p w14:paraId="383441D0" w14:textId="775A0AC3" w:rsidR="00312C86" w:rsidRDefault="00312C86" w:rsidP="00312C86">
      <w:pPr>
        <w:pStyle w:val="Heading2"/>
      </w:pPr>
      <w:r>
        <w:t>Les cas particuliers d’exonération</w:t>
      </w:r>
    </w:p>
    <w:p w14:paraId="545BE3CF" w14:textId="643F5789" w:rsidR="00145B6F" w:rsidRDefault="00145B6F" w:rsidP="00145B6F"/>
    <w:p w14:paraId="6D0E0CB7" w14:textId="60659395" w:rsidR="00145B6F" w:rsidRPr="00AF1A02" w:rsidRDefault="00F2541A" w:rsidP="00F2541A">
      <w:pPr>
        <w:pStyle w:val="ListParagraph"/>
        <w:numPr>
          <w:ilvl w:val="0"/>
          <w:numId w:val="33"/>
        </w:numPr>
        <w:rPr>
          <w:b/>
          <w:bCs/>
        </w:rPr>
      </w:pPr>
      <w:r w:rsidRPr="00AF1A02">
        <w:rPr>
          <w:b/>
          <w:bCs/>
        </w:rPr>
        <w:t>Acceptation des risques</w:t>
      </w:r>
    </w:p>
    <w:p w14:paraId="33DBACDF" w14:textId="090185D1" w:rsidR="00F2541A" w:rsidRDefault="00F2541A" w:rsidP="00F2541A"/>
    <w:p w14:paraId="140018B6" w14:textId="447B4DFD" w:rsidR="00BA6165" w:rsidRDefault="00BA6165" w:rsidP="00F2541A">
      <w:r w:rsidRPr="00866A16">
        <w:rPr>
          <w:color w:val="F55C5E"/>
        </w:rPr>
        <w:t>Art. 1477 C.c.Q. </w:t>
      </w:r>
      <w:r>
        <w:t>:</w:t>
      </w:r>
    </w:p>
    <w:p w14:paraId="496BCD02" w14:textId="33E814C0" w:rsidR="00BA6165" w:rsidRDefault="00866A16" w:rsidP="00F2541A">
      <w:r w:rsidRPr="00866A16">
        <w:t>L’acceptation de risques par la victime, même si elle peut, eu égard aux circonstances, être considérée comme une imprudence, n’emporte pas renonciation à son recours contre l’auteur du préjudice.</w:t>
      </w:r>
    </w:p>
    <w:p w14:paraId="6970E41C" w14:textId="2AEC08A0" w:rsidR="00866A16" w:rsidRDefault="00866A16" w:rsidP="00F2541A"/>
    <w:p w14:paraId="63AC9067" w14:textId="3DD38607" w:rsidR="00A20BB6" w:rsidRDefault="00866A16" w:rsidP="00866A16">
      <w:pPr>
        <w:pStyle w:val="ListParagraph"/>
        <w:numPr>
          <w:ilvl w:val="0"/>
          <w:numId w:val="10"/>
        </w:numPr>
      </w:pPr>
      <w:r>
        <w:t xml:space="preserve">Beaucoup plus difficile de poursuivre </w:t>
      </w:r>
      <w:r w:rsidR="00204C8D">
        <w:t xml:space="preserve">le responsable de l’accident </w:t>
      </w:r>
      <w:r>
        <w:t>lorsque nous avons une connaissance des risques, que nous acceptons ces risques et que ce sont ces risques qui se matérialisent</w:t>
      </w:r>
      <w:r w:rsidR="009B3495">
        <w:t>. On va se faire reprocher une faute contributoire</w:t>
      </w:r>
      <w:r w:rsidR="00C77E52">
        <w:t xml:space="preserve"> de la part de la victime (</w:t>
      </w:r>
      <w:r w:rsidR="00C77E52" w:rsidRPr="00AF1A02">
        <w:rPr>
          <w:color w:val="F55C5E"/>
        </w:rPr>
        <w:t>art. 1478 C.c.Q.)</w:t>
      </w:r>
      <w:r w:rsidR="00A015DE">
        <w:rPr>
          <w:color w:val="F55C5E"/>
        </w:rPr>
        <w:t xml:space="preserve"> – mais nous n’avons pas exonération complète.</w:t>
      </w:r>
    </w:p>
    <w:p w14:paraId="27F93367" w14:textId="77777777" w:rsidR="00C77E52" w:rsidRDefault="00C77E52" w:rsidP="00C77E52"/>
    <w:p w14:paraId="3C139EAB" w14:textId="07239BDD" w:rsidR="00866A16" w:rsidRPr="00AF1A02" w:rsidRDefault="00AF1A02" w:rsidP="00AF1A02">
      <w:pPr>
        <w:pStyle w:val="ListParagraph"/>
        <w:numPr>
          <w:ilvl w:val="0"/>
          <w:numId w:val="33"/>
        </w:numPr>
        <w:rPr>
          <w:b/>
          <w:bCs/>
        </w:rPr>
      </w:pPr>
      <w:r w:rsidRPr="00AF1A02">
        <w:rPr>
          <w:b/>
          <w:bCs/>
        </w:rPr>
        <w:t>La minimisation du préjudice</w:t>
      </w:r>
    </w:p>
    <w:p w14:paraId="7C1F1AFD" w14:textId="74C94A3A" w:rsidR="00AF1A02" w:rsidRDefault="00AF1A02" w:rsidP="00AF1A02"/>
    <w:p w14:paraId="693188C8" w14:textId="3054DC7F" w:rsidR="00AF1A02" w:rsidRDefault="00AF1A02" w:rsidP="00AF1A02">
      <w:r>
        <w:t xml:space="preserve">On a le préjudice et la victime </w:t>
      </w:r>
      <w:r w:rsidR="00B62ED7">
        <w:t>n’a pas pris les</w:t>
      </w:r>
      <w:r w:rsidR="00E21398">
        <w:t xml:space="preserve"> mesures</w:t>
      </w:r>
      <w:r w:rsidR="00B62ED7">
        <w:t xml:space="preserve"> raisonnables pour l’aggravation du risque</w:t>
      </w:r>
      <w:r w:rsidR="00E21398">
        <w:t>.</w:t>
      </w:r>
    </w:p>
    <w:p w14:paraId="446F4266" w14:textId="77777777" w:rsidR="00B62ED7" w:rsidRDefault="00B62ED7" w:rsidP="00AF1A02"/>
    <w:p w14:paraId="7A80EB32" w14:textId="17054496" w:rsidR="00B62ED7" w:rsidRDefault="00B62ED7" w:rsidP="00B62ED7">
      <w:pPr>
        <w:pStyle w:val="ListParagraph"/>
        <w:numPr>
          <w:ilvl w:val="0"/>
          <w:numId w:val="10"/>
        </w:numPr>
      </w:pPr>
      <w:r>
        <w:t>Obligation de moyen</w:t>
      </w:r>
    </w:p>
    <w:p w14:paraId="235F06C2" w14:textId="77777777" w:rsidR="00E21398" w:rsidRDefault="00E21398" w:rsidP="00E21398"/>
    <w:p w14:paraId="7A5EBB2E" w14:textId="6885C781" w:rsidR="00AF1A02" w:rsidRDefault="00B62ED7" w:rsidP="00AF1A02">
      <w:r w:rsidRPr="00E21398">
        <w:rPr>
          <w:color w:val="F55C5E"/>
        </w:rPr>
        <w:t>Art. 1479 C.c.Q.</w:t>
      </w:r>
      <w:r w:rsidR="00E21398" w:rsidRPr="00E21398">
        <w:rPr>
          <w:color w:val="F55C5E"/>
        </w:rPr>
        <w:t> </w:t>
      </w:r>
      <w:r w:rsidR="00E21398">
        <w:t>:</w:t>
      </w:r>
    </w:p>
    <w:p w14:paraId="6F4390A1" w14:textId="429BCA14" w:rsidR="00E21398" w:rsidRDefault="00E21398" w:rsidP="00AF1A02">
      <w:r w:rsidRPr="00E21398">
        <w:t>La personne qui est tenue de réparer un préjudice ne répond pas de l’aggravation de ce préjudice que la victime pouvait éviter.</w:t>
      </w:r>
    </w:p>
    <w:p w14:paraId="45E0A590" w14:textId="62CB077B" w:rsidR="00A015DE" w:rsidRDefault="00A015DE" w:rsidP="00AF1A02"/>
    <w:p w14:paraId="496E0597" w14:textId="77777777" w:rsidR="00A015DE" w:rsidRDefault="00A015DE" w:rsidP="00AF1A02"/>
    <w:p w14:paraId="5A58D962" w14:textId="77777777" w:rsidR="00A015DE" w:rsidRDefault="00A015DE" w:rsidP="00AF1A02"/>
    <w:p w14:paraId="7A23DE71" w14:textId="77777777" w:rsidR="00A015DE" w:rsidRDefault="00A015DE" w:rsidP="00AF1A02"/>
    <w:p w14:paraId="6DA44837" w14:textId="527355D9" w:rsidR="00E21398" w:rsidRDefault="00E21398" w:rsidP="00AF1A02"/>
    <w:p w14:paraId="1C41C2E8" w14:textId="0E8A880C" w:rsidR="00E21398" w:rsidRDefault="00E21398" w:rsidP="00E21398">
      <w:pPr>
        <w:pStyle w:val="ListParagraph"/>
        <w:numPr>
          <w:ilvl w:val="0"/>
          <w:numId w:val="33"/>
        </w:numPr>
        <w:rPr>
          <w:b/>
          <w:bCs/>
        </w:rPr>
      </w:pPr>
      <w:r w:rsidRPr="00E21398">
        <w:rPr>
          <w:b/>
          <w:bCs/>
        </w:rPr>
        <w:lastRenderedPageBreak/>
        <w:t>L’absence de faute lourde ou intentionnelle du « bon samaritain »</w:t>
      </w:r>
    </w:p>
    <w:p w14:paraId="7391F3F8" w14:textId="0C5EA982" w:rsidR="003337C4" w:rsidRPr="003337C4" w:rsidRDefault="003337C4" w:rsidP="003337C4"/>
    <w:p w14:paraId="26998D43" w14:textId="1C60C05C" w:rsidR="003337C4" w:rsidRDefault="003337C4" w:rsidP="003337C4">
      <w:r w:rsidRPr="003337C4">
        <w:t>Si vous portez secours et que vous blessez la personne</w:t>
      </w:r>
      <w:r>
        <w:t>, vous ne pourrez pas être poursuivit en l’absence d’une faute lourde ou intentionnelle</w:t>
      </w:r>
      <w:r w:rsidR="004C497C">
        <w:t xml:space="preserve">. La faute simple </w:t>
      </w:r>
      <w:r w:rsidR="001836DE">
        <w:t>n’est pas suffisante.</w:t>
      </w:r>
    </w:p>
    <w:p w14:paraId="1EC18ECB" w14:textId="028FB4C7" w:rsidR="004C497C" w:rsidRDefault="004C497C" w:rsidP="003337C4"/>
    <w:p w14:paraId="5E16DE27" w14:textId="5CD889BA" w:rsidR="004C497C" w:rsidRDefault="004C497C" w:rsidP="003337C4">
      <w:r w:rsidRPr="00EF4807">
        <w:rPr>
          <w:color w:val="F55C5E"/>
        </w:rPr>
        <w:t>Art. 1471 C.c.Q. </w:t>
      </w:r>
      <w:r>
        <w:t>:</w:t>
      </w:r>
    </w:p>
    <w:p w14:paraId="7A289C14" w14:textId="2346A284" w:rsidR="004C497C" w:rsidRPr="003337C4" w:rsidRDefault="00EF4807" w:rsidP="003337C4">
      <w:r w:rsidRPr="00EF4807">
        <w:t>La personne qui porte secours à autrui ou qui, dans un but désintéressé, dispose gratuitement de biens au profit d’autrui est exonérée de toute responsabilité pour le préjudice qui peut en résulter, à moins que ce préjudice ne soit dû à sa faute intentionnelle ou à sa faute lourde.</w:t>
      </w:r>
    </w:p>
    <w:p w14:paraId="3219D69B" w14:textId="244ACCC1" w:rsidR="003337C4" w:rsidRPr="003337C4" w:rsidRDefault="003337C4" w:rsidP="003337C4"/>
    <w:p w14:paraId="649DD6C9" w14:textId="6F2FBE52" w:rsidR="003337C4" w:rsidRDefault="00EF4807" w:rsidP="00EF4807">
      <w:pPr>
        <w:pStyle w:val="ListParagraph"/>
        <w:numPr>
          <w:ilvl w:val="0"/>
          <w:numId w:val="10"/>
        </w:numPr>
      </w:pPr>
      <w:r w:rsidRPr="00D84507">
        <w:t>Faute lourde (</w:t>
      </w:r>
      <w:r w:rsidRPr="00D84507">
        <w:rPr>
          <w:color w:val="F55C5E"/>
        </w:rPr>
        <w:t>art. 1474 C.c.Q</w:t>
      </w:r>
      <w:r w:rsidRPr="00D84507">
        <w:t>.)</w:t>
      </w:r>
    </w:p>
    <w:p w14:paraId="15A53206" w14:textId="7A75E993" w:rsidR="004630F2" w:rsidRDefault="004630F2" w:rsidP="00EF4807">
      <w:pPr>
        <w:pStyle w:val="ListParagraph"/>
        <w:numPr>
          <w:ilvl w:val="0"/>
          <w:numId w:val="10"/>
        </w:numPr>
      </w:pPr>
      <w:r>
        <w:t>Porter secours est prévu dans la Charte québécoise</w:t>
      </w:r>
    </w:p>
    <w:p w14:paraId="188EAD82" w14:textId="088556A2" w:rsidR="004630F2" w:rsidRDefault="004630F2" w:rsidP="004630F2"/>
    <w:p w14:paraId="7E5943A3" w14:textId="1FF28BA7" w:rsidR="004630F2" w:rsidRPr="00880B0E" w:rsidRDefault="004630F2" w:rsidP="004630F2">
      <w:pPr>
        <w:pStyle w:val="ListParagraph"/>
        <w:numPr>
          <w:ilvl w:val="0"/>
          <w:numId w:val="33"/>
        </w:numPr>
        <w:rPr>
          <w:b/>
          <w:bCs/>
        </w:rPr>
      </w:pPr>
      <w:r>
        <w:t xml:space="preserve"> </w:t>
      </w:r>
      <w:r w:rsidR="000C6575" w:rsidRPr="00880B0E">
        <w:rPr>
          <w:b/>
          <w:bCs/>
        </w:rPr>
        <w:t>Le motif légitime en cas de divulgation du secret commercial</w:t>
      </w:r>
    </w:p>
    <w:p w14:paraId="3A5F460E" w14:textId="77777777" w:rsidR="004630F2" w:rsidRDefault="004630F2" w:rsidP="004630F2"/>
    <w:p w14:paraId="4BAC7EF8" w14:textId="7C5E6732" w:rsidR="004630F2" w:rsidRDefault="004630F2" w:rsidP="004630F2">
      <w:r w:rsidRPr="004630F2">
        <w:rPr>
          <w:color w:val="F55C5E"/>
        </w:rPr>
        <w:t>Art. 1472 C.c.Q. </w:t>
      </w:r>
      <w:r>
        <w:t>:</w:t>
      </w:r>
    </w:p>
    <w:p w14:paraId="4CA9EB50" w14:textId="2FFC06A9" w:rsidR="004630F2" w:rsidRDefault="004630F2" w:rsidP="004630F2">
      <w:r>
        <w:t>T</w:t>
      </w:r>
      <w:r w:rsidRPr="004630F2">
        <w:t>oute personne peut se dégager de sa responsabilité pour le préjudice causé à autrui par suite de la divulgation d’un secret commercial si elle prouve que l’intérêt général l’emportait sur le maintien du secret et, notamment, que la divulgation de celui-ci était justifiée par des motifs liés à la santé ou à la sécurité du public.</w:t>
      </w:r>
    </w:p>
    <w:p w14:paraId="72984DD2" w14:textId="57EE559E" w:rsidR="00015FB0" w:rsidRDefault="00015FB0" w:rsidP="004630F2"/>
    <w:p w14:paraId="0A0E40EB" w14:textId="1BB1A430" w:rsidR="00C05E42" w:rsidRDefault="00015FB0" w:rsidP="00C05E42">
      <w:pPr>
        <w:pStyle w:val="ListParagraph"/>
        <w:numPr>
          <w:ilvl w:val="0"/>
          <w:numId w:val="10"/>
        </w:numPr>
      </w:pPr>
      <w:r>
        <w:t>Exemple : une personne dans une entreprise s’aperçoit qu’un produit est très dangereux pour la santé, il pourrait révéler l’information</w:t>
      </w:r>
      <w:r w:rsidR="00184CE6">
        <w:t xml:space="preserve"> et se retrouver protéger</w:t>
      </w:r>
    </w:p>
    <w:p w14:paraId="45314CF7" w14:textId="77777777" w:rsidR="001E76C1" w:rsidRPr="006F29D5" w:rsidRDefault="001E76C1" w:rsidP="001E76C1">
      <w:pPr>
        <w:pStyle w:val="ListParagraph"/>
      </w:pPr>
    </w:p>
    <w:p w14:paraId="4087263A" w14:textId="6EA64418" w:rsidR="00C05E42" w:rsidRPr="004432FA" w:rsidRDefault="009F2526" w:rsidP="00C05E42">
      <w:pPr>
        <w:pStyle w:val="ListParagraph"/>
        <w:numPr>
          <w:ilvl w:val="0"/>
          <w:numId w:val="33"/>
        </w:numPr>
        <w:rPr>
          <w:b/>
          <w:bCs/>
        </w:rPr>
      </w:pPr>
      <w:r w:rsidRPr="004432FA">
        <w:rPr>
          <w:b/>
          <w:bCs/>
        </w:rPr>
        <w:t>L’avis d’exclusion ou de l’imitation de responsabilité à l’égard des tiers</w:t>
      </w:r>
    </w:p>
    <w:p w14:paraId="7B8F30D2" w14:textId="2021A513" w:rsidR="004432FA" w:rsidRDefault="004432FA" w:rsidP="004432FA"/>
    <w:p w14:paraId="45C69608" w14:textId="16252DDA" w:rsidR="000939F5" w:rsidRDefault="000939F5" w:rsidP="004432FA">
      <w:r>
        <w:t xml:space="preserve">Pour le régime contractuelle c’est possible, mais on ne peut jamais limiter notre responsabilité pour </w:t>
      </w:r>
      <w:r w:rsidR="006D18B6">
        <w:t>une faute lourde ou intentionnelle</w:t>
      </w:r>
      <w:r w:rsidR="00CB7195">
        <w:t xml:space="preserve">. Aussi, pour un préjudice corporel en vertu de </w:t>
      </w:r>
      <w:r w:rsidR="00CB7195" w:rsidRPr="00366282">
        <w:rPr>
          <w:color w:val="F55C5E"/>
        </w:rPr>
        <w:t>l’art. 1474, al.2 C.c.Q</w:t>
      </w:r>
      <w:r w:rsidR="00CB7195">
        <w:t>.</w:t>
      </w:r>
      <w:r w:rsidR="00BD7762">
        <w:t xml:space="preserve"> On retrouve aussi à </w:t>
      </w:r>
      <w:r w:rsidR="00BD7762" w:rsidRPr="00627164">
        <w:rPr>
          <w:color w:val="F55C5E"/>
        </w:rPr>
        <w:t>l’</w:t>
      </w:r>
      <w:r w:rsidR="00C72D2D" w:rsidRPr="00627164">
        <w:rPr>
          <w:color w:val="F55C5E"/>
        </w:rPr>
        <w:t>a</w:t>
      </w:r>
      <w:r w:rsidR="00BD7762" w:rsidRPr="00627164">
        <w:rPr>
          <w:color w:val="F55C5E"/>
        </w:rPr>
        <w:t xml:space="preserve">rt. 10 de la loi sur la protection du consommateur </w:t>
      </w:r>
      <w:r w:rsidR="00BD7762">
        <w:t xml:space="preserve">cette restriction. </w:t>
      </w:r>
    </w:p>
    <w:p w14:paraId="2337CE7F" w14:textId="77777777" w:rsidR="002E15EF" w:rsidRDefault="002E15EF" w:rsidP="004432FA"/>
    <w:p w14:paraId="291D66F7" w14:textId="701E9CF0" w:rsidR="004432FA" w:rsidRDefault="002E15EF" w:rsidP="004432FA">
      <w:r>
        <w:t>L’</w:t>
      </w:r>
      <w:r w:rsidRPr="000D077E">
        <w:rPr>
          <w:color w:val="F55C5E"/>
        </w:rPr>
        <w:t>a</w:t>
      </w:r>
      <w:r w:rsidR="004432FA" w:rsidRPr="000D077E">
        <w:rPr>
          <w:color w:val="F55C5E"/>
        </w:rPr>
        <w:t xml:space="preserve">rt. </w:t>
      </w:r>
      <w:r w:rsidRPr="000D077E">
        <w:rPr>
          <w:color w:val="F55C5E"/>
        </w:rPr>
        <w:t xml:space="preserve">1475 </w:t>
      </w:r>
      <w:r w:rsidR="004432FA" w:rsidRPr="000D077E">
        <w:rPr>
          <w:color w:val="F55C5E"/>
        </w:rPr>
        <w:t>C.c.Q.</w:t>
      </w:r>
      <w:r w:rsidRPr="000D077E">
        <w:rPr>
          <w:color w:val="F55C5E"/>
        </w:rPr>
        <w:t xml:space="preserve"> </w:t>
      </w:r>
      <w:r>
        <w:t xml:space="preserve">précise que la personne doit en prendre connaissance et </w:t>
      </w:r>
      <w:r w:rsidR="000D077E">
        <w:t>il faut que ce soit à la conclusion du contrat</w:t>
      </w:r>
      <w:r w:rsidR="005D014E">
        <w:t xml:space="preserve">. </w:t>
      </w:r>
    </w:p>
    <w:p w14:paraId="6177A7BC" w14:textId="466ABD93" w:rsidR="005D014E" w:rsidRDefault="005D014E" w:rsidP="004432FA"/>
    <w:p w14:paraId="05AD2DED" w14:textId="3134248F" w:rsidR="005D014E" w:rsidRDefault="005D014E" w:rsidP="004432FA">
      <w:r>
        <w:t>En extracontractuelle ces clauses ne sont pas valides</w:t>
      </w:r>
      <w:r w:rsidR="00311178">
        <w:t xml:space="preserve"> (voir </w:t>
      </w:r>
      <w:r w:rsidR="00311178" w:rsidRPr="007532BB">
        <w:rPr>
          <w:color w:val="F55C5E"/>
        </w:rPr>
        <w:t>l’art. 1476 C.c.Q</w:t>
      </w:r>
      <w:r w:rsidR="00311178">
        <w:t>.)</w:t>
      </w:r>
    </w:p>
    <w:p w14:paraId="032AE9CC" w14:textId="77777777" w:rsidR="005D014E" w:rsidRDefault="005D014E" w:rsidP="004432FA"/>
    <w:p w14:paraId="07F787EC" w14:textId="47479986" w:rsidR="005D014E" w:rsidRDefault="005D014E" w:rsidP="004432FA">
      <w:r w:rsidRPr="00B368F5">
        <w:rPr>
          <w:color w:val="F55C5E"/>
        </w:rPr>
        <w:t>Art. 1476 C.c.Q. </w:t>
      </w:r>
      <w:r>
        <w:t>:</w:t>
      </w:r>
    </w:p>
    <w:p w14:paraId="0715ABF6" w14:textId="2E8E0AA5" w:rsidR="005D014E" w:rsidRDefault="005D014E" w:rsidP="004432FA">
      <w:r w:rsidRPr="005D014E">
        <w:t>On ne peut, par un avis, exclure ou limiter, à l’égard des tiers, son obligation de réparer; mais, pareil avis peut valoir dénonciation d’un danger.</w:t>
      </w:r>
    </w:p>
    <w:p w14:paraId="1A3B17BD" w14:textId="680A5F30" w:rsidR="00B368F5" w:rsidRDefault="00B368F5" w:rsidP="004432FA"/>
    <w:p w14:paraId="70F290BF" w14:textId="02B4DA94" w:rsidR="00B368F5" w:rsidRDefault="00476535" w:rsidP="00476535">
      <w:pPr>
        <w:pStyle w:val="ListParagraph"/>
        <w:numPr>
          <w:ilvl w:val="0"/>
          <w:numId w:val="10"/>
        </w:numPr>
      </w:pPr>
      <w:r>
        <w:t>Une affiche écrit danger ce n’est pas suffisamment détaillé</w:t>
      </w:r>
    </w:p>
    <w:p w14:paraId="6F32218D" w14:textId="573D4BA7" w:rsidR="001A4714" w:rsidRDefault="001A4714" w:rsidP="001A4714"/>
    <w:p w14:paraId="658C2B7E" w14:textId="77777777" w:rsidR="001A4714" w:rsidRPr="00D84507" w:rsidRDefault="001A4714" w:rsidP="001A4714"/>
    <w:sectPr w:rsidR="001A4714" w:rsidRPr="00D84507" w:rsidSect="00D3291D">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25275" w14:textId="77777777" w:rsidR="006B0F63" w:rsidRDefault="006B0F63" w:rsidP="00AF1A02">
      <w:r>
        <w:separator/>
      </w:r>
    </w:p>
  </w:endnote>
  <w:endnote w:type="continuationSeparator" w:id="0">
    <w:p w14:paraId="4BF300EF" w14:textId="77777777" w:rsidR="006B0F63" w:rsidRDefault="006B0F63" w:rsidP="00AF1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0D881" w14:textId="77777777" w:rsidR="006B0F63" w:rsidRDefault="006B0F63" w:rsidP="00AF1A02">
      <w:r>
        <w:separator/>
      </w:r>
    </w:p>
  </w:footnote>
  <w:footnote w:type="continuationSeparator" w:id="0">
    <w:p w14:paraId="37961D17" w14:textId="77777777" w:rsidR="006B0F63" w:rsidRDefault="006B0F63" w:rsidP="00AF1A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413"/>
    <w:multiLevelType w:val="hybridMultilevel"/>
    <w:tmpl w:val="134CB72A"/>
    <w:lvl w:ilvl="0" w:tplc="ED12756C">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2215559"/>
    <w:multiLevelType w:val="hybridMultilevel"/>
    <w:tmpl w:val="C6206C1A"/>
    <w:lvl w:ilvl="0" w:tplc="ED12756C">
      <w:start w:val="2"/>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41E2FD4"/>
    <w:multiLevelType w:val="hybridMultilevel"/>
    <w:tmpl w:val="B29202FE"/>
    <w:lvl w:ilvl="0" w:tplc="2A8460CA">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 w15:restartNumberingAfterBreak="0">
    <w:nsid w:val="05D31EFA"/>
    <w:multiLevelType w:val="hybridMultilevel"/>
    <w:tmpl w:val="72E09CB8"/>
    <w:lvl w:ilvl="0" w:tplc="BF0485B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0EE3994"/>
    <w:multiLevelType w:val="hybridMultilevel"/>
    <w:tmpl w:val="348EABDC"/>
    <w:lvl w:ilvl="0" w:tplc="D160C774">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61436D8"/>
    <w:multiLevelType w:val="hybridMultilevel"/>
    <w:tmpl w:val="F886AEF6"/>
    <w:lvl w:ilvl="0" w:tplc="BB787CE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6E1753E"/>
    <w:multiLevelType w:val="hybridMultilevel"/>
    <w:tmpl w:val="A490C2D4"/>
    <w:lvl w:ilvl="0" w:tplc="969A18B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2693D05"/>
    <w:multiLevelType w:val="hybridMultilevel"/>
    <w:tmpl w:val="74EC003C"/>
    <w:lvl w:ilvl="0" w:tplc="ED12756C">
      <w:start w:val="1"/>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2984FFC"/>
    <w:multiLevelType w:val="hybridMultilevel"/>
    <w:tmpl w:val="83D894F0"/>
    <w:lvl w:ilvl="0" w:tplc="7FC40E8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6F11BA9"/>
    <w:multiLevelType w:val="hybridMultilevel"/>
    <w:tmpl w:val="2168E3CE"/>
    <w:lvl w:ilvl="0" w:tplc="63A4001A">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E040F39"/>
    <w:multiLevelType w:val="hybridMultilevel"/>
    <w:tmpl w:val="63A65DE8"/>
    <w:lvl w:ilvl="0" w:tplc="ED12756C">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0D22FBE"/>
    <w:multiLevelType w:val="hybridMultilevel"/>
    <w:tmpl w:val="5610F4BE"/>
    <w:lvl w:ilvl="0" w:tplc="E04E9C46">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503738A"/>
    <w:multiLevelType w:val="hybridMultilevel"/>
    <w:tmpl w:val="3E0842CE"/>
    <w:lvl w:ilvl="0" w:tplc="566E551A">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3576299C"/>
    <w:multiLevelType w:val="hybridMultilevel"/>
    <w:tmpl w:val="00B46262"/>
    <w:lvl w:ilvl="0" w:tplc="767E376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5B06306"/>
    <w:multiLevelType w:val="hybridMultilevel"/>
    <w:tmpl w:val="DB747D9C"/>
    <w:lvl w:ilvl="0" w:tplc="6C9C2BD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36A052BF"/>
    <w:multiLevelType w:val="hybridMultilevel"/>
    <w:tmpl w:val="526A2D64"/>
    <w:lvl w:ilvl="0" w:tplc="BD028D4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39140119"/>
    <w:multiLevelType w:val="hybridMultilevel"/>
    <w:tmpl w:val="2A08CE66"/>
    <w:lvl w:ilvl="0" w:tplc="79D0C59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40BC3E4F"/>
    <w:multiLevelType w:val="hybridMultilevel"/>
    <w:tmpl w:val="BA04BD04"/>
    <w:lvl w:ilvl="0" w:tplc="E8523AB0">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1216288"/>
    <w:multiLevelType w:val="hybridMultilevel"/>
    <w:tmpl w:val="99F25730"/>
    <w:lvl w:ilvl="0" w:tplc="ED12756C">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44F5DB3"/>
    <w:multiLevelType w:val="hybridMultilevel"/>
    <w:tmpl w:val="C6D44AFC"/>
    <w:lvl w:ilvl="0" w:tplc="36141932">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46CF3B3E"/>
    <w:multiLevelType w:val="hybridMultilevel"/>
    <w:tmpl w:val="FCE689EC"/>
    <w:lvl w:ilvl="0" w:tplc="AA3EB31E">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4B7E5A7A"/>
    <w:multiLevelType w:val="hybridMultilevel"/>
    <w:tmpl w:val="FD5A2CEE"/>
    <w:lvl w:ilvl="0" w:tplc="631A30C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4D557125"/>
    <w:multiLevelType w:val="hybridMultilevel"/>
    <w:tmpl w:val="FA542BBA"/>
    <w:lvl w:ilvl="0" w:tplc="E9B42D8E">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50B90B93"/>
    <w:multiLevelType w:val="hybridMultilevel"/>
    <w:tmpl w:val="BB3EF46C"/>
    <w:lvl w:ilvl="0" w:tplc="00168CCA">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4" w15:restartNumberingAfterBreak="0">
    <w:nsid w:val="52251D6D"/>
    <w:multiLevelType w:val="hybridMultilevel"/>
    <w:tmpl w:val="329E2A56"/>
    <w:lvl w:ilvl="0" w:tplc="C7D0242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55ED2024"/>
    <w:multiLevelType w:val="hybridMultilevel"/>
    <w:tmpl w:val="A5483A6A"/>
    <w:lvl w:ilvl="0" w:tplc="6680CE22">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6" w15:restartNumberingAfterBreak="0">
    <w:nsid w:val="5D01311A"/>
    <w:multiLevelType w:val="hybridMultilevel"/>
    <w:tmpl w:val="3F948930"/>
    <w:lvl w:ilvl="0" w:tplc="7A602F12">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68071536"/>
    <w:multiLevelType w:val="hybridMultilevel"/>
    <w:tmpl w:val="C0F866D0"/>
    <w:lvl w:ilvl="0" w:tplc="A9EAE800">
      <w:start w:val="1"/>
      <w:numFmt w:val="lowerLetter"/>
      <w:lvlText w:val="%1)"/>
      <w:lvlJc w:val="left"/>
      <w:pPr>
        <w:ind w:left="720" w:hanging="360"/>
      </w:pPr>
      <w:rPr>
        <w:rFonts w:ascii="Times New Roman" w:eastAsiaTheme="minorHAnsi" w:hAnsi="Times New Roman" w:cstheme="minorBidi"/>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8E42FD5"/>
    <w:multiLevelType w:val="hybridMultilevel"/>
    <w:tmpl w:val="381AB3DC"/>
    <w:lvl w:ilvl="0" w:tplc="56DA3B46">
      <w:start w:val="3"/>
      <w:numFmt w:val="decimal"/>
      <w:lvlText w:val="%1"/>
      <w:lvlJc w:val="left"/>
      <w:pPr>
        <w:ind w:left="1068" w:hanging="360"/>
      </w:pPr>
      <w:rPr>
        <w:rFonts w:hint="default"/>
        <w:u w:val="single"/>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29" w15:restartNumberingAfterBreak="0">
    <w:nsid w:val="6E520159"/>
    <w:multiLevelType w:val="hybridMultilevel"/>
    <w:tmpl w:val="69740D20"/>
    <w:lvl w:ilvl="0" w:tplc="257C7DD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6E8E05DD"/>
    <w:multiLevelType w:val="hybridMultilevel"/>
    <w:tmpl w:val="BFC8D69E"/>
    <w:lvl w:ilvl="0" w:tplc="77CC688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15:restartNumberingAfterBreak="0">
    <w:nsid w:val="72F31F6D"/>
    <w:multiLevelType w:val="hybridMultilevel"/>
    <w:tmpl w:val="0E24DF9C"/>
    <w:lvl w:ilvl="0" w:tplc="CC881D5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7FE015BD"/>
    <w:multiLevelType w:val="hybridMultilevel"/>
    <w:tmpl w:val="36A25000"/>
    <w:lvl w:ilvl="0" w:tplc="B85E7AA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98777634">
    <w:abstractNumId w:val="29"/>
  </w:num>
  <w:num w:numId="2" w16cid:durableId="671223998">
    <w:abstractNumId w:val="26"/>
  </w:num>
  <w:num w:numId="3" w16cid:durableId="1545219489">
    <w:abstractNumId w:val="10"/>
  </w:num>
  <w:num w:numId="4" w16cid:durableId="745566160">
    <w:abstractNumId w:val="5"/>
  </w:num>
  <w:num w:numId="5" w16cid:durableId="1493646279">
    <w:abstractNumId w:val="22"/>
  </w:num>
  <w:num w:numId="6" w16cid:durableId="726152720">
    <w:abstractNumId w:val="21"/>
  </w:num>
  <w:num w:numId="7" w16cid:durableId="207645023">
    <w:abstractNumId w:val="8"/>
  </w:num>
  <w:num w:numId="8" w16cid:durableId="1519389768">
    <w:abstractNumId w:val="27"/>
  </w:num>
  <w:num w:numId="9" w16cid:durableId="2125032341">
    <w:abstractNumId w:val="0"/>
  </w:num>
  <w:num w:numId="10" w16cid:durableId="1590847985">
    <w:abstractNumId w:val="7"/>
  </w:num>
  <w:num w:numId="11" w16cid:durableId="1136265270">
    <w:abstractNumId w:val="18"/>
  </w:num>
  <w:num w:numId="12" w16cid:durableId="529027975">
    <w:abstractNumId w:val="9"/>
  </w:num>
  <w:num w:numId="13" w16cid:durableId="1650203918">
    <w:abstractNumId w:val="20"/>
  </w:num>
  <w:num w:numId="14" w16cid:durableId="2017265809">
    <w:abstractNumId w:val="6"/>
  </w:num>
  <w:num w:numId="15" w16cid:durableId="597062549">
    <w:abstractNumId w:val="1"/>
  </w:num>
  <w:num w:numId="16" w16cid:durableId="1543009396">
    <w:abstractNumId w:val="32"/>
  </w:num>
  <w:num w:numId="17" w16cid:durableId="640039430">
    <w:abstractNumId w:val="12"/>
  </w:num>
  <w:num w:numId="18" w16cid:durableId="1175148751">
    <w:abstractNumId w:val="19"/>
  </w:num>
  <w:num w:numId="19" w16cid:durableId="807867948">
    <w:abstractNumId w:val="16"/>
  </w:num>
  <w:num w:numId="20" w16cid:durableId="651062024">
    <w:abstractNumId w:val="31"/>
  </w:num>
  <w:num w:numId="21" w16cid:durableId="1341197186">
    <w:abstractNumId w:val="30"/>
  </w:num>
  <w:num w:numId="22" w16cid:durableId="236139100">
    <w:abstractNumId w:val="28"/>
  </w:num>
  <w:num w:numId="23" w16cid:durableId="720638940">
    <w:abstractNumId w:val="23"/>
  </w:num>
  <w:num w:numId="24" w16cid:durableId="452408126">
    <w:abstractNumId w:val="2"/>
  </w:num>
  <w:num w:numId="25" w16cid:durableId="1303997701">
    <w:abstractNumId w:val="25"/>
  </w:num>
  <w:num w:numId="26" w16cid:durableId="2080056167">
    <w:abstractNumId w:val="24"/>
  </w:num>
  <w:num w:numId="27" w16cid:durableId="1493066464">
    <w:abstractNumId w:val="4"/>
  </w:num>
  <w:num w:numId="28" w16cid:durableId="661666711">
    <w:abstractNumId w:val="15"/>
  </w:num>
  <w:num w:numId="29" w16cid:durableId="177084877">
    <w:abstractNumId w:val="3"/>
  </w:num>
  <w:num w:numId="30" w16cid:durableId="1208953738">
    <w:abstractNumId w:val="17"/>
  </w:num>
  <w:num w:numId="31" w16cid:durableId="2059741172">
    <w:abstractNumId w:val="14"/>
  </w:num>
  <w:num w:numId="32" w16cid:durableId="1332639553">
    <w:abstractNumId w:val="13"/>
  </w:num>
  <w:num w:numId="33" w16cid:durableId="18852121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7C"/>
    <w:rsid w:val="00003A89"/>
    <w:rsid w:val="0001322D"/>
    <w:rsid w:val="000134F8"/>
    <w:rsid w:val="00015501"/>
    <w:rsid w:val="00015FB0"/>
    <w:rsid w:val="00024B67"/>
    <w:rsid w:val="000328FB"/>
    <w:rsid w:val="000427FD"/>
    <w:rsid w:val="000508D1"/>
    <w:rsid w:val="00052709"/>
    <w:rsid w:val="000630E5"/>
    <w:rsid w:val="00063C4F"/>
    <w:rsid w:val="0006559C"/>
    <w:rsid w:val="0006619E"/>
    <w:rsid w:val="0007393B"/>
    <w:rsid w:val="00080AC4"/>
    <w:rsid w:val="000832E7"/>
    <w:rsid w:val="00090139"/>
    <w:rsid w:val="00091A4F"/>
    <w:rsid w:val="000939F5"/>
    <w:rsid w:val="000A0CE9"/>
    <w:rsid w:val="000A7E7A"/>
    <w:rsid w:val="000B1945"/>
    <w:rsid w:val="000B41A4"/>
    <w:rsid w:val="000B5625"/>
    <w:rsid w:val="000C03FF"/>
    <w:rsid w:val="000C6575"/>
    <w:rsid w:val="000D077E"/>
    <w:rsid w:val="000D1120"/>
    <w:rsid w:val="00110832"/>
    <w:rsid w:val="00116EFA"/>
    <w:rsid w:val="00123D4F"/>
    <w:rsid w:val="00124A3B"/>
    <w:rsid w:val="00137A7E"/>
    <w:rsid w:val="00145B6F"/>
    <w:rsid w:val="001465A6"/>
    <w:rsid w:val="00146EF9"/>
    <w:rsid w:val="00150D28"/>
    <w:rsid w:val="00164564"/>
    <w:rsid w:val="001658F3"/>
    <w:rsid w:val="001701BE"/>
    <w:rsid w:val="00170796"/>
    <w:rsid w:val="00170C18"/>
    <w:rsid w:val="00174556"/>
    <w:rsid w:val="0017483D"/>
    <w:rsid w:val="001836DE"/>
    <w:rsid w:val="00184CE6"/>
    <w:rsid w:val="001852F5"/>
    <w:rsid w:val="00197322"/>
    <w:rsid w:val="001A1296"/>
    <w:rsid w:val="001A4714"/>
    <w:rsid w:val="001A50D6"/>
    <w:rsid w:val="001C0C7F"/>
    <w:rsid w:val="001C3ABA"/>
    <w:rsid w:val="001C439D"/>
    <w:rsid w:val="001D235F"/>
    <w:rsid w:val="001D375B"/>
    <w:rsid w:val="001D5F3D"/>
    <w:rsid w:val="001E6915"/>
    <w:rsid w:val="001E76C1"/>
    <w:rsid w:val="001F0F77"/>
    <w:rsid w:val="00204C8D"/>
    <w:rsid w:val="00205C2B"/>
    <w:rsid w:val="002066E0"/>
    <w:rsid w:val="00207908"/>
    <w:rsid w:val="00215EEB"/>
    <w:rsid w:val="00221239"/>
    <w:rsid w:val="002277EF"/>
    <w:rsid w:val="002306A8"/>
    <w:rsid w:val="00234D6E"/>
    <w:rsid w:val="00234F9E"/>
    <w:rsid w:val="00236514"/>
    <w:rsid w:val="00236E9E"/>
    <w:rsid w:val="002379FC"/>
    <w:rsid w:val="00244394"/>
    <w:rsid w:val="00247739"/>
    <w:rsid w:val="00265A64"/>
    <w:rsid w:val="002671EA"/>
    <w:rsid w:val="0027079A"/>
    <w:rsid w:val="00274D70"/>
    <w:rsid w:val="00276D70"/>
    <w:rsid w:val="002A2B6D"/>
    <w:rsid w:val="002A78E2"/>
    <w:rsid w:val="002B6441"/>
    <w:rsid w:val="002C4CAB"/>
    <w:rsid w:val="002D279F"/>
    <w:rsid w:val="002D6DBA"/>
    <w:rsid w:val="002E13CB"/>
    <w:rsid w:val="002E15EF"/>
    <w:rsid w:val="002E2025"/>
    <w:rsid w:val="002E3119"/>
    <w:rsid w:val="002F1DEB"/>
    <w:rsid w:val="002F4566"/>
    <w:rsid w:val="00311178"/>
    <w:rsid w:val="00312C86"/>
    <w:rsid w:val="0031551F"/>
    <w:rsid w:val="00317CD2"/>
    <w:rsid w:val="00323362"/>
    <w:rsid w:val="00333188"/>
    <w:rsid w:val="0033369E"/>
    <w:rsid w:val="003337C4"/>
    <w:rsid w:val="003360AD"/>
    <w:rsid w:val="00342D7D"/>
    <w:rsid w:val="00353DE5"/>
    <w:rsid w:val="00364F57"/>
    <w:rsid w:val="00366282"/>
    <w:rsid w:val="003704B7"/>
    <w:rsid w:val="00371058"/>
    <w:rsid w:val="00374FD0"/>
    <w:rsid w:val="00375499"/>
    <w:rsid w:val="00375B5A"/>
    <w:rsid w:val="00377338"/>
    <w:rsid w:val="0038071B"/>
    <w:rsid w:val="0038214B"/>
    <w:rsid w:val="0038248A"/>
    <w:rsid w:val="003B1F36"/>
    <w:rsid w:val="003D4483"/>
    <w:rsid w:val="003D4D0C"/>
    <w:rsid w:val="003D53A9"/>
    <w:rsid w:val="003D53F3"/>
    <w:rsid w:val="003E1212"/>
    <w:rsid w:val="003E4164"/>
    <w:rsid w:val="003E787D"/>
    <w:rsid w:val="003F3826"/>
    <w:rsid w:val="00401871"/>
    <w:rsid w:val="00435AB9"/>
    <w:rsid w:val="00437EAE"/>
    <w:rsid w:val="004432FA"/>
    <w:rsid w:val="00445469"/>
    <w:rsid w:val="00461860"/>
    <w:rsid w:val="004630F2"/>
    <w:rsid w:val="00466B2F"/>
    <w:rsid w:val="00476535"/>
    <w:rsid w:val="00481CEE"/>
    <w:rsid w:val="00481F05"/>
    <w:rsid w:val="00482E0A"/>
    <w:rsid w:val="00496EDC"/>
    <w:rsid w:val="004A216D"/>
    <w:rsid w:val="004A64EC"/>
    <w:rsid w:val="004B739C"/>
    <w:rsid w:val="004C3A7C"/>
    <w:rsid w:val="004C3DE4"/>
    <w:rsid w:val="004C497C"/>
    <w:rsid w:val="004D336F"/>
    <w:rsid w:val="004E2634"/>
    <w:rsid w:val="004E6505"/>
    <w:rsid w:val="004E716F"/>
    <w:rsid w:val="004F310A"/>
    <w:rsid w:val="00500645"/>
    <w:rsid w:val="00502D34"/>
    <w:rsid w:val="00506EE2"/>
    <w:rsid w:val="0051252D"/>
    <w:rsid w:val="0052002C"/>
    <w:rsid w:val="0052007F"/>
    <w:rsid w:val="005210C3"/>
    <w:rsid w:val="00521D5B"/>
    <w:rsid w:val="00541730"/>
    <w:rsid w:val="00542CA3"/>
    <w:rsid w:val="0055119A"/>
    <w:rsid w:val="00553148"/>
    <w:rsid w:val="005544EF"/>
    <w:rsid w:val="005551C7"/>
    <w:rsid w:val="00566265"/>
    <w:rsid w:val="00567F67"/>
    <w:rsid w:val="005715AB"/>
    <w:rsid w:val="00577955"/>
    <w:rsid w:val="00584B56"/>
    <w:rsid w:val="00597F8E"/>
    <w:rsid w:val="005A532E"/>
    <w:rsid w:val="005B235A"/>
    <w:rsid w:val="005B5AE0"/>
    <w:rsid w:val="005D014E"/>
    <w:rsid w:val="005E350B"/>
    <w:rsid w:val="005E658A"/>
    <w:rsid w:val="006071C1"/>
    <w:rsid w:val="00612458"/>
    <w:rsid w:val="006137FE"/>
    <w:rsid w:val="00613C7C"/>
    <w:rsid w:val="00613DA9"/>
    <w:rsid w:val="00615574"/>
    <w:rsid w:val="00616324"/>
    <w:rsid w:val="00627164"/>
    <w:rsid w:val="00633AC2"/>
    <w:rsid w:val="0064267D"/>
    <w:rsid w:val="00642E4C"/>
    <w:rsid w:val="00646331"/>
    <w:rsid w:val="00650BDF"/>
    <w:rsid w:val="00654EA5"/>
    <w:rsid w:val="00664079"/>
    <w:rsid w:val="006675A6"/>
    <w:rsid w:val="0067487F"/>
    <w:rsid w:val="00674E6E"/>
    <w:rsid w:val="00687278"/>
    <w:rsid w:val="006908EA"/>
    <w:rsid w:val="0069091E"/>
    <w:rsid w:val="006A3866"/>
    <w:rsid w:val="006A6BE7"/>
    <w:rsid w:val="006B0F63"/>
    <w:rsid w:val="006C0034"/>
    <w:rsid w:val="006C1224"/>
    <w:rsid w:val="006C65BF"/>
    <w:rsid w:val="006D0C82"/>
    <w:rsid w:val="006D18B6"/>
    <w:rsid w:val="006E43B1"/>
    <w:rsid w:val="006F29D5"/>
    <w:rsid w:val="006F7D1A"/>
    <w:rsid w:val="00700E21"/>
    <w:rsid w:val="00703B92"/>
    <w:rsid w:val="007054CB"/>
    <w:rsid w:val="00706C9E"/>
    <w:rsid w:val="00707551"/>
    <w:rsid w:val="007201F9"/>
    <w:rsid w:val="00723985"/>
    <w:rsid w:val="0072792B"/>
    <w:rsid w:val="00731CCC"/>
    <w:rsid w:val="00747A10"/>
    <w:rsid w:val="007532BB"/>
    <w:rsid w:val="007636CF"/>
    <w:rsid w:val="007645A5"/>
    <w:rsid w:val="0077038B"/>
    <w:rsid w:val="0077641A"/>
    <w:rsid w:val="00787ECF"/>
    <w:rsid w:val="00792047"/>
    <w:rsid w:val="00793368"/>
    <w:rsid w:val="007A0BF6"/>
    <w:rsid w:val="007B016D"/>
    <w:rsid w:val="007B1D89"/>
    <w:rsid w:val="007B2A4F"/>
    <w:rsid w:val="007B3D22"/>
    <w:rsid w:val="007C311F"/>
    <w:rsid w:val="007C7291"/>
    <w:rsid w:val="007D2C36"/>
    <w:rsid w:val="007D3C80"/>
    <w:rsid w:val="007E5144"/>
    <w:rsid w:val="008021D4"/>
    <w:rsid w:val="00804E13"/>
    <w:rsid w:val="00810F64"/>
    <w:rsid w:val="0081159C"/>
    <w:rsid w:val="008133E6"/>
    <w:rsid w:val="0081357F"/>
    <w:rsid w:val="008220E1"/>
    <w:rsid w:val="0082375E"/>
    <w:rsid w:val="00831EAB"/>
    <w:rsid w:val="008337AC"/>
    <w:rsid w:val="00833D83"/>
    <w:rsid w:val="008420FA"/>
    <w:rsid w:val="00852872"/>
    <w:rsid w:val="00852F0E"/>
    <w:rsid w:val="0085771E"/>
    <w:rsid w:val="00857CAF"/>
    <w:rsid w:val="00866A16"/>
    <w:rsid w:val="00874952"/>
    <w:rsid w:val="008772EA"/>
    <w:rsid w:val="00880B0E"/>
    <w:rsid w:val="008820E9"/>
    <w:rsid w:val="00884E7A"/>
    <w:rsid w:val="00885D3E"/>
    <w:rsid w:val="00892C75"/>
    <w:rsid w:val="008A1EB4"/>
    <w:rsid w:val="008A5D84"/>
    <w:rsid w:val="008B0DB8"/>
    <w:rsid w:val="008B723B"/>
    <w:rsid w:val="008C2E47"/>
    <w:rsid w:val="008C34FB"/>
    <w:rsid w:val="008C79A3"/>
    <w:rsid w:val="008D256E"/>
    <w:rsid w:val="008E0A2F"/>
    <w:rsid w:val="008E15A3"/>
    <w:rsid w:val="008E3F69"/>
    <w:rsid w:val="008E5A3C"/>
    <w:rsid w:val="008F0BF7"/>
    <w:rsid w:val="00900687"/>
    <w:rsid w:val="00902C2F"/>
    <w:rsid w:val="00922082"/>
    <w:rsid w:val="00925D8C"/>
    <w:rsid w:val="00931B07"/>
    <w:rsid w:val="00932971"/>
    <w:rsid w:val="00947C03"/>
    <w:rsid w:val="00953675"/>
    <w:rsid w:val="00977A4C"/>
    <w:rsid w:val="00985990"/>
    <w:rsid w:val="0099070C"/>
    <w:rsid w:val="00991E70"/>
    <w:rsid w:val="0099260C"/>
    <w:rsid w:val="0099494B"/>
    <w:rsid w:val="009964DC"/>
    <w:rsid w:val="0099784D"/>
    <w:rsid w:val="00997AB3"/>
    <w:rsid w:val="009A2C2C"/>
    <w:rsid w:val="009B1FDF"/>
    <w:rsid w:val="009B3495"/>
    <w:rsid w:val="009D1869"/>
    <w:rsid w:val="009D2186"/>
    <w:rsid w:val="009D5762"/>
    <w:rsid w:val="009E1523"/>
    <w:rsid w:val="009E5B23"/>
    <w:rsid w:val="009F213C"/>
    <w:rsid w:val="009F2526"/>
    <w:rsid w:val="00A015DE"/>
    <w:rsid w:val="00A03AF9"/>
    <w:rsid w:val="00A03DF8"/>
    <w:rsid w:val="00A14EED"/>
    <w:rsid w:val="00A1654E"/>
    <w:rsid w:val="00A20BB6"/>
    <w:rsid w:val="00A210FE"/>
    <w:rsid w:val="00A222A3"/>
    <w:rsid w:val="00A235DE"/>
    <w:rsid w:val="00A46594"/>
    <w:rsid w:val="00A4730C"/>
    <w:rsid w:val="00A51B27"/>
    <w:rsid w:val="00A52ADA"/>
    <w:rsid w:val="00A55910"/>
    <w:rsid w:val="00A55D84"/>
    <w:rsid w:val="00A645B4"/>
    <w:rsid w:val="00A651D8"/>
    <w:rsid w:val="00A701B7"/>
    <w:rsid w:val="00A74B98"/>
    <w:rsid w:val="00A80C9F"/>
    <w:rsid w:val="00AB1673"/>
    <w:rsid w:val="00AB1F42"/>
    <w:rsid w:val="00AB5C5F"/>
    <w:rsid w:val="00AC4220"/>
    <w:rsid w:val="00AD0F27"/>
    <w:rsid w:val="00AF1A02"/>
    <w:rsid w:val="00AF4EB8"/>
    <w:rsid w:val="00AF731A"/>
    <w:rsid w:val="00B026B8"/>
    <w:rsid w:val="00B044D9"/>
    <w:rsid w:val="00B079AD"/>
    <w:rsid w:val="00B12B28"/>
    <w:rsid w:val="00B16ECB"/>
    <w:rsid w:val="00B230AB"/>
    <w:rsid w:val="00B33AD4"/>
    <w:rsid w:val="00B3683D"/>
    <w:rsid w:val="00B368F5"/>
    <w:rsid w:val="00B36CCE"/>
    <w:rsid w:val="00B3780C"/>
    <w:rsid w:val="00B4759A"/>
    <w:rsid w:val="00B50F93"/>
    <w:rsid w:val="00B52778"/>
    <w:rsid w:val="00B62ED7"/>
    <w:rsid w:val="00B642BD"/>
    <w:rsid w:val="00B64319"/>
    <w:rsid w:val="00B64382"/>
    <w:rsid w:val="00B72CB6"/>
    <w:rsid w:val="00B7368D"/>
    <w:rsid w:val="00B74A0A"/>
    <w:rsid w:val="00B77DE9"/>
    <w:rsid w:val="00B80B34"/>
    <w:rsid w:val="00B91910"/>
    <w:rsid w:val="00B92325"/>
    <w:rsid w:val="00BA0789"/>
    <w:rsid w:val="00BA17BD"/>
    <w:rsid w:val="00BA1E1F"/>
    <w:rsid w:val="00BA2296"/>
    <w:rsid w:val="00BA6165"/>
    <w:rsid w:val="00BB1915"/>
    <w:rsid w:val="00BB1A24"/>
    <w:rsid w:val="00BC488A"/>
    <w:rsid w:val="00BD7762"/>
    <w:rsid w:val="00BE18EC"/>
    <w:rsid w:val="00BE1A54"/>
    <w:rsid w:val="00BE1D70"/>
    <w:rsid w:val="00BE3AE5"/>
    <w:rsid w:val="00BE598C"/>
    <w:rsid w:val="00BF4F25"/>
    <w:rsid w:val="00C0261B"/>
    <w:rsid w:val="00C05B5C"/>
    <w:rsid w:val="00C05E42"/>
    <w:rsid w:val="00C134BE"/>
    <w:rsid w:val="00C30D5C"/>
    <w:rsid w:val="00C361C4"/>
    <w:rsid w:val="00C367BF"/>
    <w:rsid w:val="00C417BC"/>
    <w:rsid w:val="00C44F59"/>
    <w:rsid w:val="00C56939"/>
    <w:rsid w:val="00C65DA8"/>
    <w:rsid w:val="00C70023"/>
    <w:rsid w:val="00C72D2D"/>
    <w:rsid w:val="00C7496B"/>
    <w:rsid w:val="00C74D14"/>
    <w:rsid w:val="00C77249"/>
    <w:rsid w:val="00C777F4"/>
    <w:rsid w:val="00C77E52"/>
    <w:rsid w:val="00C83297"/>
    <w:rsid w:val="00C957BB"/>
    <w:rsid w:val="00C96E74"/>
    <w:rsid w:val="00CA3E35"/>
    <w:rsid w:val="00CA7788"/>
    <w:rsid w:val="00CB7195"/>
    <w:rsid w:val="00CC41D7"/>
    <w:rsid w:val="00CC5A6F"/>
    <w:rsid w:val="00CD1CB6"/>
    <w:rsid w:val="00CE3F99"/>
    <w:rsid w:val="00CE701C"/>
    <w:rsid w:val="00CE7394"/>
    <w:rsid w:val="00CF36CC"/>
    <w:rsid w:val="00CF7A13"/>
    <w:rsid w:val="00D06B36"/>
    <w:rsid w:val="00D07FB4"/>
    <w:rsid w:val="00D1401E"/>
    <w:rsid w:val="00D147AF"/>
    <w:rsid w:val="00D218F4"/>
    <w:rsid w:val="00D2792E"/>
    <w:rsid w:val="00D3291D"/>
    <w:rsid w:val="00D568BD"/>
    <w:rsid w:val="00D57CB8"/>
    <w:rsid w:val="00D606CD"/>
    <w:rsid w:val="00D611AA"/>
    <w:rsid w:val="00D84507"/>
    <w:rsid w:val="00D921E9"/>
    <w:rsid w:val="00DA0E78"/>
    <w:rsid w:val="00DA7538"/>
    <w:rsid w:val="00DC3B30"/>
    <w:rsid w:val="00DD06CB"/>
    <w:rsid w:val="00DD77EC"/>
    <w:rsid w:val="00DE5551"/>
    <w:rsid w:val="00DE5882"/>
    <w:rsid w:val="00DE6953"/>
    <w:rsid w:val="00DF06E9"/>
    <w:rsid w:val="00DF2130"/>
    <w:rsid w:val="00DF3D6E"/>
    <w:rsid w:val="00DF5ECF"/>
    <w:rsid w:val="00E03C37"/>
    <w:rsid w:val="00E0560B"/>
    <w:rsid w:val="00E07232"/>
    <w:rsid w:val="00E14160"/>
    <w:rsid w:val="00E14D67"/>
    <w:rsid w:val="00E21398"/>
    <w:rsid w:val="00E218BF"/>
    <w:rsid w:val="00E33CA6"/>
    <w:rsid w:val="00E3739A"/>
    <w:rsid w:val="00E40918"/>
    <w:rsid w:val="00E441B7"/>
    <w:rsid w:val="00E44D83"/>
    <w:rsid w:val="00E457D1"/>
    <w:rsid w:val="00E54AD1"/>
    <w:rsid w:val="00E550CB"/>
    <w:rsid w:val="00E55165"/>
    <w:rsid w:val="00E626DB"/>
    <w:rsid w:val="00E63DD9"/>
    <w:rsid w:val="00E65CD5"/>
    <w:rsid w:val="00E82C0D"/>
    <w:rsid w:val="00E84F73"/>
    <w:rsid w:val="00E92AAC"/>
    <w:rsid w:val="00EA2130"/>
    <w:rsid w:val="00EA3B3E"/>
    <w:rsid w:val="00EA67E0"/>
    <w:rsid w:val="00EA71FB"/>
    <w:rsid w:val="00EB4637"/>
    <w:rsid w:val="00ED41F4"/>
    <w:rsid w:val="00ED65ED"/>
    <w:rsid w:val="00EE1961"/>
    <w:rsid w:val="00EE48F7"/>
    <w:rsid w:val="00EF4807"/>
    <w:rsid w:val="00EF5564"/>
    <w:rsid w:val="00EF7534"/>
    <w:rsid w:val="00F03763"/>
    <w:rsid w:val="00F14DAA"/>
    <w:rsid w:val="00F205D4"/>
    <w:rsid w:val="00F22A3C"/>
    <w:rsid w:val="00F2522C"/>
    <w:rsid w:val="00F2541A"/>
    <w:rsid w:val="00F3094F"/>
    <w:rsid w:val="00F41D43"/>
    <w:rsid w:val="00F4355C"/>
    <w:rsid w:val="00F450BA"/>
    <w:rsid w:val="00F534D6"/>
    <w:rsid w:val="00F61A84"/>
    <w:rsid w:val="00F6488F"/>
    <w:rsid w:val="00F67B12"/>
    <w:rsid w:val="00F76EBB"/>
    <w:rsid w:val="00F81BD5"/>
    <w:rsid w:val="00FB1EAC"/>
    <w:rsid w:val="00FB2FF4"/>
    <w:rsid w:val="00FC3580"/>
    <w:rsid w:val="00FC406D"/>
    <w:rsid w:val="00FC5D7E"/>
    <w:rsid w:val="00FC5DB7"/>
    <w:rsid w:val="00FD12A3"/>
    <w:rsid w:val="00FD1367"/>
    <w:rsid w:val="00FD2782"/>
    <w:rsid w:val="00FE584C"/>
    <w:rsid w:val="00FE63E6"/>
    <w:rsid w:val="00FF298D"/>
    <w:rsid w:val="00FF2E38"/>
    <w:rsid w:val="00FF3AF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E37698B"/>
  <w15:chartTrackingRefBased/>
  <w15:docId w15:val="{B819F221-4A08-3248-866A-845A0E5A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D57CB8"/>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D57CB8"/>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170796"/>
    <w:pPr>
      <w:ind w:left="720"/>
      <w:contextualSpacing/>
    </w:pPr>
  </w:style>
  <w:style w:type="paragraph" w:styleId="Header">
    <w:name w:val="header"/>
    <w:basedOn w:val="Normal"/>
    <w:link w:val="HeaderChar"/>
    <w:uiPriority w:val="99"/>
    <w:unhideWhenUsed/>
    <w:rsid w:val="00AF1A02"/>
    <w:pPr>
      <w:tabs>
        <w:tab w:val="center" w:pos="4320"/>
        <w:tab w:val="right" w:pos="8640"/>
      </w:tabs>
    </w:pPr>
  </w:style>
  <w:style w:type="character" w:customStyle="1" w:styleId="HeaderChar">
    <w:name w:val="Header Char"/>
    <w:basedOn w:val="DefaultParagraphFont"/>
    <w:link w:val="Header"/>
    <w:uiPriority w:val="99"/>
    <w:rsid w:val="00AF1A02"/>
    <w:rPr>
      <w:rFonts w:ascii="Times New Roman" w:hAnsi="Times New Roman"/>
    </w:rPr>
  </w:style>
  <w:style w:type="paragraph" w:styleId="Footer">
    <w:name w:val="footer"/>
    <w:basedOn w:val="Normal"/>
    <w:link w:val="FooterChar"/>
    <w:uiPriority w:val="99"/>
    <w:unhideWhenUsed/>
    <w:rsid w:val="00AF1A02"/>
    <w:pPr>
      <w:tabs>
        <w:tab w:val="center" w:pos="4320"/>
        <w:tab w:val="right" w:pos="8640"/>
      </w:tabs>
    </w:pPr>
  </w:style>
  <w:style w:type="character" w:customStyle="1" w:styleId="FooterChar">
    <w:name w:val="Footer Char"/>
    <w:basedOn w:val="DefaultParagraphFont"/>
    <w:link w:val="Footer"/>
    <w:uiPriority w:val="99"/>
    <w:rsid w:val="00AF1A0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0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13</Pages>
  <Words>4371</Words>
  <Characters>24918</Characters>
  <Application>Microsoft Office Word</Application>
  <DocSecurity>0</DocSecurity>
  <Lines>207</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9</cp:revision>
  <dcterms:created xsi:type="dcterms:W3CDTF">2023-09-12T11:00:00Z</dcterms:created>
  <dcterms:modified xsi:type="dcterms:W3CDTF">2023-11-28T20:49:00Z</dcterms:modified>
</cp:coreProperties>
</file>