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630"/>
        <w:tblW w:w="0" w:type="auto"/>
        <w:tblLook w:val="04A0" w:firstRow="1" w:lastRow="0" w:firstColumn="1" w:lastColumn="0" w:noHBand="0" w:noVBand="1"/>
      </w:tblPr>
      <w:tblGrid>
        <w:gridCol w:w="3964"/>
        <w:gridCol w:w="5386"/>
      </w:tblGrid>
      <w:tr w:rsidR="003D38FC" w:rsidRPr="003D38FC" w14:paraId="7A618176" w14:textId="77777777" w:rsidTr="009143A9">
        <w:trPr>
          <w:trHeight w:val="1973"/>
        </w:trPr>
        <w:tc>
          <w:tcPr>
            <w:tcW w:w="3964" w:type="dxa"/>
          </w:tcPr>
          <w:p w14:paraId="2FCC7019" w14:textId="77777777" w:rsidR="003D38FC" w:rsidRDefault="003D38FC" w:rsidP="003D38FC">
            <w:pPr>
              <w:pStyle w:val="ListParagraph"/>
              <w:numPr>
                <w:ilvl w:val="0"/>
                <w:numId w:val="1"/>
              </w:numPr>
              <w:rPr>
                <w:rFonts w:ascii="Times New Roman" w:hAnsi="Times New Roman" w:cs="Times New Roman"/>
              </w:rPr>
            </w:pPr>
            <w:r>
              <w:rPr>
                <w:rFonts w:ascii="Times New Roman" w:hAnsi="Times New Roman" w:cs="Times New Roman"/>
              </w:rPr>
              <w:t>Qualifier le régime : Art 1457 ou 1458?</w:t>
            </w:r>
          </w:p>
          <w:p w14:paraId="73358615" w14:textId="77777777" w:rsidR="002E6B17" w:rsidRDefault="002E6B17" w:rsidP="002E6B17">
            <w:pPr>
              <w:rPr>
                <w:rFonts w:ascii="Times New Roman" w:hAnsi="Times New Roman" w:cs="Times New Roman"/>
              </w:rPr>
            </w:pPr>
          </w:p>
          <w:p w14:paraId="058EF172" w14:textId="77777777" w:rsidR="002E6B17" w:rsidRDefault="002E6B17" w:rsidP="002E6B17">
            <w:pPr>
              <w:pStyle w:val="ListParagraph"/>
              <w:numPr>
                <w:ilvl w:val="0"/>
                <w:numId w:val="3"/>
              </w:numPr>
              <w:rPr>
                <w:rFonts w:ascii="Times New Roman" w:hAnsi="Times New Roman" w:cs="Times New Roman"/>
              </w:rPr>
            </w:pPr>
            <w:r>
              <w:rPr>
                <w:rFonts w:ascii="Times New Roman" w:hAnsi="Times New Roman" w:cs="Times New Roman"/>
              </w:rPr>
              <w:t>Extracontractuelle</w:t>
            </w:r>
          </w:p>
          <w:p w14:paraId="0140A977" w14:textId="77777777" w:rsidR="009143A9" w:rsidRDefault="009143A9" w:rsidP="009143A9">
            <w:pPr>
              <w:pStyle w:val="ListParagraph"/>
              <w:rPr>
                <w:rFonts w:ascii="Times New Roman" w:hAnsi="Times New Roman" w:cs="Times New Roman"/>
              </w:rPr>
            </w:pPr>
          </w:p>
          <w:p w14:paraId="2E9142A6" w14:textId="77777777" w:rsidR="00A922F4" w:rsidRDefault="002E6B17" w:rsidP="002E6B17">
            <w:pPr>
              <w:pStyle w:val="ListParagraph"/>
              <w:numPr>
                <w:ilvl w:val="0"/>
                <w:numId w:val="3"/>
              </w:numPr>
              <w:rPr>
                <w:rFonts w:ascii="Times New Roman" w:hAnsi="Times New Roman" w:cs="Times New Roman"/>
              </w:rPr>
            </w:pPr>
            <w:r>
              <w:rPr>
                <w:rFonts w:ascii="Times New Roman" w:hAnsi="Times New Roman" w:cs="Times New Roman"/>
              </w:rPr>
              <w:t xml:space="preserve">Contractuelle </w:t>
            </w:r>
          </w:p>
          <w:p w14:paraId="15B6A8C2" w14:textId="77777777" w:rsidR="00A922F4" w:rsidRPr="00A922F4" w:rsidRDefault="00A922F4" w:rsidP="00A922F4">
            <w:pPr>
              <w:pStyle w:val="ListParagraph"/>
              <w:rPr>
                <w:rFonts w:ascii="Times New Roman" w:hAnsi="Times New Roman" w:cs="Times New Roman"/>
              </w:rPr>
            </w:pPr>
          </w:p>
          <w:p w14:paraId="09542CEF" w14:textId="71BB72F1" w:rsidR="002E6B17" w:rsidRPr="002E6B17" w:rsidRDefault="002E6B17" w:rsidP="00A922F4">
            <w:pPr>
              <w:pStyle w:val="ListParagraph"/>
              <w:rPr>
                <w:rFonts w:ascii="Times New Roman" w:hAnsi="Times New Roman" w:cs="Times New Roman"/>
              </w:rPr>
            </w:pPr>
            <w:r w:rsidRPr="00A922F4">
              <w:rPr>
                <w:rFonts w:ascii="Times New Roman" w:hAnsi="Times New Roman" w:cs="Times New Roman"/>
                <w:highlight w:val="yellow"/>
              </w:rPr>
              <w:t>***attention</w:t>
            </w:r>
            <w:r>
              <w:rPr>
                <w:rFonts w:ascii="Times New Roman" w:hAnsi="Times New Roman" w:cs="Times New Roman"/>
              </w:rPr>
              <w:t xml:space="preserve"> : il est impossible pour les parties de qualifier un différend régime d’application dans un contrat afin de se favoriser </w:t>
            </w:r>
            <w:r w:rsidRPr="002E6B17">
              <w:rPr>
                <w:rFonts w:ascii="Times New Roman" w:hAnsi="Times New Roman" w:cs="Times New Roman"/>
                <w:color w:val="FF0000"/>
              </w:rPr>
              <w:t>Art 1458 al.2</w:t>
            </w:r>
            <w:r>
              <w:rPr>
                <w:rFonts w:ascii="Times New Roman" w:hAnsi="Times New Roman" w:cs="Times New Roman"/>
                <w:color w:val="FF0000"/>
              </w:rPr>
              <w:t>***</w:t>
            </w:r>
            <w:r w:rsidR="009143A9">
              <w:rPr>
                <w:rFonts w:ascii="Times New Roman" w:hAnsi="Times New Roman" w:cs="Times New Roman"/>
                <w:color w:val="000000" w:themeColor="text1"/>
              </w:rPr>
              <w:t xml:space="preserve"> – si nous avons un contrat, obligé de se soustraire au régime contractuelle (Voir l’exercice</w:t>
            </w:r>
            <w:r w:rsidR="009143A9" w:rsidRPr="009143A9">
              <w:rPr>
                <w:rFonts w:ascii="Times New Roman" w:hAnsi="Times New Roman" w:cs="Times New Roman"/>
                <w:i/>
                <w:iCs/>
                <w:color w:val="000000" w:themeColor="text1"/>
              </w:rPr>
              <w:t xml:space="preserve"> </w:t>
            </w:r>
            <w:proofErr w:type="spellStart"/>
            <w:r w:rsidR="009143A9" w:rsidRPr="009143A9">
              <w:rPr>
                <w:rFonts w:ascii="Times New Roman" w:hAnsi="Times New Roman" w:cs="Times New Roman"/>
                <w:i/>
                <w:iCs/>
                <w:color w:val="000000" w:themeColor="text1"/>
              </w:rPr>
              <w:t>Langois</w:t>
            </w:r>
            <w:proofErr w:type="spellEnd"/>
            <w:r w:rsidR="009143A9" w:rsidRPr="009143A9">
              <w:rPr>
                <w:rFonts w:ascii="Times New Roman" w:hAnsi="Times New Roman" w:cs="Times New Roman"/>
                <w:i/>
                <w:iCs/>
                <w:color w:val="000000" w:themeColor="text1"/>
              </w:rPr>
              <w:t xml:space="preserve"> - </w:t>
            </w:r>
            <w:proofErr w:type="spellStart"/>
            <w:r w:rsidR="009143A9" w:rsidRPr="009143A9">
              <w:rPr>
                <w:rFonts w:ascii="Times New Roman" w:hAnsi="Times New Roman" w:cs="Times New Roman"/>
                <w:i/>
                <w:iCs/>
                <w:color w:val="000000" w:themeColor="text1"/>
              </w:rPr>
              <w:t>Cognitis</w:t>
            </w:r>
            <w:proofErr w:type="spellEnd"/>
            <w:r w:rsidR="009143A9">
              <w:rPr>
                <w:rFonts w:ascii="Times New Roman" w:hAnsi="Times New Roman" w:cs="Times New Roman"/>
                <w:color w:val="000000" w:themeColor="text1"/>
              </w:rPr>
              <w:t>)</w:t>
            </w:r>
          </w:p>
        </w:tc>
        <w:tc>
          <w:tcPr>
            <w:tcW w:w="5386" w:type="dxa"/>
          </w:tcPr>
          <w:p w14:paraId="773CC781" w14:textId="77777777" w:rsidR="003D38FC" w:rsidRDefault="003D38FC" w:rsidP="003D38FC">
            <w:pPr>
              <w:rPr>
                <w:rFonts w:ascii="Times New Roman" w:hAnsi="Times New Roman" w:cs="Times New Roman"/>
              </w:rPr>
            </w:pPr>
            <w:r>
              <w:rPr>
                <w:rFonts w:ascii="Times New Roman" w:hAnsi="Times New Roman" w:cs="Times New Roman"/>
              </w:rPr>
              <w:t>***Faire attention, nous avons une présomption qui ne s’applique pas pour le régime de la responsabilité civile contractuelle.</w:t>
            </w:r>
          </w:p>
          <w:p w14:paraId="36F5F608" w14:textId="77777777" w:rsidR="002E6B17" w:rsidRDefault="002E6B17" w:rsidP="003D38FC">
            <w:pPr>
              <w:rPr>
                <w:rFonts w:ascii="Times New Roman" w:hAnsi="Times New Roman" w:cs="Times New Roman"/>
              </w:rPr>
            </w:pPr>
          </w:p>
          <w:p w14:paraId="4A0A46DA" w14:textId="77777777" w:rsidR="002E6B17" w:rsidRDefault="002E6B17" w:rsidP="002E6B17">
            <w:pPr>
              <w:pStyle w:val="ListParagraph"/>
              <w:numPr>
                <w:ilvl w:val="0"/>
                <w:numId w:val="3"/>
              </w:numPr>
              <w:rPr>
                <w:rFonts w:ascii="Times New Roman" w:hAnsi="Times New Roman" w:cs="Times New Roman"/>
              </w:rPr>
            </w:pPr>
            <w:r>
              <w:rPr>
                <w:rFonts w:ascii="Times New Roman" w:hAnsi="Times New Roman" w:cs="Times New Roman"/>
              </w:rPr>
              <w:t xml:space="preserve">Nous </w:t>
            </w:r>
            <w:proofErr w:type="gramStart"/>
            <w:r>
              <w:rPr>
                <w:rFonts w:ascii="Times New Roman" w:hAnsi="Times New Roman" w:cs="Times New Roman"/>
              </w:rPr>
              <w:t>aide</w:t>
            </w:r>
            <w:proofErr w:type="gramEnd"/>
            <w:r>
              <w:rPr>
                <w:rFonts w:ascii="Times New Roman" w:hAnsi="Times New Roman" w:cs="Times New Roman"/>
              </w:rPr>
              <w:t xml:space="preserve"> aussi à voir quel préjudice est admissible ou pas. </w:t>
            </w:r>
          </w:p>
          <w:p w14:paraId="4BBFE62B" w14:textId="77777777" w:rsidR="009143A9" w:rsidRDefault="009143A9" w:rsidP="009143A9">
            <w:pPr>
              <w:rPr>
                <w:rFonts w:ascii="Times New Roman" w:hAnsi="Times New Roman" w:cs="Times New Roman"/>
              </w:rPr>
            </w:pPr>
          </w:p>
          <w:p w14:paraId="10CA5DE0" w14:textId="77777777" w:rsidR="009143A9" w:rsidRDefault="009143A9" w:rsidP="009143A9">
            <w:pPr>
              <w:rPr>
                <w:rFonts w:ascii="Times New Roman" w:hAnsi="Times New Roman" w:cs="Times New Roman"/>
              </w:rPr>
            </w:pPr>
          </w:p>
          <w:p w14:paraId="7D4C7CED" w14:textId="7C135BC9" w:rsidR="009143A9" w:rsidRPr="009143A9" w:rsidRDefault="009143A9" w:rsidP="009143A9">
            <w:pPr>
              <w:pStyle w:val="ListParagraph"/>
              <w:numPr>
                <w:ilvl w:val="0"/>
                <w:numId w:val="3"/>
              </w:numPr>
              <w:rPr>
                <w:rFonts w:ascii="Times New Roman" w:hAnsi="Times New Roman" w:cs="Times New Roman"/>
              </w:rPr>
            </w:pPr>
            <w:r>
              <w:rPr>
                <w:rFonts w:ascii="Times New Roman" w:hAnsi="Times New Roman" w:cs="Times New Roman"/>
              </w:rPr>
              <w:t xml:space="preserve">Attention : dans l’affaire </w:t>
            </w:r>
            <w:r w:rsidRPr="009143A9">
              <w:rPr>
                <w:rFonts w:ascii="Times New Roman" w:hAnsi="Times New Roman" w:cs="Times New Roman"/>
                <w:i/>
                <w:iCs/>
              </w:rPr>
              <w:t>Langlois</w:t>
            </w:r>
            <w:r>
              <w:rPr>
                <w:rFonts w:ascii="Times New Roman" w:hAnsi="Times New Roman" w:cs="Times New Roman"/>
              </w:rPr>
              <w:t xml:space="preserve">, nous avons une compagnie qui commet un préjudice dans l’exécution de son contrat par l’entremise de </w:t>
            </w:r>
            <w:r w:rsidR="00CF22B9">
              <w:rPr>
                <w:rFonts w:ascii="Times New Roman" w:hAnsi="Times New Roman" w:cs="Times New Roman"/>
              </w:rPr>
              <w:t>ses employés</w:t>
            </w:r>
            <w:r>
              <w:rPr>
                <w:rFonts w:ascii="Times New Roman" w:hAnsi="Times New Roman" w:cs="Times New Roman"/>
              </w:rPr>
              <w:t>. Puisque nous avons un contrat, nous ne pouvons pas appliquer l’article 1463, nous devons plutôt envisager l’application de l’article 1458 et aller chercher la responsabilité de l’entreprise pour les personnes qu’elle à engager pour remplir son obligation envers moi</w:t>
            </w:r>
          </w:p>
        </w:tc>
      </w:tr>
      <w:tr w:rsidR="003D38FC" w:rsidRPr="003D38FC" w14:paraId="5F8B76B7" w14:textId="77777777" w:rsidTr="009143A9">
        <w:tc>
          <w:tcPr>
            <w:tcW w:w="3964" w:type="dxa"/>
          </w:tcPr>
          <w:p w14:paraId="28D73727" w14:textId="77777777" w:rsidR="003D38FC" w:rsidRDefault="003D38FC" w:rsidP="003D38FC">
            <w:pPr>
              <w:pStyle w:val="ListParagraph"/>
              <w:numPr>
                <w:ilvl w:val="0"/>
                <w:numId w:val="1"/>
              </w:numPr>
              <w:rPr>
                <w:rFonts w:ascii="Times New Roman" w:hAnsi="Times New Roman" w:cs="Times New Roman"/>
              </w:rPr>
            </w:pPr>
            <w:r>
              <w:rPr>
                <w:rFonts w:ascii="Times New Roman" w:hAnsi="Times New Roman" w:cs="Times New Roman"/>
              </w:rPr>
              <w:t>Qualifier la source du préjudice</w:t>
            </w:r>
          </w:p>
          <w:p w14:paraId="03C9BBFE" w14:textId="77777777" w:rsidR="002E6B17" w:rsidRDefault="002E6B17" w:rsidP="002E6B17">
            <w:pPr>
              <w:rPr>
                <w:rFonts w:ascii="Times New Roman" w:hAnsi="Times New Roman" w:cs="Times New Roman"/>
              </w:rPr>
            </w:pPr>
          </w:p>
          <w:p w14:paraId="09B08554" w14:textId="64627F1B" w:rsidR="002E6B17" w:rsidRPr="002E6B17" w:rsidRDefault="002E6B17" w:rsidP="002E6B17">
            <w:pPr>
              <w:pStyle w:val="ListParagraph"/>
              <w:numPr>
                <w:ilvl w:val="0"/>
                <w:numId w:val="3"/>
              </w:numPr>
              <w:rPr>
                <w:rFonts w:ascii="Times New Roman" w:hAnsi="Times New Roman" w:cs="Times New Roman"/>
              </w:rPr>
            </w:pPr>
            <w:r>
              <w:rPr>
                <w:rFonts w:ascii="Times New Roman" w:hAnsi="Times New Roman" w:cs="Times New Roman"/>
              </w:rPr>
              <w:t>Qualifier la source du préjudice permet d’établir la prescription (Art 2925 et s.)</w:t>
            </w:r>
          </w:p>
        </w:tc>
        <w:tc>
          <w:tcPr>
            <w:tcW w:w="5386" w:type="dxa"/>
          </w:tcPr>
          <w:p w14:paraId="5DF57EC1" w14:textId="77777777" w:rsidR="003D38FC" w:rsidRDefault="003D38FC" w:rsidP="003D38FC">
            <w:pPr>
              <w:rPr>
                <w:rFonts w:ascii="Times New Roman" w:hAnsi="Times New Roman" w:cs="Times New Roman"/>
              </w:rPr>
            </w:pPr>
            <w:r w:rsidRPr="00A922F4">
              <w:rPr>
                <w:rFonts w:ascii="Times New Roman" w:hAnsi="Times New Roman" w:cs="Times New Roman"/>
                <w:highlight w:val="yellow"/>
              </w:rPr>
              <w:t>***</w:t>
            </w:r>
            <w:r w:rsidR="002E6B17" w:rsidRPr="00A922F4">
              <w:rPr>
                <w:rFonts w:ascii="Times New Roman" w:hAnsi="Times New Roman" w:cs="Times New Roman"/>
                <w:highlight w:val="yellow"/>
              </w:rPr>
              <w:t>important***</w:t>
            </w:r>
          </w:p>
          <w:p w14:paraId="33B5120E" w14:textId="77777777" w:rsidR="002E6B17" w:rsidRDefault="002E6B17" w:rsidP="003D38FC">
            <w:pPr>
              <w:rPr>
                <w:rFonts w:ascii="Times New Roman" w:hAnsi="Times New Roman" w:cs="Times New Roman"/>
              </w:rPr>
            </w:pPr>
          </w:p>
          <w:p w14:paraId="590B8F4A" w14:textId="66F6224B" w:rsidR="002E6B17" w:rsidRDefault="002E6B17" w:rsidP="002E6B17">
            <w:pPr>
              <w:pStyle w:val="ListParagraph"/>
              <w:numPr>
                <w:ilvl w:val="0"/>
                <w:numId w:val="2"/>
              </w:numPr>
              <w:rPr>
                <w:rFonts w:ascii="Times New Roman" w:hAnsi="Times New Roman" w:cs="Times New Roman"/>
              </w:rPr>
            </w:pPr>
            <w:r>
              <w:rPr>
                <w:rFonts w:ascii="Times New Roman" w:hAnsi="Times New Roman" w:cs="Times New Roman"/>
              </w:rPr>
              <w:t>Certaines situations de préjudice exclus la responsabilité</w:t>
            </w:r>
          </w:p>
          <w:p w14:paraId="622259D8" w14:textId="77777777" w:rsidR="002E6B17" w:rsidRDefault="002E6B17" w:rsidP="002E6B17">
            <w:pPr>
              <w:pStyle w:val="ListParagraph"/>
              <w:rPr>
                <w:rFonts w:ascii="Times New Roman" w:hAnsi="Times New Roman" w:cs="Times New Roman"/>
              </w:rPr>
            </w:pPr>
          </w:p>
          <w:p w14:paraId="5FAB9218" w14:textId="6ECD61AA" w:rsidR="002E6B17" w:rsidRDefault="002E6B17" w:rsidP="002E6B17">
            <w:pPr>
              <w:pStyle w:val="ListParagraph"/>
              <w:numPr>
                <w:ilvl w:val="0"/>
                <w:numId w:val="2"/>
              </w:numPr>
              <w:rPr>
                <w:rFonts w:ascii="Times New Roman" w:hAnsi="Times New Roman" w:cs="Times New Roman"/>
              </w:rPr>
            </w:pPr>
            <w:r>
              <w:rPr>
                <w:rFonts w:ascii="Times New Roman" w:hAnsi="Times New Roman" w:cs="Times New Roman"/>
              </w:rPr>
              <w:t xml:space="preserve">Exemple : nous avons un accident d’auto, les règles de la responsabilité ne couvre pas (Art 83.57 </w:t>
            </w:r>
            <w:proofErr w:type="spellStart"/>
            <w:r w:rsidRPr="002E6B17">
              <w:rPr>
                <w:rFonts w:ascii="Times New Roman" w:hAnsi="Times New Roman" w:cs="Times New Roman"/>
                <w:i/>
                <w:iCs/>
              </w:rPr>
              <w:t>L.</w:t>
            </w:r>
            <w:proofErr w:type="gramStart"/>
            <w:r w:rsidRPr="002E6B17">
              <w:rPr>
                <w:rFonts w:ascii="Times New Roman" w:hAnsi="Times New Roman" w:cs="Times New Roman"/>
                <w:i/>
                <w:iCs/>
              </w:rPr>
              <w:t>a.a</w:t>
            </w:r>
            <w:proofErr w:type="spellEnd"/>
            <w:proofErr w:type="gramEnd"/>
            <w:r>
              <w:rPr>
                <w:rFonts w:ascii="Times New Roman" w:hAnsi="Times New Roman" w:cs="Times New Roman"/>
              </w:rPr>
              <w:t>)</w:t>
            </w:r>
          </w:p>
          <w:p w14:paraId="3391448C" w14:textId="77777777" w:rsidR="002E6B17" w:rsidRPr="002E6B17" w:rsidRDefault="002E6B17" w:rsidP="002E6B17">
            <w:pPr>
              <w:pStyle w:val="ListParagraph"/>
              <w:rPr>
                <w:rFonts w:ascii="Times New Roman" w:hAnsi="Times New Roman" w:cs="Times New Roman"/>
              </w:rPr>
            </w:pPr>
          </w:p>
          <w:p w14:paraId="2B7E9E72" w14:textId="00C8BF47" w:rsidR="002E6B17" w:rsidRDefault="002E6B17" w:rsidP="002E6B17">
            <w:pPr>
              <w:pStyle w:val="ListParagraph"/>
              <w:numPr>
                <w:ilvl w:val="0"/>
                <w:numId w:val="2"/>
              </w:numPr>
              <w:rPr>
                <w:rFonts w:ascii="Times New Roman" w:hAnsi="Times New Roman" w:cs="Times New Roman"/>
              </w:rPr>
            </w:pPr>
            <w:r>
              <w:rPr>
                <w:rFonts w:ascii="Times New Roman" w:hAnsi="Times New Roman" w:cs="Times New Roman"/>
              </w:rPr>
              <w:t xml:space="preserve">Si nous avons un accident de travail, c’est la </w:t>
            </w:r>
            <w:r w:rsidRPr="002E6B17">
              <w:rPr>
                <w:rFonts w:ascii="Times New Roman" w:hAnsi="Times New Roman" w:cs="Times New Roman"/>
                <w:i/>
                <w:iCs/>
              </w:rPr>
              <w:t>CNESST</w:t>
            </w:r>
            <w:r>
              <w:rPr>
                <w:rFonts w:ascii="Times New Roman" w:hAnsi="Times New Roman" w:cs="Times New Roman"/>
              </w:rPr>
              <w:t xml:space="preserve"> qui couvre le préjudice. </w:t>
            </w:r>
          </w:p>
          <w:p w14:paraId="51D3E258" w14:textId="77777777" w:rsidR="002E6B17" w:rsidRPr="002E6B17" w:rsidRDefault="002E6B17" w:rsidP="002E6B17">
            <w:pPr>
              <w:pStyle w:val="ListParagraph"/>
              <w:rPr>
                <w:rFonts w:ascii="Times New Roman" w:hAnsi="Times New Roman" w:cs="Times New Roman"/>
              </w:rPr>
            </w:pPr>
          </w:p>
          <w:p w14:paraId="3DBB3458" w14:textId="77777777" w:rsidR="002E6B17" w:rsidRDefault="002E6B17" w:rsidP="002E6B17">
            <w:pPr>
              <w:pStyle w:val="ListParagraph"/>
              <w:rPr>
                <w:rFonts w:ascii="Times New Roman" w:hAnsi="Times New Roman" w:cs="Times New Roman"/>
              </w:rPr>
            </w:pPr>
          </w:p>
          <w:p w14:paraId="16006D22" w14:textId="43D9C69B" w:rsidR="002E6B17" w:rsidRPr="002E6B17" w:rsidRDefault="002E6B17" w:rsidP="002E6B17">
            <w:pPr>
              <w:rPr>
                <w:rFonts w:ascii="Times New Roman" w:hAnsi="Times New Roman" w:cs="Times New Roman"/>
              </w:rPr>
            </w:pPr>
            <w:r>
              <w:rPr>
                <w:rFonts w:ascii="Times New Roman" w:hAnsi="Times New Roman" w:cs="Times New Roman"/>
              </w:rPr>
              <w:t xml:space="preserve">***Rappel : ajouter l’article 1457 avec art </w:t>
            </w:r>
            <w:r w:rsidRPr="00AB7C51">
              <w:rPr>
                <w:rFonts w:ascii="Times New Roman" w:hAnsi="Times New Roman" w:cs="Times New Roman"/>
              </w:rPr>
              <w:t>9</w:t>
            </w:r>
            <w:r w:rsidR="00AB7C51">
              <w:rPr>
                <w:rFonts w:ascii="Times New Roman" w:hAnsi="Times New Roman" w:cs="Times New Roman"/>
              </w:rPr>
              <w:t>76</w:t>
            </w:r>
            <w:r>
              <w:rPr>
                <w:rFonts w:ascii="Times New Roman" w:hAnsi="Times New Roman" w:cs="Times New Roman"/>
              </w:rPr>
              <w:t xml:space="preserve"> (trouble de voisinage = pas besoin de faute pour les troubles de voisinage, nous pouvons soulever une responsabilité pour trouble de voisinage sans une faute)</w:t>
            </w:r>
          </w:p>
          <w:p w14:paraId="53F7ABED" w14:textId="30919A70" w:rsidR="002E6B17" w:rsidRPr="003D38FC" w:rsidRDefault="002E6B17" w:rsidP="003D38FC">
            <w:pPr>
              <w:rPr>
                <w:rFonts w:ascii="Times New Roman" w:hAnsi="Times New Roman" w:cs="Times New Roman"/>
              </w:rPr>
            </w:pPr>
          </w:p>
        </w:tc>
      </w:tr>
      <w:tr w:rsidR="003D38FC" w:rsidRPr="003D38FC" w14:paraId="55942B75" w14:textId="77777777" w:rsidTr="009143A9">
        <w:tc>
          <w:tcPr>
            <w:tcW w:w="3964" w:type="dxa"/>
          </w:tcPr>
          <w:p w14:paraId="04563F99" w14:textId="4AF0AFC0" w:rsidR="003D38FC" w:rsidRPr="002E6B17" w:rsidRDefault="003D38FC" w:rsidP="009143A9">
            <w:pPr>
              <w:pStyle w:val="ListParagraph"/>
              <w:rPr>
                <w:rFonts w:ascii="Times New Roman" w:hAnsi="Times New Roman" w:cs="Times New Roman"/>
              </w:rPr>
            </w:pPr>
          </w:p>
        </w:tc>
        <w:tc>
          <w:tcPr>
            <w:tcW w:w="5386" w:type="dxa"/>
          </w:tcPr>
          <w:p w14:paraId="7BD28062" w14:textId="0E932661" w:rsidR="003D38FC" w:rsidRPr="003D38FC" w:rsidRDefault="009143A9" w:rsidP="003D38FC">
            <w:pPr>
              <w:rPr>
                <w:rFonts w:ascii="Times New Roman" w:hAnsi="Times New Roman" w:cs="Times New Roman"/>
              </w:rPr>
            </w:pPr>
            <w:r>
              <w:rPr>
                <w:rFonts w:ascii="Times New Roman" w:hAnsi="Times New Roman" w:cs="Times New Roman"/>
              </w:rPr>
              <w:t>***si nous somme en responsabilité contractuelle, nous sommes dans quelle type d’obligation (moyens, résultat, garantis?)</w:t>
            </w:r>
          </w:p>
        </w:tc>
      </w:tr>
    </w:tbl>
    <w:p w14:paraId="4FED79EA" w14:textId="68EE9D1F" w:rsidR="004D6FC4" w:rsidRPr="003D38FC" w:rsidRDefault="003D38FC">
      <w:pPr>
        <w:rPr>
          <w:rFonts w:ascii="Times New Roman" w:hAnsi="Times New Roman" w:cs="Times New Roman"/>
          <w:b/>
          <w:bCs/>
        </w:rPr>
      </w:pPr>
      <w:r>
        <w:rPr>
          <w:rFonts w:ascii="Times New Roman" w:hAnsi="Times New Roman" w:cs="Times New Roman"/>
          <w:b/>
          <w:bCs/>
        </w:rPr>
        <w:t>Cheminement pour responsabilité civile</w:t>
      </w:r>
    </w:p>
    <w:p w14:paraId="1BC6E749" w14:textId="77777777" w:rsidR="003D38FC" w:rsidRPr="003D38FC" w:rsidRDefault="003D38FC">
      <w:pPr>
        <w:rPr>
          <w:rFonts w:ascii="Times New Roman" w:hAnsi="Times New Roman" w:cs="Times New Roman"/>
        </w:rPr>
      </w:pPr>
    </w:p>
    <w:p w14:paraId="768094FE" w14:textId="03AFF991" w:rsidR="003D38FC" w:rsidRDefault="003D38FC"/>
    <w:p w14:paraId="0C8CF172" w14:textId="5764BCAE" w:rsidR="009143A9" w:rsidRDefault="009143A9"/>
    <w:p w14:paraId="04270CA7" w14:textId="77777777" w:rsidR="00A922F4" w:rsidRDefault="00A922F4"/>
    <w:p w14:paraId="184C9D3E" w14:textId="120B1AF9" w:rsidR="009143A9" w:rsidRDefault="009143A9">
      <w:pPr>
        <w:rPr>
          <w:rFonts w:ascii="Times New Roman" w:hAnsi="Times New Roman" w:cs="Times New Roman"/>
        </w:rPr>
      </w:pPr>
      <w:r>
        <w:rPr>
          <w:rFonts w:ascii="Times New Roman" w:hAnsi="Times New Roman" w:cs="Times New Roman"/>
        </w:rPr>
        <w:lastRenderedPageBreak/>
        <w:t xml:space="preserve">Pas besoin d’avoir TOUT les </w:t>
      </w:r>
      <w:r w:rsidR="00A922F4">
        <w:rPr>
          <w:rFonts w:ascii="Times New Roman" w:hAnsi="Times New Roman" w:cs="Times New Roman"/>
        </w:rPr>
        <w:t>attribue</w:t>
      </w:r>
      <w:r>
        <w:rPr>
          <w:rFonts w:ascii="Times New Roman" w:hAnsi="Times New Roman" w:cs="Times New Roman"/>
        </w:rPr>
        <w:t xml:space="preserve"> de l’autorité parental pour être responsable en vertu de l’article </w:t>
      </w:r>
      <w:r w:rsidR="00A922F4">
        <w:rPr>
          <w:rFonts w:ascii="Times New Roman" w:hAnsi="Times New Roman" w:cs="Times New Roman"/>
        </w:rPr>
        <w:t xml:space="preserve">1459. </w:t>
      </w:r>
    </w:p>
    <w:p w14:paraId="1ADEE704" w14:textId="77777777" w:rsidR="00A922F4" w:rsidRDefault="00A922F4">
      <w:pPr>
        <w:rPr>
          <w:rFonts w:ascii="Times New Roman" w:hAnsi="Times New Roman" w:cs="Times New Roman"/>
        </w:rPr>
      </w:pPr>
    </w:p>
    <w:p w14:paraId="03FEE4EE" w14:textId="60F858C2" w:rsidR="00A922F4" w:rsidRDefault="00A922F4">
      <w:pPr>
        <w:rPr>
          <w:rFonts w:ascii="Times New Roman" w:hAnsi="Times New Roman" w:cs="Times New Roman"/>
        </w:rPr>
      </w:pPr>
      <w:r>
        <w:rPr>
          <w:rFonts w:ascii="Times New Roman" w:hAnsi="Times New Roman" w:cs="Times New Roman"/>
        </w:rPr>
        <w:t xml:space="preserve">***Rappel : le parent est seulement responsable pour les actes de l’enfant qui son objectivement fautif (ex : nous ne pouvons pas tenir un parent responsable pour un enfant qui échappe un verre). </w:t>
      </w:r>
    </w:p>
    <w:p w14:paraId="6A1DBFAB" w14:textId="77777777" w:rsidR="00A922F4" w:rsidRDefault="00A922F4">
      <w:pPr>
        <w:rPr>
          <w:rFonts w:ascii="Times New Roman" w:hAnsi="Times New Roman" w:cs="Times New Roman"/>
        </w:rPr>
      </w:pPr>
    </w:p>
    <w:p w14:paraId="76F295DD" w14:textId="77777777" w:rsidR="00A922F4" w:rsidRDefault="00A922F4">
      <w:pPr>
        <w:rPr>
          <w:rFonts w:ascii="Times New Roman" w:hAnsi="Times New Roman" w:cs="Times New Roman"/>
        </w:rPr>
      </w:pPr>
    </w:p>
    <w:p w14:paraId="79064496" w14:textId="793612D1" w:rsidR="00A922F4" w:rsidRDefault="00A922F4">
      <w:pPr>
        <w:rPr>
          <w:rFonts w:ascii="Times New Roman" w:hAnsi="Times New Roman" w:cs="Times New Roman"/>
        </w:rPr>
      </w:pPr>
      <w:r>
        <w:rPr>
          <w:rFonts w:ascii="Times New Roman" w:hAnsi="Times New Roman" w:cs="Times New Roman"/>
        </w:rPr>
        <w:t xml:space="preserve">Art 1464 – exemple : nous avons un policier qui décide de battre un détenu… ce que l’article 1464 nous dit est que, l’état n’est pas automatiquement non-responsable parce que l’acte est illégal! Nous devons faire les étapes du commettant pour voir si nous avons une responsabilité du commettant. </w:t>
      </w:r>
    </w:p>
    <w:p w14:paraId="13606C60" w14:textId="77777777" w:rsidR="00A922F4" w:rsidRDefault="00A922F4">
      <w:pPr>
        <w:rPr>
          <w:rFonts w:ascii="Times New Roman" w:hAnsi="Times New Roman" w:cs="Times New Roman"/>
        </w:rPr>
      </w:pPr>
    </w:p>
    <w:p w14:paraId="75D0DF68" w14:textId="77777777" w:rsidR="00A922F4" w:rsidRDefault="00A922F4">
      <w:pPr>
        <w:rPr>
          <w:rFonts w:ascii="Times New Roman" w:hAnsi="Times New Roman" w:cs="Times New Roman"/>
        </w:rPr>
      </w:pPr>
    </w:p>
    <w:p w14:paraId="0FF56F51" w14:textId="08DE0792" w:rsidR="00A922F4" w:rsidRDefault="00A922F4">
      <w:pPr>
        <w:rPr>
          <w:rFonts w:ascii="Times New Roman" w:hAnsi="Times New Roman" w:cs="Times New Roman"/>
          <w:b/>
          <w:bCs/>
        </w:rPr>
      </w:pPr>
      <w:r>
        <w:rPr>
          <w:rFonts w:ascii="Times New Roman" w:hAnsi="Times New Roman" w:cs="Times New Roman"/>
          <w:b/>
          <w:bCs/>
        </w:rPr>
        <w:t>Fait autonome du bien – art 1465</w:t>
      </w:r>
    </w:p>
    <w:p w14:paraId="32BC8169" w14:textId="77777777" w:rsidR="00A922F4" w:rsidRDefault="00A922F4">
      <w:pPr>
        <w:rPr>
          <w:rFonts w:ascii="Times New Roman" w:hAnsi="Times New Roman" w:cs="Times New Roman"/>
          <w:b/>
          <w:bCs/>
        </w:rPr>
      </w:pPr>
    </w:p>
    <w:p w14:paraId="63B240CB" w14:textId="043A716A" w:rsidR="00682E6F" w:rsidRDefault="00A922F4">
      <w:pPr>
        <w:rPr>
          <w:rFonts w:ascii="Times New Roman" w:hAnsi="Times New Roman" w:cs="Times New Roman"/>
        </w:rPr>
      </w:pPr>
      <w:r>
        <w:rPr>
          <w:rFonts w:ascii="Times New Roman" w:hAnsi="Times New Roman" w:cs="Times New Roman"/>
        </w:rPr>
        <w:t xml:space="preserve">Nous devons avoir </w:t>
      </w:r>
      <w:r w:rsidR="00682E6F">
        <w:rPr>
          <w:rFonts w:ascii="Times New Roman" w:hAnsi="Times New Roman" w:cs="Times New Roman"/>
        </w:rPr>
        <w:t>un lien direct</w:t>
      </w:r>
      <w:r>
        <w:rPr>
          <w:rFonts w:ascii="Times New Roman" w:hAnsi="Times New Roman" w:cs="Times New Roman"/>
        </w:rPr>
        <w:t xml:space="preserve"> entre l’intervention humaine et le bien!</w:t>
      </w:r>
      <w:r w:rsidR="00682E6F">
        <w:rPr>
          <w:rFonts w:ascii="Times New Roman" w:hAnsi="Times New Roman" w:cs="Times New Roman"/>
        </w:rPr>
        <w:t xml:space="preserve"> Si l’action ou l’inaction humaine est éloigné du fait autonome du bien, ont considéré cela d’un fait autonome. </w:t>
      </w:r>
    </w:p>
    <w:p w14:paraId="06D1D738" w14:textId="77777777" w:rsidR="00682E6F" w:rsidRDefault="00682E6F">
      <w:pPr>
        <w:rPr>
          <w:rFonts w:ascii="Times New Roman" w:hAnsi="Times New Roman" w:cs="Times New Roman"/>
        </w:rPr>
      </w:pPr>
    </w:p>
    <w:p w14:paraId="5BE51D83" w14:textId="77777777" w:rsidR="00682E6F" w:rsidRDefault="00682E6F" w:rsidP="00682E6F">
      <w:pPr>
        <w:pStyle w:val="ListParagraph"/>
        <w:numPr>
          <w:ilvl w:val="0"/>
          <w:numId w:val="2"/>
        </w:numPr>
        <w:rPr>
          <w:rFonts w:ascii="Times New Roman" w:hAnsi="Times New Roman" w:cs="Times New Roman"/>
        </w:rPr>
      </w:pPr>
      <w:r w:rsidRPr="00682E6F">
        <w:rPr>
          <w:rFonts w:ascii="Times New Roman" w:hAnsi="Times New Roman" w:cs="Times New Roman"/>
        </w:rPr>
        <w:t>(Moyen de défense : force majeur, intentionnelle, faute de la victime</w:t>
      </w:r>
      <w:r>
        <w:rPr>
          <w:rFonts w:ascii="Times New Roman" w:hAnsi="Times New Roman" w:cs="Times New Roman"/>
        </w:rPr>
        <w:t>)</w:t>
      </w:r>
    </w:p>
    <w:p w14:paraId="53324324" w14:textId="77777777" w:rsidR="00682E6F" w:rsidRDefault="00682E6F" w:rsidP="00682E6F">
      <w:pPr>
        <w:rPr>
          <w:rFonts w:ascii="Times New Roman" w:hAnsi="Times New Roman" w:cs="Times New Roman"/>
        </w:rPr>
      </w:pPr>
    </w:p>
    <w:p w14:paraId="113726F1" w14:textId="77777777" w:rsidR="00682E6F" w:rsidRDefault="00682E6F" w:rsidP="00682E6F">
      <w:pPr>
        <w:rPr>
          <w:rFonts w:ascii="Times New Roman" w:hAnsi="Times New Roman" w:cs="Times New Roman"/>
        </w:rPr>
      </w:pPr>
    </w:p>
    <w:p w14:paraId="72BA61AC" w14:textId="02565933" w:rsidR="00A922F4" w:rsidRDefault="00682E6F" w:rsidP="00682E6F">
      <w:pPr>
        <w:rPr>
          <w:rFonts w:ascii="Times New Roman" w:hAnsi="Times New Roman" w:cs="Times New Roman"/>
        </w:rPr>
      </w:pPr>
      <w:r w:rsidRPr="00682E6F">
        <w:rPr>
          <w:rFonts w:ascii="Times New Roman" w:hAnsi="Times New Roman" w:cs="Times New Roman"/>
          <w:b/>
          <w:bCs/>
        </w:rPr>
        <w:t xml:space="preserve"> Les animaux :</w:t>
      </w:r>
      <w:r>
        <w:rPr>
          <w:rFonts w:ascii="Times New Roman" w:hAnsi="Times New Roman" w:cs="Times New Roman"/>
        </w:rPr>
        <w:t xml:space="preserve"> seulement moyens d’exonération = force majeur ou faute de la victime. </w:t>
      </w:r>
    </w:p>
    <w:p w14:paraId="73E7C6B0" w14:textId="65132836" w:rsidR="00682E6F" w:rsidRDefault="00682E6F" w:rsidP="00682E6F">
      <w:pPr>
        <w:pStyle w:val="ListParagraph"/>
        <w:numPr>
          <w:ilvl w:val="0"/>
          <w:numId w:val="2"/>
        </w:numPr>
        <w:rPr>
          <w:rFonts w:ascii="Times New Roman" w:hAnsi="Times New Roman" w:cs="Times New Roman"/>
        </w:rPr>
      </w:pPr>
      <w:r>
        <w:rPr>
          <w:rFonts w:ascii="Times New Roman" w:hAnsi="Times New Roman" w:cs="Times New Roman"/>
        </w:rPr>
        <w:t xml:space="preserve">Une personne qui approche les bébés d’un chien pitbull et se fait mordre… nous pouvons avoir une attente raisonnable que la mère allait défendre ses petits. </w:t>
      </w:r>
    </w:p>
    <w:p w14:paraId="4BB1E734" w14:textId="36404FC6" w:rsidR="00682E6F" w:rsidRDefault="00682E6F" w:rsidP="00682E6F">
      <w:pPr>
        <w:pStyle w:val="ListParagraph"/>
        <w:numPr>
          <w:ilvl w:val="0"/>
          <w:numId w:val="2"/>
        </w:numPr>
        <w:rPr>
          <w:rFonts w:ascii="Times New Roman" w:hAnsi="Times New Roman" w:cs="Times New Roman"/>
        </w:rPr>
      </w:pPr>
      <w:r>
        <w:rPr>
          <w:rFonts w:ascii="Times New Roman" w:hAnsi="Times New Roman" w:cs="Times New Roman"/>
        </w:rPr>
        <w:t xml:space="preserve">Pas besoin d’avoir un lien direct entre le chien et </w:t>
      </w:r>
      <w:r w:rsidR="00C17050">
        <w:rPr>
          <w:rFonts w:ascii="Times New Roman" w:hAnsi="Times New Roman" w:cs="Times New Roman"/>
        </w:rPr>
        <w:t>la</w:t>
      </w:r>
      <w:r>
        <w:rPr>
          <w:rFonts w:ascii="Times New Roman" w:hAnsi="Times New Roman" w:cs="Times New Roman"/>
        </w:rPr>
        <w:t xml:space="preserve"> personne (ex : faire peur et la personne trébuche)</w:t>
      </w:r>
    </w:p>
    <w:p w14:paraId="5505F659" w14:textId="79738AD1" w:rsidR="00682E6F" w:rsidRDefault="00682E6F" w:rsidP="00682E6F">
      <w:pPr>
        <w:pStyle w:val="ListParagraph"/>
        <w:numPr>
          <w:ilvl w:val="0"/>
          <w:numId w:val="2"/>
        </w:numPr>
        <w:rPr>
          <w:rFonts w:ascii="Times New Roman" w:hAnsi="Times New Roman" w:cs="Times New Roman"/>
        </w:rPr>
      </w:pPr>
      <w:r>
        <w:rPr>
          <w:rFonts w:ascii="Times New Roman" w:hAnsi="Times New Roman" w:cs="Times New Roman"/>
        </w:rPr>
        <w:t xml:space="preserve">ATTENTION : accident de voiture, la LAA s’applique </w:t>
      </w:r>
    </w:p>
    <w:p w14:paraId="2959111F" w14:textId="77777777" w:rsidR="00682E6F" w:rsidRDefault="00682E6F" w:rsidP="00682E6F">
      <w:pPr>
        <w:rPr>
          <w:rFonts w:ascii="Times New Roman" w:hAnsi="Times New Roman" w:cs="Times New Roman"/>
        </w:rPr>
      </w:pPr>
    </w:p>
    <w:p w14:paraId="525CB2C0" w14:textId="444F34C6" w:rsidR="00682E6F" w:rsidRDefault="00AB7C51" w:rsidP="00682E6F">
      <w:pPr>
        <w:rPr>
          <w:rFonts w:ascii="Times New Roman" w:hAnsi="Times New Roman" w:cs="Times New Roman"/>
        </w:rPr>
      </w:pPr>
      <w:r>
        <w:rPr>
          <w:rFonts w:ascii="Times New Roman" w:hAnsi="Times New Roman" w:cs="Times New Roman"/>
        </w:rPr>
        <w:t xml:space="preserve">Nous pouvons exclure notre responsabilité pour </w:t>
      </w:r>
      <w:proofErr w:type="gramStart"/>
      <w:r>
        <w:rPr>
          <w:rFonts w:ascii="Times New Roman" w:hAnsi="Times New Roman" w:cs="Times New Roman"/>
        </w:rPr>
        <w:t>les préjudice</w:t>
      </w:r>
      <w:proofErr w:type="gramEnd"/>
      <w:r>
        <w:rPr>
          <w:rFonts w:ascii="Times New Roman" w:hAnsi="Times New Roman" w:cs="Times New Roman"/>
        </w:rPr>
        <w:t xml:space="preserve"> matériel en dehors de la faute lourde ou intentionnelle. </w:t>
      </w:r>
    </w:p>
    <w:p w14:paraId="327E0A43" w14:textId="77777777" w:rsidR="00AB7C51" w:rsidRDefault="00AB7C51" w:rsidP="00682E6F">
      <w:pPr>
        <w:rPr>
          <w:rFonts w:ascii="Times New Roman" w:hAnsi="Times New Roman" w:cs="Times New Roman"/>
        </w:rPr>
      </w:pPr>
    </w:p>
    <w:p w14:paraId="00E7C0A3" w14:textId="5B50EB63" w:rsidR="00AB7C51" w:rsidRDefault="00AB7C51" w:rsidP="00682E6F">
      <w:pPr>
        <w:rPr>
          <w:rFonts w:ascii="Times New Roman" w:hAnsi="Times New Roman" w:cs="Times New Roman"/>
        </w:rPr>
      </w:pPr>
      <w:r>
        <w:rPr>
          <w:rFonts w:ascii="Times New Roman" w:hAnsi="Times New Roman" w:cs="Times New Roman"/>
        </w:rPr>
        <w:t xml:space="preserve">Art 1475 et 1476 – exemple : </w:t>
      </w:r>
      <w:r w:rsidR="005003AF">
        <w:rPr>
          <w:rFonts w:ascii="Times New Roman" w:hAnsi="Times New Roman" w:cs="Times New Roman"/>
        </w:rPr>
        <w:t>o</w:t>
      </w:r>
      <w:r>
        <w:rPr>
          <w:rFonts w:ascii="Times New Roman" w:hAnsi="Times New Roman" w:cs="Times New Roman"/>
        </w:rPr>
        <w:t xml:space="preserve">n met </w:t>
      </w:r>
      <w:r w:rsidR="005003AF">
        <w:rPr>
          <w:rFonts w:ascii="Times New Roman" w:hAnsi="Times New Roman" w:cs="Times New Roman"/>
        </w:rPr>
        <w:t>une pancarte</w:t>
      </w:r>
      <w:r>
        <w:rPr>
          <w:rFonts w:ascii="Times New Roman" w:hAnsi="Times New Roman" w:cs="Times New Roman"/>
        </w:rPr>
        <w:t xml:space="preserve"> sur le terrain « chien agressif » et une personne se fait mordre… nous pouvons limiter notre responsabilité un peu avec l’avis. </w:t>
      </w:r>
    </w:p>
    <w:p w14:paraId="48E3AF22" w14:textId="77777777" w:rsidR="00AB7C51" w:rsidRDefault="00AB7C51" w:rsidP="00682E6F">
      <w:pPr>
        <w:rPr>
          <w:rFonts w:ascii="Times New Roman" w:hAnsi="Times New Roman" w:cs="Times New Roman"/>
        </w:rPr>
      </w:pPr>
    </w:p>
    <w:p w14:paraId="7C93D074" w14:textId="77777777" w:rsidR="00AB7C51" w:rsidRDefault="00AB7C51" w:rsidP="00682E6F">
      <w:pPr>
        <w:rPr>
          <w:rFonts w:ascii="Times New Roman" w:hAnsi="Times New Roman" w:cs="Times New Roman"/>
        </w:rPr>
      </w:pPr>
    </w:p>
    <w:p w14:paraId="19BDDB2A" w14:textId="2B2D80AB" w:rsidR="00AB7C51" w:rsidRDefault="005003AF" w:rsidP="00682E6F">
      <w:pPr>
        <w:rPr>
          <w:rFonts w:ascii="Times New Roman" w:hAnsi="Times New Roman" w:cs="Times New Roman"/>
          <w:b/>
          <w:bCs/>
        </w:rPr>
      </w:pPr>
      <w:r>
        <w:rPr>
          <w:rFonts w:ascii="Times New Roman" w:hAnsi="Times New Roman" w:cs="Times New Roman"/>
          <w:b/>
          <w:bCs/>
        </w:rPr>
        <w:t>***Nous ne pouvons pas demander l’exécution en nature lorsque nous avons appliqué 1457</w:t>
      </w:r>
    </w:p>
    <w:p w14:paraId="04247429" w14:textId="77777777" w:rsidR="005003AF" w:rsidRDefault="005003AF" w:rsidP="00682E6F">
      <w:pPr>
        <w:rPr>
          <w:rFonts w:ascii="Times New Roman" w:hAnsi="Times New Roman" w:cs="Times New Roman"/>
          <w:b/>
          <w:bCs/>
        </w:rPr>
      </w:pPr>
    </w:p>
    <w:p w14:paraId="7101F44E" w14:textId="4AFD6A35" w:rsidR="005003AF" w:rsidRDefault="005003AF" w:rsidP="00682E6F">
      <w:pPr>
        <w:rPr>
          <w:rFonts w:ascii="Times New Roman" w:hAnsi="Times New Roman" w:cs="Times New Roman"/>
        </w:rPr>
      </w:pPr>
      <w:r>
        <w:rPr>
          <w:rFonts w:ascii="Times New Roman" w:hAnsi="Times New Roman" w:cs="Times New Roman"/>
          <w:b/>
          <w:bCs/>
        </w:rPr>
        <w:t xml:space="preserve">Victime par ricochet : </w:t>
      </w:r>
      <w:r>
        <w:rPr>
          <w:rFonts w:ascii="Times New Roman" w:hAnsi="Times New Roman" w:cs="Times New Roman"/>
        </w:rPr>
        <w:t>tu peux poursuivre pour le préjudice par ricochet (une personne subi un préjudice corporel, alors la mère subi aussi un préjudice corporel)</w:t>
      </w:r>
    </w:p>
    <w:p w14:paraId="755A341B" w14:textId="278FBE7F" w:rsidR="005003AF" w:rsidRDefault="005003AF" w:rsidP="005003AF">
      <w:pPr>
        <w:rPr>
          <w:rFonts w:ascii="Times New Roman" w:hAnsi="Times New Roman" w:cs="Times New Roman"/>
        </w:rPr>
      </w:pPr>
    </w:p>
    <w:p w14:paraId="37D17046" w14:textId="77777777" w:rsidR="005003AF" w:rsidRDefault="005003AF" w:rsidP="005003AF">
      <w:pPr>
        <w:rPr>
          <w:rFonts w:ascii="Times New Roman" w:hAnsi="Times New Roman" w:cs="Times New Roman"/>
        </w:rPr>
      </w:pPr>
    </w:p>
    <w:p w14:paraId="68EAFE49" w14:textId="3CD8BDE1" w:rsidR="005003AF" w:rsidRDefault="005003AF" w:rsidP="005003AF">
      <w:pPr>
        <w:rPr>
          <w:rFonts w:ascii="Times New Roman" w:hAnsi="Times New Roman" w:cs="Times New Roman"/>
        </w:rPr>
      </w:pPr>
      <w:r>
        <w:rPr>
          <w:rFonts w:ascii="Times New Roman" w:hAnsi="Times New Roman" w:cs="Times New Roman"/>
        </w:rPr>
        <w:t>Art 1611</w:t>
      </w:r>
    </w:p>
    <w:p w14:paraId="4A923A02" w14:textId="77777777" w:rsidR="00681780" w:rsidRDefault="00681780" w:rsidP="005003AF">
      <w:pPr>
        <w:rPr>
          <w:rFonts w:ascii="Times New Roman" w:hAnsi="Times New Roman" w:cs="Times New Roman"/>
        </w:rPr>
      </w:pPr>
    </w:p>
    <w:p w14:paraId="285D394D" w14:textId="77777777" w:rsidR="00681780" w:rsidRDefault="00681780" w:rsidP="005003AF">
      <w:pPr>
        <w:rPr>
          <w:rFonts w:ascii="Times New Roman" w:hAnsi="Times New Roman" w:cs="Times New Roman"/>
        </w:rPr>
      </w:pPr>
    </w:p>
    <w:p w14:paraId="136622C3" w14:textId="77777777" w:rsidR="00681780" w:rsidRDefault="00681780" w:rsidP="005003AF">
      <w:pPr>
        <w:rPr>
          <w:rFonts w:ascii="Times New Roman" w:hAnsi="Times New Roman" w:cs="Times New Roman"/>
        </w:rPr>
      </w:pPr>
    </w:p>
    <w:p w14:paraId="3416528C" w14:textId="1279C2F5" w:rsidR="00681780" w:rsidRDefault="00681780" w:rsidP="005003AF">
      <w:pPr>
        <w:rPr>
          <w:rFonts w:ascii="Times New Roman" w:hAnsi="Times New Roman" w:cs="Times New Roman"/>
          <w:b/>
          <w:bCs/>
        </w:rPr>
      </w:pPr>
      <w:r>
        <w:rPr>
          <w:rFonts w:ascii="Times New Roman" w:hAnsi="Times New Roman" w:cs="Times New Roman"/>
          <w:b/>
          <w:bCs/>
        </w:rPr>
        <w:lastRenderedPageBreak/>
        <w:t xml:space="preserve">Droit des obligations – </w:t>
      </w:r>
    </w:p>
    <w:p w14:paraId="1D06381A" w14:textId="77777777" w:rsidR="00681780" w:rsidRDefault="00681780" w:rsidP="005003AF">
      <w:pPr>
        <w:rPr>
          <w:rFonts w:ascii="Times New Roman" w:hAnsi="Times New Roman" w:cs="Times New Roman"/>
          <w:b/>
          <w:bCs/>
        </w:rPr>
      </w:pPr>
    </w:p>
    <w:p w14:paraId="720B8FE0" w14:textId="77777777" w:rsidR="00681780" w:rsidRDefault="00681780" w:rsidP="005003AF">
      <w:pPr>
        <w:rPr>
          <w:rFonts w:ascii="Times New Roman" w:hAnsi="Times New Roman" w:cs="Times New Roman"/>
        </w:rPr>
      </w:pPr>
      <w:r>
        <w:rPr>
          <w:rFonts w:ascii="Times New Roman" w:hAnsi="Times New Roman" w:cs="Times New Roman"/>
        </w:rPr>
        <w:t xml:space="preserve">Pour ce qui est de l’offre : </w:t>
      </w:r>
    </w:p>
    <w:p w14:paraId="77AD3CD1" w14:textId="67E1FDA7" w:rsidR="00681780" w:rsidRDefault="007F09BE" w:rsidP="00681780">
      <w:pPr>
        <w:pStyle w:val="ListParagraph"/>
        <w:numPr>
          <w:ilvl w:val="0"/>
          <w:numId w:val="2"/>
        </w:numPr>
        <w:rPr>
          <w:rFonts w:ascii="Times New Roman" w:hAnsi="Times New Roman" w:cs="Times New Roman"/>
        </w:rPr>
      </w:pPr>
      <w:r>
        <w:rPr>
          <w:rFonts w:ascii="Times New Roman" w:hAnsi="Times New Roman" w:cs="Times New Roman"/>
        </w:rPr>
        <w:t>S</w:t>
      </w:r>
      <w:r w:rsidR="00681780" w:rsidRPr="00681780">
        <w:rPr>
          <w:rFonts w:ascii="Times New Roman" w:hAnsi="Times New Roman" w:cs="Times New Roman"/>
        </w:rPr>
        <w:t xml:space="preserve">i on révoque l’offre avant l’acceptation = </w:t>
      </w:r>
      <w:proofErr w:type="spellStart"/>
      <w:r w:rsidR="00681780" w:rsidRPr="00681780">
        <w:rPr>
          <w:rFonts w:ascii="Times New Roman" w:hAnsi="Times New Roman" w:cs="Times New Roman"/>
        </w:rPr>
        <w:t>chill</w:t>
      </w:r>
      <w:proofErr w:type="spellEnd"/>
    </w:p>
    <w:p w14:paraId="33CEA1C4" w14:textId="46DEDDE9" w:rsidR="00681780" w:rsidRDefault="007F09BE" w:rsidP="00681780">
      <w:pPr>
        <w:pStyle w:val="ListParagraph"/>
        <w:numPr>
          <w:ilvl w:val="0"/>
          <w:numId w:val="2"/>
        </w:numPr>
        <w:rPr>
          <w:rFonts w:ascii="Times New Roman" w:hAnsi="Times New Roman" w:cs="Times New Roman"/>
        </w:rPr>
      </w:pPr>
      <w:r>
        <w:rPr>
          <w:rFonts w:ascii="Times New Roman" w:hAnsi="Times New Roman" w:cs="Times New Roman"/>
        </w:rPr>
        <w:t>S</w:t>
      </w:r>
      <w:r w:rsidR="00681780">
        <w:rPr>
          <w:rFonts w:ascii="Times New Roman" w:hAnsi="Times New Roman" w:cs="Times New Roman"/>
        </w:rPr>
        <w:t xml:space="preserve">i on décède avant l’acceptation = </w:t>
      </w:r>
      <w:proofErr w:type="spellStart"/>
      <w:r w:rsidR="00681780">
        <w:rPr>
          <w:rFonts w:ascii="Times New Roman" w:hAnsi="Times New Roman" w:cs="Times New Roman"/>
        </w:rPr>
        <w:t>chill</w:t>
      </w:r>
      <w:proofErr w:type="spellEnd"/>
      <w:r w:rsidR="00681780">
        <w:rPr>
          <w:rFonts w:ascii="Times New Roman" w:hAnsi="Times New Roman" w:cs="Times New Roman"/>
        </w:rPr>
        <w:t xml:space="preserve"> aussi, l’offre expire. </w:t>
      </w:r>
    </w:p>
    <w:p w14:paraId="2296ACA7" w14:textId="77777777" w:rsidR="007F09BE" w:rsidRDefault="007F09BE" w:rsidP="007F09BE">
      <w:pPr>
        <w:rPr>
          <w:rFonts w:ascii="Times New Roman" w:hAnsi="Times New Roman" w:cs="Times New Roman"/>
        </w:rPr>
      </w:pPr>
    </w:p>
    <w:p w14:paraId="46E39BEF" w14:textId="77777777" w:rsidR="007F09BE" w:rsidRDefault="007F09BE" w:rsidP="007F09BE">
      <w:pPr>
        <w:rPr>
          <w:rFonts w:ascii="Times New Roman" w:hAnsi="Times New Roman" w:cs="Times New Roman"/>
        </w:rPr>
      </w:pPr>
    </w:p>
    <w:p w14:paraId="0DD48DAE" w14:textId="51051986" w:rsidR="007F09BE" w:rsidRDefault="007F09BE" w:rsidP="007F09BE">
      <w:pPr>
        <w:rPr>
          <w:rFonts w:ascii="Times New Roman" w:hAnsi="Times New Roman" w:cs="Times New Roman"/>
        </w:rPr>
      </w:pPr>
      <w:r>
        <w:rPr>
          <w:rFonts w:ascii="Times New Roman" w:hAnsi="Times New Roman" w:cs="Times New Roman"/>
        </w:rPr>
        <w:t xml:space="preserve">Acceptation doit être substantiellement conforme, aussi non elle comprend une contre-offre. </w:t>
      </w:r>
    </w:p>
    <w:p w14:paraId="61C6CCA4" w14:textId="77777777" w:rsidR="007F09BE" w:rsidRDefault="007F09BE" w:rsidP="007F09BE">
      <w:pPr>
        <w:rPr>
          <w:rFonts w:ascii="Times New Roman" w:hAnsi="Times New Roman" w:cs="Times New Roman"/>
        </w:rPr>
      </w:pPr>
    </w:p>
    <w:p w14:paraId="45DA456B" w14:textId="5ED35D19" w:rsidR="007F09BE" w:rsidRDefault="007F09BE" w:rsidP="007F09BE">
      <w:pPr>
        <w:rPr>
          <w:rFonts w:ascii="Times New Roman" w:hAnsi="Times New Roman" w:cs="Times New Roman"/>
        </w:rPr>
      </w:pPr>
      <w:r>
        <w:rPr>
          <w:rFonts w:ascii="Times New Roman" w:hAnsi="Times New Roman" w:cs="Times New Roman"/>
        </w:rPr>
        <w:t>Art 1396 – en matière immobilière!</w:t>
      </w:r>
    </w:p>
    <w:p w14:paraId="065A0CCF" w14:textId="532A47FA" w:rsidR="007F09BE" w:rsidRDefault="007F09BE" w:rsidP="007F09BE">
      <w:pPr>
        <w:pStyle w:val="ListParagraph"/>
        <w:numPr>
          <w:ilvl w:val="0"/>
          <w:numId w:val="2"/>
        </w:numPr>
        <w:rPr>
          <w:rFonts w:ascii="Times New Roman" w:hAnsi="Times New Roman" w:cs="Times New Roman"/>
        </w:rPr>
      </w:pPr>
      <w:r>
        <w:rPr>
          <w:rFonts w:ascii="Times New Roman" w:hAnsi="Times New Roman" w:cs="Times New Roman"/>
        </w:rPr>
        <w:t>Une promesse de contrat (nous pouvons avoir une promesse de contrat sous condition.)</w:t>
      </w:r>
    </w:p>
    <w:p w14:paraId="15402CAC" w14:textId="77777777" w:rsidR="00DF03A0" w:rsidRDefault="00DF03A0" w:rsidP="00DF03A0">
      <w:pPr>
        <w:rPr>
          <w:rFonts w:ascii="Times New Roman" w:hAnsi="Times New Roman" w:cs="Times New Roman"/>
        </w:rPr>
      </w:pPr>
    </w:p>
    <w:p w14:paraId="6905F63A" w14:textId="77777777" w:rsidR="00DF03A0" w:rsidRDefault="00DF03A0" w:rsidP="00DF03A0">
      <w:pPr>
        <w:rPr>
          <w:rFonts w:ascii="Times New Roman" w:hAnsi="Times New Roman" w:cs="Times New Roman"/>
        </w:rPr>
      </w:pPr>
    </w:p>
    <w:p w14:paraId="0C2C946A" w14:textId="2C20ACA7" w:rsidR="00DF03A0" w:rsidRDefault="0033681C" w:rsidP="00DF03A0">
      <w:pPr>
        <w:rPr>
          <w:rFonts w:ascii="Times New Roman" w:hAnsi="Times New Roman" w:cs="Times New Roman"/>
        </w:rPr>
      </w:pPr>
      <w:r>
        <w:rPr>
          <w:rFonts w:ascii="Times New Roman" w:hAnsi="Times New Roman" w:cs="Times New Roman"/>
        </w:rPr>
        <w:t xml:space="preserve">ATTENTION (Art 1540) : pour un débiteur solidaire qui décède, si la créance est divisible, les héritiers sont seulement tenus pour l’obligation du débiteur divisé entre eux, mais si la créance est indivisible, alors les héritiers doivent le complet de la créance. </w:t>
      </w:r>
    </w:p>
    <w:p w14:paraId="302494A2" w14:textId="77777777" w:rsidR="0033681C" w:rsidRDefault="0033681C" w:rsidP="00DF03A0">
      <w:pPr>
        <w:rPr>
          <w:rFonts w:ascii="Times New Roman" w:hAnsi="Times New Roman" w:cs="Times New Roman"/>
        </w:rPr>
      </w:pPr>
    </w:p>
    <w:p w14:paraId="312FD0B4" w14:textId="76D39B2D" w:rsidR="0033681C" w:rsidRDefault="0033681C" w:rsidP="00DF03A0">
      <w:pPr>
        <w:rPr>
          <w:rFonts w:ascii="Times New Roman" w:hAnsi="Times New Roman" w:cs="Times New Roman"/>
        </w:rPr>
      </w:pPr>
      <w:r>
        <w:rPr>
          <w:rFonts w:ascii="Times New Roman" w:hAnsi="Times New Roman" w:cs="Times New Roman"/>
        </w:rPr>
        <w:t xml:space="preserve">Ex : nous avons 3 débiteur solidaire pour une créance de 3,000$.... D1 décède et a 2 </w:t>
      </w:r>
      <w:r w:rsidR="00983AA4">
        <w:rPr>
          <w:rFonts w:ascii="Times New Roman" w:hAnsi="Times New Roman" w:cs="Times New Roman"/>
        </w:rPr>
        <w:t>hériter</w:t>
      </w:r>
      <w:r>
        <w:rPr>
          <w:rFonts w:ascii="Times New Roman" w:hAnsi="Times New Roman" w:cs="Times New Roman"/>
        </w:rPr>
        <w:t xml:space="preserve">. Par conséquent son obligation de 3,000$ se divise entre ses deux héritiers et donc chacun </w:t>
      </w:r>
      <w:r w:rsidR="00983AA4">
        <w:rPr>
          <w:rFonts w:ascii="Times New Roman" w:hAnsi="Times New Roman" w:cs="Times New Roman"/>
        </w:rPr>
        <w:t>doive</w:t>
      </w:r>
      <w:r>
        <w:rPr>
          <w:rFonts w:ascii="Times New Roman" w:hAnsi="Times New Roman" w:cs="Times New Roman"/>
        </w:rPr>
        <w:t xml:space="preserve"> 1,500$ au créancier. </w:t>
      </w:r>
    </w:p>
    <w:p w14:paraId="2AD4A31F" w14:textId="77777777" w:rsidR="0033681C" w:rsidRDefault="0033681C" w:rsidP="00DF03A0">
      <w:pPr>
        <w:rPr>
          <w:rFonts w:ascii="Times New Roman" w:hAnsi="Times New Roman" w:cs="Times New Roman"/>
        </w:rPr>
      </w:pPr>
    </w:p>
    <w:p w14:paraId="3FBF8117" w14:textId="1D73C687" w:rsidR="0033681C" w:rsidRDefault="0033681C" w:rsidP="00DF03A0">
      <w:pPr>
        <w:rPr>
          <w:rFonts w:ascii="Times New Roman" w:hAnsi="Times New Roman" w:cs="Times New Roman"/>
        </w:rPr>
      </w:pPr>
      <w:r>
        <w:rPr>
          <w:rFonts w:ascii="Times New Roman" w:hAnsi="Times New Roman" w:cs="Times New Roman"/>
        </w:rPr>
        <w:t xml:space="preserve">Si la créance est indivisible, alors les deux héritiers </w:t>
      </w:r>
      <w:r w:rsidR="00983AA4">
        <w:rPr>
          <w:rFonts w:ascii="Times New Roman" w:hAnsi="Times New Roman" w:cs="Times New Roman"/>
        </w:rPr>
        <w:t>peuvent être tenus de la créance de 3,000$</w:t>
      </w:r>
    </w:p>
    <w:p w14:paraId="73FC019E" w14:textId="77777777" w:rsidR="0033681C" w:rsidRDefault="0033681C" w:rsidP="00DF03A0">
      <w:pPr>
        <w:rPr>
          <w:rFonts w:ascii="Times New Roman" w:hAnsi="Times New Roman" w:cs="Times New Roman"/>
        </w:rPr>
      </w:pPr>
    </w:p>
    <w:p w14:paraId="45E10624" w14:textId="3FBA8E9E" w:rsidR="0033681C" w:rsidRDefault="0033681C" w:rsidP="00DF03A0">
      <w:pPr>
        <w:rPr>
          <w:rFonts w:ascii="Times New Roman" w:hAnsi="Times New Roman" w:cs="Times New Roman"/>
        </w:rPr>
      </w:pPr>
      <w:r>
        <w:rPr>
          <w:rFonts w:ascii="Times New Roman" w:hAnsi="Times New Roman" w:cs="Times New Roman"/>
        </w:rPr>
        <w:t>Solidaire et divisible = les héritiers sont seulement tenus pour la part</w:t>
      </w:r>
    </w:p>
    <w:p w14:paraId="3119A1B4" w14:textId="0FFAD3AD" w:rsidR="0033681C" w:rsidRDefault="0033681C" w:rsidP="00DF03A0">
      <w:pPr>
        <w:rPr>
          <w:rFonts w:ascii="Times New Roman" w:hAnsi="Times New Roman" w:cs="Times New Roman"/>
        </w:rPr>
      </w:pPr>
      <w:r>
        <w:rPr>
          <w:rFonts w:ascii="Times New Roman" w:hAnsi="Times New Roman" w:cs="Times New Roman"/>
        </w:rPr>
        <w:t xml:space="preserve">Solidarité indivisible = les héritiers sont tenus pour l’entièreté de la créance solidaire. </w:t>
      </w:r>
    </w:p>
    <w:p w14:paraId="504B5B94" w14:textId="77777777" w:rsidR="0033681C" w:rsidRDefault="0033681C" w:rsidP="00DF03A0">
      <w:pPr>
        <w:rPr>
          <w:rFonts w:ascii="Times New Roman" w:hAnsi="Times New Roman" w:cs="Times New Roman"/>
        </w:rPr>
      </w:pPr>
    </w:p>
    <w:p w14:paraId="3FC4C180" w14:textId="00E01780" w:rsidR="0033681C" w:rsidRDefault="0033681C" w:rsidP="00DF03A0">
      <w:pPr>
        <w:rPr>
          <w:rFonts w:ascii="Times New Roman" w:hAnsi="Times New Roman" w:cs="Times New Roman"/>
        </w:rPr>
      </w:pPr>
      <w:r>
        <w:rPr>
          <w:rFonts w:ascii="Times New Roman" w:hAnsi="Times New Roman" w:cs="Times New Roman"/>
        </w:rPr>
        <w:t>L’indivisibilité est toujours solidaire</w:t>
      </w:r>
    </w:p>
    <w:p w14:paraId="4528B616" w14:textId="77777777" w:rsidR="00983AA4" w:rsidRDefault="00983AA4" w:rsidP="00DF03A0">
      <w:pPr>
        <w:rPr>
          <w:rFonts w:ascii="Times New Roman" w:hAnsi="Times New Roman" w:cs="Times New Roman"/>
        </w:rPr>
      </w:pPr>
    </w:p>
    <w:p w14:paraId="79FFBE01" w14:textId="77777777" w:rsidR="00983AA4" w:rsidRDefault="00983AA4" w:rsidP="00DF03A0">
      <w:pPr>
        <w:rPr>
          <w:rFonts w:ascii="Times New Roman" w:hAnsi="Times New Roman" w:cs="Times New Roman"/>
        </w:rPr>
      </w:pPr>
    </w:p>
    <w:p w14:paraId="7BA6EE27" w14:textId="0B088BCC" w:rsidR="0033681C" w:rsidRDefault="00DE00C2" w:rsidP="00DF03A0">
      <w:pPr>
        <w:rPr>
          <w:rFonts w:ascii="Times New Roman" w:hAnsi="Times New Roman" w:cs="Times New Roman"/>
        </w:rPr>
      </w:pPr>
      <w:r>
        <w:rPr>
          <w:rFonts w:ascii="Times New Roman" w:hAnsi="Times New Roman" w:cs="Times New Roman"/>
        </w:rPr>
        <w:t xml:space="preserve">Exemple d’une action oblique : nous avons un propriétaire d’un immeuble et il détient un prêt de à la banque. Le propriétaire immobilier reçois de l’argent de la part de ses locataire… si le propriétaire immobilier ne paye pas la banque, alors la banque peut aller chercher directement </w:t>
      </w:r>
      <w:proofErr w:type="gramStart"/>
      <w:r>
        <w:rPr>
          <w:rFonts w:ascii="Times New Roman" w:hAnsi="Times New Roman" w:cs="Times New Roman"/>
        </w:rPr>
        <w:t>les loyer</w:t>
      </w:r>
      <w:proofErr w:type="gramEnd"/>
      <w:r>
        <w:rPr>
          <w:rFonts w:ascii="Times New Roman" w:hAnsi="Times New Roman" w:cs="Times New Roman"/>
        </w:rPr>
        <w:t xml:space="preserve"> pour payer le prêt et exercer les droits du propriétaire. </w:t>
      </w:r>
    </w:p>
    <w:p w14:paraId="1619A163" w14:textId="77777777" w:rsidR="00DE00C2" w:rsidRDefault="00DE00C2" w:rsidP="00DF03A0">
      <w:pPr>
        <w:rPr>
          <w:rFonts w:ascii="Times New Roman" w:hAnsi="Times New Roman" w:cs="Times New Roman"/>
        </w:rPr>
      </w:pPr>
    </w:p>
    <w:p w14:paraId="31A8C104" w14:textId="77777777" w:rsidR="003B104D" w:rsidRDefault="003B104D" w:rsidP="00DF03A0">
      <w:pPr>
        <w:rPr>
          <w:rFonts w:ascii="Times New Roman" w:hAnsi="Times New Roman" w:cs="Times New Roman"/>
        </w:rPr>
      </w:pPr>
    </w:p>
    <w:p w14:paraId="7CCACFCD" w14:textId="3E4016BA" w:rsidR="003B104D" w:rsidRDefault="003B104D" w:rsidP="00DF03A0">
      <w:pPr>
        <w:rPr>
          <w:rFonts w:ascii="Times New Roman" w:hAnsi="Times New Roman" w:cs="Times New Roman"/>
        </w:rPr>
      </w:pPr>
      <w:r>
        <w:rPr>
          <w:rFonts w:ascii="Times New Roman" w:hAnsi="Times New Roman" w:cs="Times New Roman"/>
        </w:rPr>
        <w:t>Check la remise</w:t>
      </w:r>
    </w:p>
    <w:p w14:paraId="1E409094" w14:textId="77777777" w:rsidR="003B104D" w:rsidRDefault="003B104D" w:rsidP="00DF03A0">
      <w:pPr>
        <w:rPr>
          <w:rFonts w:ascii="Times New Roman" w:hAnsi="Times New Roman" w:cs="Times New Roman"/>
        </w:rPr>
      </w:pPr>
    </w:p>
    <w:p w14:paraId="01A70C7D" w14:textId="2C5B9256" w:rsidR="003B104D" w:rsidRPr="003B104D" w:rsidRDefault="003B104D" w:rsidP="00DF03A0">
      <w:pPr>
        <w:rPr>
          <w:rFonts w:ascii="Times New Roman" w:hAnsi="Times New Roman" w:cs="Times New Roman"/>
          <w:b/>
          <w:bCs/>
        </w:rPr>
      </w:pPr>
      <w:r>
        <w:rPr>
          <w:rFonts w:ascii="Times New Roman" w:hAnsi="Times New Roman" w:cs="Times New Roman"/>
          <w:b/>
          <w:bCs/>
        </w:rPr>
        <w:t>Libération de son débiteur</w:t>
      </w:r>
    </w:p>
    <w:p w14:paraId="416FD379" w14:textId="77777777" w:rsidR="00EA4D74" w:rsidRDefault="003B104D" w:rsidP="00DF03A0">
      <w:pPr>
        <w:rPr>
          <w:rFonts w:ascii="Times New Roman" w:hAnsi="Times New Roman" w:cs="Times New Roman"/>
        </w:rPr>
      </w:pPr>
      <w:r>
        <w:rPr>
          <w:rFonts w:ascii="Times New Roman" w:hAnsi="Times New Roman" w:cs="Times New Roman"/>
        </w:rPr>
        <w:t xml:space="preserve">Art 1695 – exemple = on doit 300,000$ à la banque, la banque fait une ente en justice, nous sommes </w:t>
      </w:r>
      <w:proofErr w:type="gramStart"/>
      <w:r>
        <w:rPr>
          <w:rFonts w:ascii="Times New Roman" w:hAnsi="Times New Roman" w:cs="Times New Roman"/>
        </w:rPr>
        <w:t>libéré</w:t>
      </w:r>
      <w:proofErr w:type="gramEnd"/>
      <w:r>
        <w:rPr>
          <w:rFonts w:ascii="Times New Roman" w:hAnsi="Times New Roman" w:cs="Times New Roman"/>
        </w:rPr>
        <w:t xml:space="preserve"> de la dette jusqu’à concurrence.</w:t>
      </w:r>
    </w:p>
    <w:p w14:paraId="6A7BE6B4" w14:textId="77777777" w:rsidR="00EA4D74" w:rsidRDefault="00EA4D74" w:rsidP="00DF03A0">
      <w:pPr>
        <w:rPr>
          <w:rFonts w:ascii="Times New Roman" w:hAnsi="Times New Roman" w:cs="Times New Roman"/>
        </w:rPr>
      </w:pPr>
    </w:p>
    <w:p w14:paraId="36B2AD53" w14:textId="77777777" w:rsidR="00D852BF" w:rsidRDefault="00EA4D74" w:rsidP="00DF03A0">
      <w:pPr>
        <w:rPr>
          <w:rFonts w:ascii="Times New Roman" w:hAnsi="Times New Roman" w:cs="Times New Roman"/>
        </w:rPr>
      </w:pPr>
      <w:r>
        <w:rPr>
          <w:rFonts w:ascii="Times New Roman" w:hAnsi="Times New Roman" w:cs="Times New Roman"/>
        </w:rPr>
        <w:t xml:space="preserve">ATTENTION À L’ARTICLE 1892 AL.3 : nous devons faire attention si nous somme dans les conditions d’application </w:t>
      </w:r>
    </w:p>
    <w:p w14:paraId="34C12ED4" w14:textId="3640D35E" w:rsidR="003B104D" w:rsidRDefault="00D852BF" w:rsidP="00DF03A0">
      <w:pPr>
        <w:rPr>
          <w:rFonts w:ascii="Times New Roman" w:hAnsi="Times New Roman" w:cs="Times New Roman"/>
        </w:rPr>
      </w:pPr>
      <w:r>
        <w:rPr>
          <w:rFonts w:ascii="Times New Roman" w:hAnsi="Times New Roman" w:cs="Times New Roman"/>
        </w:rPr>
        <w:t xml:space="preserve">… si nous avons un bail dans une maison dans la résidence principale du locataire! </w:t>
      </w:r>
      <w:r w:rsidR="003B104D">
        <w:rPr>
          <w:rFonts w:ascii="Times New Roman" w:hAnsi="Times New Roman" w:cs="Times New Roman"/>
        </w:rPr>
        <w:t xml:space="preserve"> </w:t>
      </w:r>
    </w:p>
    <w:p w14:paraId="71DDD2C9" w14:textId="77777777" w:rsidR="00DE00C2" w:rsidRDefault="00DE00C2" w:rsidP="00DF03A0">
      <w:pPr>
        <w:rPr>
          <w:rFonts w:ascii="Times New Roman" w:hAnsi="Times New Roman" w:cs="Times New Roman"/>
        </w:rPr>
      </w:pPr>
    </w:p>
    <w:p w14:paraId="22EE529B" w14:textId="77777777" w:rsidR="0033681C" w:rsidRPr="00DF03A0" w:rsidRDefault="0033681C" w:rsidP="00DF03A0">
      <w:pPr>
        <w:rPr>
          <w:rFonts w:ascii="Times New Roman" w:hAnsi="Times New Roman" w:cs="Times New Roman"/>
        </w:rPr>
      </w:pPr>
    </w:p>
    <w:p w14:paraId="2C00DA30" w14:textId="77777777" w:rsidR="00681780" w:rsidRPr="00681780" w:rsidRDefault="00681780" w:rsidP="005003AF">
      <w:pPr>
        <w:rPr>
          <w:rFonts w:ascii="Times New Roman" w:hAnsi="Times New Roman" w:cs="Times New Roman"/>
        </w:rPr>
      </w:pPr>
    </w:p>
    <w:sectPr w:rsidR="00681780" w:rsidRPr="00681780" w:rsidSect="009F68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F417" w14:textId="77777777" w:rsidR="007A17FC" w:rsidRDefault="007A17FC" w:rsidP="003D38FC">
      <w:r>
        <w:separator/>
      </w:r>
    </w:p>
  </w:endnote>
  <w:endnote w:type="continuationSeparator" w:id="0">
    <w:p w14:paraId="31425972" w14:textId="77777777" w:rsidR="007A17FC" w:rsidRDefault="007A17FC" w:rsidP="003D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0CC7" w14:textId="77777777" w:rsidR="007A17FC" w:rsidRDefault="007A17FC" w:rsidP="003D38FC">
      <w:r>
        <w:separator/>
      </w:r>
    </w:p>
  </w:footnote>
  <w:footnote w:type="continuationSeparator" w:id="0">
    <w:p w14:paraId="68DC06E6" w14:textId="77777777" w:rsidR="007A17FC" w:rsidRDefault="007A17FC" w:rsidP="003D3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69FE" w14:textId="77777777" w:rsidR="003D38FC" w:rsidRDefault="003D3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066E"/>
    <w:multiLevelType w:val="hybridMultilevel"/>
    <w:tmpl w:val="A59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95602"/>
    <w:multiLevelType w:val="hybridMultilevel"/>
    <w:tmpl w:val="81645BA8"/>
    <w:lvl w:ilvl="0" w:tplc="5ADAB2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23F2B"/>
    <w:multiLevelType w:val="hybridMultilevel"/>
    <w:tmpl w:val="B67671F6"/>
    <w:lvl w:ilvl="0" w:tplc="4CF0EE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98946">
    <w:abstractNumId w:val="0"/>
  </w:num>
  <w:num w:numId="2" w16cid:durableId="1983191725">
    <w:abstractNumId w:val="2"/>
  </w:num>
  <w:num w:numId="3" w16cid:durableId="25926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FC"/>
    <w:rsid w:val="00077CD4"/>
    <w:rsid w:val="00234EC3"/>
    <w:rsid w:val="00250EE4"/>
    <w:rsid w:val="002E6B17"/>
    <w:rsid w:val="0033681C"/>
    <w:rsid w:val="003B104D"/>
    <w:rsid w:val="003D38FC"/>
    <w:rsid w:val="004D6FC4"/>
    <w:rsid w:val="005003AF"/>
    <w:rsid w:val="005573B8"/>
    <w:rsid w:val="00681780"/>
    <w:rsid w:val="00682E6F"/>
    <w:rsid w:val="007A17FC"/>
    <w:rsid w:val="007F09BE"/>
    <w:rsid w:val="009143A9"/>
    <w:rsid w:val="00983AA4"/>
    <w:rsid w:val="009F68F2"/>
    <w:rsid w:val="00A922F4"/>
    <w:rsid w:val="00AB7C51"/>
    <w:rsid w:val="00C17050"/>
    <w:rsid w:val="00CF22B9"/>
    <w:rsid w:val="00D852BF"/>
    <w:rsid w:val="00DE00C2"/>
    <w:rsid w:val="00DF03A0"/>
    <w:rsid w:val="00E776C2"/>
    <w:rsid w:val="00EA4D74"/>
    <w:rsid w:val="00EF5733"/>
    <w:rsid w:val="00F5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4F36"/>
  <w14:defaultImageDpi w14:val="32767"/>
  <w15:chartTrackingRefBased/>
  <w15:docId w15:val="{490BF1A0-E72B-8043-BAA1-DC6286F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8FC"/>
    <w:pPr>
      <w:tabs>
        <w:tab w:val="center" w:pos="4680"/>
        <w:tab w:val="right" w:pos="9360"/>
      </w:tabs>
    </w:pPr>
  </w:style>
  <w:style w:type="character" w:customStyle="1" w:styleId="HeaderChar">
    <w:name w:val="Header Char"/>
    <w:basedOn w:val="DefaultParagraphFont"/>
    <w:link w:val="Header"/>
    <w:uiPriority w:val="99"/>
    <w:rsid w:val="003D38FC"/>
    <w:rPr>
      <w:lang w:val="fr-CA"/>
    </w:rPr>
  </w:style>
  <w:style w:type="paragraph" w:styleId="Footer">
    <w:name w:val="footer"/>
    <w:basedOn w:val="Normal"/>
    <w:link w:val="FooterChar"/>
    <w:uiPriority w:val="99"/>
    <w:unhideWhenUsed/>
    <w:rsid w:val="003D38FC"/>
    <w:pPr>
      <w:tabs>
        <w:tab w:val="center" w:pos="4680"/>
        <w:tab w:val="right" w:pos="9360"/>
      </w:tabs>
    </w:pPr>
  </w:style>
  <w:style w:type="character" w:customStyle="1" w:styleId="FooterChar">
    <w:name w:val="Footer Char"/>
    <w:basedOn w:val="DefaultParagraphFont"/>
    <w:link w:val="Footer"/>
    <w:uiPriority w:val="99"/>
    <w:rsid w:val="003D38FC"/>
    <w:rPr>
      <w:lang w:val="fr-CA"/>
    </w:rPr>
  </w:style>
  <w:style w:type="paragraph" w:styleId="ListParagraph">
    <w:name w:val="List Paragraph"/>
    <w:basedOn w:val="Normal"/>
    <w:uiPriority w:val="34"/>
    <w:qFormat/>
    <w:rsid w:val="003D3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Tremblay</dc:creator>
  <cp:keywords/>
  <dc:description/>
  <cp:lastModifiedBy>Francois Tremblay</cp:lastModifiedBy>
  <cp:revision>3</cp:revision>
  <cp:lastPrinted>2023-09-15T17:36:00Z</cp:lastPrinted>
  <dcterms:created xsi:type="dcterms:W3CDTF">2023-09-15T17:34:00Z</dcterms:created>
  <dcterms:modified xsi:type="dcterms:W3CDTF">2023-10-25T18:26:00Z</dcterms:modified>
</cp:coreProperties>
</file>