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FFFED" w14:textId="77777777" w:rsidR="00417F4A" w:rsidRPr="00D078C9" w:rsidRDefault="00417F4A" w:rsidP="0072709D">
      <w:pPr>
        <w:suppressAutoHyphens/>
        <w:rPr>
          <w:rFonts w:ascii="Times New Roman" w:hAnsi="Times New Roman"/>
          <w:sz w:val="4"/>
        </w:rPr>
      </w:pPr>
    </w:p>
    <w:tbl>
      <w:tblPr>
        <w:tblW w:w="9450" w:type="dxa"/>
        <w:tblLayout w:type="fixed"/>
        <w:tblCellMar>
          <w:left w:w="70" w:type="dxa"/>
          <w:right w:w="70" w:type="dxa"/>
        </w:tblCellMar>
        <w:tblLook w:val="0000" w:firstRow="0" w:lastRow="0" w:firstColumn="0" w:lastColumn="0" w:noHBand="0" w:noVBand="0"/>
      </w:tblPr>
      <w:tblGrid>
        <w:gridCol w:w="9450"/>
      </w:tblGrid>
      <w:tr w:rsidR="00417F4A" w:rsidRPr="006A4455" w14:paraId="35E28265" w14:textId="77777777" w:rsidTr="008926C4">
        <w:trPr>
          <w:cantSplit/>
          <w:trHeight w:val="322"/>
        </w:trPr>
        <w:tc>
          <w:tcPr>
            <w:tcW w:w="9450" w:type="dxa"/>
            <w:tcBorders>
              <w:bottom w:val="single" w:sz="4" w:space="0" w:color="auto"/>
            </w:tcBorders>
            <w:vAlign w:val="center"/>
          </w:tcPr>
          <w:p w14:paraId="5C8A04AF" w14:textId="77777777" w:rsidR="00417F4A" w:rsidRPr="00D078C9" w:rsidRDefault="00417F4A" w:rsidP="00CA6BB8">
            <w:pPr>
              <w:tabs>
                <w:tab w:val="left" w:pos="2520"/>
              </w:tabs>
              <w:suppressAutoHyphens/>
              <w:spacing w:after="120"/>
              <w:jc w:val="center"/>
              <w:rPr>
                <w:rFonts w:ascii="Times New Roman" w:hAnsi="Times New Roman"/>
                <w:sz w:val="32"/>
              </w:rPr>
            </w:pPr>
            <w:r w:rsidRPr="00D078C9">
              <w:rPr>
                <w:rFonts w:ascii="Times New Roman" w:hAnsi="Times New Roman"/>
              </w:rPr>
              <w:br w:type="page"/>
            </w:r>
            <w:r w:rsidRPr="00D078C9">
              <w:rPr>
                <w:rFonts w:ascii="Times New Roman" w:hAnsi="Times New Roman"/>
              </w:rPr>
              <w:br w:type="page"/>
            </w:r>
            <w:r w:rsidR="008926C4">
              <w:rPr>
                <w:rFonts w:ascii="Times New Roman" w:hAnsi="Times New Roman"/>
                <w:b/>
                <w:bCs/>
                <w:sz w:val="32"/>
              </w:rPr>
              <w:t>ANNEXE 3</w:t>
            </w:r>
          </w:p>
        </w:tc>
      </w:tr>
      <w:tr w:rsidR="00417F4A" w:rsidRPr="006A4455" w14:paraId="20526A6E" w14:textId="77777777" w:rsidTr="008926C4">
        <w:trPr>
          <w:cantSplit/>
          <w:trHeight w:val="456"/>
        </w:trPr>
        <w:tc>
          <w:tcPr>
            <w:tcW w:w="9450" w:type="dxa"/>
            <w:vMerge w:val="restart"/>
            <w:tcBorders>
              <w:top w:val="single" w:sz="4" w:space="0" w:color="auto"/>
              <w:bottom w:val="single" w:sz="4" w:space="0" w:color="auto"/>
            </w:tcBorders>
            <w:vAlign w:val="center"/>
          </w:tcPr>
          <w:p w14:paraId="4DB127D8" w14:textId="77777777" w:rsidR="00417F4A" w:rsidRPr="00D078C9" w:rsidRDefault="00417F4A" w:rsidP="0072709D">
            <w:pPr>
              <w:tabs>
                <w:tab w:val="left" w:pos="2635"/>
              </w:tabs>
              <w:suppressAutoHyphens/>
              <w:spacing w:before="120" w:after="120"/>
              <w:jc w:val="left"/>
              <w:rPr>
                <w:rFonts w:ascii="Times New Roman" w:hAnsi="Times New Roman"/>
                <w:sz w:val="28"/>
              </w:rPr>
            </w:pPr>
            <w:r w:rsidRPr="00D078C9">
              <w:rPr>
                <w:rFonts w:ascii="Times New Roman" w:hAnsi="Times New Roman"/>
                <w:b/>
                <w:bCs/>
                <w:sz w:val="28"/>
              </w:rPr>
              <w:t>DOSSIER INVESTISSEMENTS</w:t>
            </w:r>
            <w:r w:rsidRPr="00D078C9">
              <w:rPr>
                <w:rFonts w:ascii="Times New Roman" w:hAnsi="Times New Roman"/>
                <w:b/>
                <w:bCs/>
                <w:sz w:val="28"/>
              </w:rPr>
              <w:br/>
              <w:t>QUÉBÉCOIS INC. :</w:t>
            </w:r>
            <w:r w:rsidRPr="00D078C9">
              <w:rPr>
                <w:rFonts w:ascii="Times New Roman" w:hAnsi="Times New Roman"/>
                <w:sz w:val="28"/>
              </w:rPr>
              <w:t xml:space="preserve"> </w:t>
            </w:r>
            <w:r w:rsidRPr="00D078C9">
              <w:rPr>
                <w:rFonts w:ascii="Times New Roman" w:hAnsi="Times New Roman"/>
                <w:sz w:val="28"/>
              </w:rPr>
              <w:tab/>
              <w:t>RÉSUMÉ DES FAITS</w:t>
            </w:r>
            <w:r w:rsidRPr="00D078C9">
              <w:rPr>
                <w:rFonts w:ascii="Times New Roman" w:hAnsi="Times New Roman"/>
                <w:sz w:val="28"/>
              </w:rPr>
              <w:br/>
            </w:r>
            <w:r w:rsidRPr="00D078C9">
              <w:rPr>
                <w:rFonts w:ascii="Times New Roman" w:hAnsi="Times New Roman"/>
                <w:sz w:val="28"/>
              </w:rPr>
              <w:tab/>
              <w:t>TRAVAIL PRÉPARATOIRE</w:t>
            </w:r>
          </w:p>
        </w:tc>
      </w:tr>
      <w:tr w:rsidR="00417F4A" w:rsidRPr="006A4455" w14:paraId="18E82484" w14:textId="77777777" w:rsidTr="008926C4">
        <w:trPr>
          <w:cantSplit/>
          <w:trHeight w:val="216"/>
        </w:trPr>
        <w:tc>
          <w:tcPr>
            <w:tcW w:w="9450" w:type="dxa"/>
            <w:vMerge/>
            <w:tcBorders>
              <w:top w:val="single" w:sz="4" w:space="0" w:color="auto"/>
              <w:bottom w:val="threeDEngrave" w:sz="24" w:space="0" w:color="auto"/>
            </w:tcBorders>
            <w:vAlign w:val="center"/>
          </w:tcPr>
          <w:p w14:paraId="14C9B317" w14:textId="77777777" w:rsidR="00417F4A" w:rsidRPr="00D078C9" w:rsidRDefault="00417F4A" w:rsidP="0072709D">
            <w:pPr>
              <w:suppressAutoHyphens/>
              <w:rPr>
                <w:rFonts w:ascii="Times New Roman" w:hAnsi="Times New Roman"/>
                <w:sz w:val="18"/>
              </w:rPr>
            </w:pPr>
          </w:p>
        </w:tc>
      </w:tr>
    </w:tbl>
    <w:p w14:paraId="1CCDA769" w14:textId="77777777" w:rsidR="00417F4A" w:rsidRPr="00D078C9" w:rsidRDefault="00417F4A" w:rsidP="0072709D">
      <w:pPr>
        <w:suppressAutoHyphens/>
        <w:rPr>
          <w:rFonts w:ascii="Times New Roman" w:hAnsi="Times New Roman"/>
          <w:sz w:val="18"/>
        </w:rPr>
      </w:pPr>
    </w:p>
    <w:p w14:paraId="3734BD41" w14:textId="77777777" w:rsidR="00C95168" w:rsidRPr="0084768D" w:rsidRDefault="00C95168" w:rsidP="00C95168">
      <w:pPr>
        <w:pStyle w:val="marge0"/>
        <w:suppressAutoHyphens/>
        <w:spacing w:line="276" w:lineRule="auto"/>
      </w:pPr>
      <w:r w:rsidRPr="0084768D">
        <w:t>Investissements québécois inc. a décidé de faire construire et d’exploiter un bâtiment commercial en banlieue de Montréal et, pour réaliser ce projet, elle a acheté un terrain au prix de 1</w:t>
      </w:r>
      <w:r>
        <w:t>5</w:t>
      </w:r>
      <w:r w:rsidRPr="0084768D">
        <w:t>0 000 $.</w:t>
      </w:r>
    </w:p>
    <w:p w14:paraId="7D4D39A1" w14:textId="77777777" w:rsidR="00C95168" w:rsidRPr="0084768D" w:rsidRDefault="00C95168" w:rsidP="00C95168">
      <w:pPr>
        <w:pStyle w:val="marge0"/>
        <w:suppressAutoHyphens/>
        <w:spacing w:line="240" w:lineRule="auto"/>
      </w:pPr>
    </w:p>
    <w:p w14:paraId="16A8DF95" w14:textId="77777777" w:rsidR="00C95168" w:rsidRPr="0084768D" w:rsidRDefault="00C95168" w:rsidP="00C95168">
      <w:pPr>
        <w:pStyle w:val="marge0"/>
        <w:suppressAutoHyphens/>
        <w:spacing w:line="276" w:lineRule="auto"/>
      </w:pPr>
      <w:r w:rsidRPr="0084768D">
        <w:t xml:space="preserve">Pour réaliser son projet, Investissements québécois inc. a </w:t>
      </w:r>
      <w:r>
        <w:t>emprunté 15</w:t>
      </w:r>
      <w:r w:rsidRPr="0084768D">
        <w:t xml:space="preserve">0 000 $ à la </w:t>
      </w:r>
      <w:r w:rsidRPr="00AF3775">
        <w:rPr>
          <w:highlight w:val="yellow"/>
        </w:rPr>
        <w:t>Caisse populaire</w:t>
      </w:r>
      <w:r w:rsidRPr="0084768D">
        <w:t xml:space="preserve"> de Longueuil. Le remboursement de cet emprunt est garanti par une </w:t>
      </w:r>
      <w:r w:rsidRPr="00AF3775">
        <w:rPr>
          <w:color w:val="FF0000"/>
        </w:rPr>
        <w:t xml:space="preserve">hypothèque immobilière de premier rang inscrite le vendredi </w:t>
      </w:r>
      <w:r w:rsidRPr="00AF3775">
        <w:rPr>
          <w:rFonts w:ascii="Microsoft New Tai Lue" w:hAnsi="Microsoft New Tai Lue"/>
          <w:b/>
          <w:color w:val="FF0000"/>
        </w:rPr>
        <w:t>24 septembre 2021</w:t>
      </w:r>
      <w:r w:rsidRPr="0084768D">
        <w:t>.</w:t>
      </w:r>
      <w:r>
        <w:t xml:space="preserve"> Jonathan Grondin, le président de la débitrice, s’est porté caution solidaire de cet emprunt.</w:t>
      </w:r>
    </w:p>
    <w:p w14:paraId="679627F9" w14:textId="77777777" w:rsidR="00C95168" w:rsidRPr="0084768D" w:rsidRDefault="00C95168" w:rsidP="00C95168">
      <w:pPr>
        <w:pStyle w:val="marge0"/>
        <w:suppressAutoHyphens/>
        <w:spacing w:line="240" w:lineRule="auto"/>
      </w:pPr>
    </w:p>
    <w:p w14:paraId="06887B4A" w14:textId="77777777" w:rsidR="00C95168" w:rsidRPr="0084768D" w:rsidRDefault="00C95168" w:rsidP="00C95168">
      <w:pPr>
        <w:pStyle w:val="marge0"/>
        <w:suppressAutoHyphens/>
        <w:spacing w:line="276" w:lineRule="auto"/>
      </w:pPr>
      <w:r w:rsidRPr="00BC3103">
        <w:rPr>
          <w:color w:val="FF0000"/>
        </w:rPr>
        <w:t xml:space="preserve">L’acte de vente </w:t>
      </w:r>
      <w:r w:rsidRPr="0084768D">
        <w:t xml:space="preserve">a été signé et inscrit au registre foncier le </w:t>
      </w:r>
      <w:r>
        <w:t>jeu</w:t>
      </w:r>
      <w:r w:rsidRPr="0084768D">
        <w:t xml:space="preserve">di </w:t>
      </w:r>
      <w:r w:rsidRPr="00BC3103">
        <w:rPr>
          <w:rFonts w:ascii="Microsoft New Tai Lue" w:hAnsi="Microsoft New Tai Lue"/>
          <w:b/>
          <w:bCs/>
          <w:color w:val="FF0000"/>
        </w:rPr>
        <w:t>30 septembre 2021</w:t>
      </w:r>
      <w:r w:rsidRPr="0084768D">
        <w:t>.</w:t>
      </w:r>
    </w:p>
    <w:p w14:paraId="3CEE74B7" w14:textId="77777777" w:rsidR="00C95168" w:rsidRPr="0084768D" w:rsidRDefault="00C95168" w:rsidP="00C95168">
      <w:pPr>
        <w:pStyle w:val="marge0"/>
        <w:suppressAutoHyphens/>
        <w:spacing w:line="276" w:lineRule="auto"/>
      </w:pPr>
    </w:p>
    <w:p w14:paraId="2300581D" w14:textId="77777777" w:rsidR="00C95168" w:rsidRPr="0084768D" w:rsidRDefault="00C95168" w:rsidP="00C95168">
      <w:pPr>
        <w:pStyle w:val="marge0"/>
        <w:suppressAutoHyphens/>
        <w:spacing w:line="276" w:lineRule="auto"/>
      </w:pPr>
      <w:r w:rsidRPr="0084768D">
        <w:t>Investissements québécois inc. a déjà en sa possession des plans et devis qu’elle désire utiliser pour la construction de la bâtisse.</w:t>
      </w:r>
    </w:p>
    <w:p w14:paraId="5F411CE3" w14:textId="77777777" w:rsidR="00C95168" w:rsidRPr="0084768D" w:rsidRDefault="00C95168" w:rsidP="00C95168">
      <w:pPr>
        <w:pStyle w:val="marge0"/>
        <w:suppressAutoHyphens/>
        <w:spacing w:line="240" w:lineRule="auto"/>
      </w:pPr>
    </w:p>
    <w:p w14:paraId="5FFE0DD3" w14:textId="77777777" w:rsidR="00C95168" w:rsidRPr="0084768D" w:rsidRDefault="00C95168" w:rsidP="00C95168">
      <w:pPr>
        <w:pStyle w:val="marge0"/>
        <w:keepNext/>
        <w:suppressAutoHyphens/>
        <w:spacing w:line="276" w:lineRule="auto"/>
      </w:pPr>
      <w:r>
        <w:t>Le mercre</w:t>
      </w:r>
      <w:r w:rsidRPr="0084768D">
        <w:t xml:space="preserve">di </w:t>
      </w:r>
      <w:r w:rsidRPr="00BC3103">
        <w:rPr>
          <w:rFonts w:ascii="Microsoft New Tai Lue" w:hAnsi="Microsoft New Tai Lue"/>
          <w:b/>
          <w:bCs/>
          <w:color w:val="FF0000"/>
        </w:rPr>
        <w:t>29 décembre 2021</w:t>
      </w:r>
      <w:r w:rsidRPr="0084768D">
        <w:t xml:space="preserve">, Investissements québécois </w:t>
      </w:r>
      <w:r>
        <w:t>inc. signe les contrats de cons</w:t>
      </w:r>
      <w:r w:rsidRPr="0084768D">
        <w:t>truction suivants :</w:t>
      </w:r>
    </w:p>
    <w:p w14:paraId="30653DEE" w14:textId="77777777" w:rsidR="00C95168" w:rsidRPr="0084768D" w:rsidRDefault="00C95168" w:rsidP="00C95168">
      <w:pPr>
        <w:pStyle w:val="marge0"/>
        <w:keepNext/>
        <w:suppressAutoHyphens/>
        <w:spacing w:line="240" w:lineRule="auto"/>
      </w:pPr>
    </w:p>
    <w:p w14:paraId="3705AAFA" w14:textId="77777777" w:rsidR="00C95168" w:rsidRPr="0084768D" w:rsidRDefault="00C95168" w:rsidP="00C95168">
      <w:pPr>
        <w:pStyle w:val="tabimp025"/>
        <w:suppressAutoHyphens/>
        <w:spacing w:line="276" w:lineRule="auto"/>
      </w:pPr>
      <w:r w:rsidRPr="0084768D">
        <w:t>-</w:t>
      </w:r>
      <w:r w:rsidRPr="0084768D">
        <w:tab/>
        <w:t>contrat de construction</w:t>
      </w:r>
      <w:r>
        <w:t xml:space="preserve"> de 40</w:t>
      </w:r>
      <w:r w:rsidRPr="0084768D">
        <w:t xml:space="preserve">5 000 $ avec </w:t>
      </w:r>
      <w:r w:rsidRPr="00BC3103">
        <w:rPr>
          <w:highlight w:val="yellow"/>
        </w:rPr>
        <w:t>Bâtiments solides inc</w:t>
      </w:r>
      <w:r w:rsidRPr="0084768D">
        <w:t>. pour tous les travaux de construction prévus aux plans et devis sauf la fourniture et la pose des briques sur les murs extérieurs;</w:t>
      </w:r>
    </w:p>
    <w:p w14:paraId="6F7D18A7" w14:textId="77777777" w:rsidR="00C95168" w:rsidRPr="0084768D" w:rsidRDefault="00C95168" w:rsidP="00C95168">
      <w:pPr>
        <w:pStyle w:val="tabimp025"/>
        <w:suppressAutoHyphens/>
        <w:spacing w:line="240" w:lineRule="auto"/>
      </w:pPr>
    </w:p>
    <w:p w14:paraId="2D27A4B9" w14:textId="77777777" w:rsidR="00C95168" w:rsidRPr="0084768D" w:rsidRDefault="00C95168" w:rsidP="00C95168">
      <w:pPr>
        <w:pStyle w:val="tabimp025"/>
        <w:suppressAutoHyphens/>
        <w:spacing w:line="276" w:lineRule="auto"/>
      </w:pPr>
      <w:r>
        <w:t>-</w:t>
      </w:r>
      <w:r>
        <w:tab/>
        <w:t>contrat de construction de 4</w:t>
      </w:r>
      <w:r w:rsidRPr="0084768D">
        <w:t xml:space="preserve">5 000 $ avec </w:t>
      </w:r>
      <w:r w:rsidRPr="00BC3103">
        <w:rPr>
          <w:highlight w:val="yellow"/>
        </w:rPr>
        <w:t>Maçonnerie générale inc</w:t>
      </w:r>
      <w:r w:rsidRPr="0084768D">
        <w:t>. pour la fourniture et la pose des briques sur les murs extérieurs.</w:t>
      </w:r>
    </w:p>
    <w:p w14:paraId="64E70FF7" w14:textId="77777777" w:rsidR="00C95168" w:rsidRPr="0084768D" w:rsidRDefault="00C95168" w:rsidP="00C95168">
      <w:pPr>
        <w:pStyle w:val="marge0"/>
        <w:suppressAutoHyphens/>
        <w:spacing w:line="240" w:lineRule="auto"/>
      </w:pPr>
    </w:p>
    <w:p w14:paraId="0F5C70DE" w14:textId="77777777" w:rsidR="00C95168" w:rsidRPr="0084768D" w:rsidRDefault="00C95168" w:rsidP="00C95168">
      <w:pPr>
        <w:pStyle w:val="marge0"/>
        <w:suppressAutoHyphens/>
        <w:spacing w:line="276" w:lineRule="auto"/>
      </w:pPr>
      <w:r w:rsidRPr="0084768D">
        <w:t xml:space="preserve">Le mercredi </w:t>
      </w:r>
      <w:r w:rsidRPr="00BC3103">
        <w:rPr>
          <w:rFonts w:ascii="Microsoft New Tai Lue" w:hAnsi="Microsoft New Tai Lue"/>
          <w:b/>
          <w:bCs/>
          <w:highlight w:val="cyan"/>
        </w:rPr>
        <w:t>30 mars 2022</w:t>
      </w:r>
      <w:r w:rsidRPr="00BC3103">
        <w:rPr>
          <w:highlight w:val="cyan"/>
        </w:rPr>
        <w:t xml:space="preserve">, </w:t>
      </w:r>
      <w:r w:rsidRPr="00BC3103">
        <w:rPr>
          <w:highlight w:val="yellow"/>
        </w:rPr>
        <w:t>Bâtiments solides inc</w:t>
      </w:r>
      <w:r w:rsidRPr="00BC3103">
        <w:rPr>
          <w:highlight w:val="cyan"/>
        </w:rPr>
        <w:t>. termine complètement ses travaux</w:t>
      </w:r>
      <w:r w:rsidRPr="0084768D">
        <w:t xml:space="preserve">. Le contrat prévoit que </w:t>
      </w:r>
      <w:r w:rsidRPr="00BC3103">
        <w:rPr>
          <w:highlight w:val="yellow"/>
        </w:rPr>
        <w:t>Bâtiments solides</w:t>
      </w:r>
      <w:r w:rsidRPr="0084768D">
        <w:t xml:space="preserve"> inc. doit recevoir des paiements échelonnés. Investissements québécois inc. a été incapable de faire ces paiements et a </w:t>
      </w:r>
      <w:r w:rsidRPr="00BC3103">
        <w:rPr>
          <w:color w:val="FF0000"/>
        </w:rPr>
        <w:t xml:space="preserve">promis de payer le solde dû à Bâtiments solides inc., au plus tard le jeudi </w:t>
      </w:r>
      <w:r w:rsidRPr="00BC3103">
        <w:rPr>
          <w:rFonts w:ascii="Microsoft New Tai Lue" w:hAnsi="Microsoft New Tai Lue"/>
          <w:b/>
          <w:bCs/>
          <w:color w:val="FF0000"/>
        </w:rPr>
        <w:t>5 mai 2022</w:t>
      </w:r>
      <w:r w:rsidRPr="00BC3103">
        <w:rPr>
          <w:color w:val="FF0000"/>
        </w:rPr>
        <w:t xml:space="preserve"> à même le produit d’un nouvel emprunt hypothécaire </w:t>
      </w:r>
      <w:r w:rsidRPr="0084768D">
        <w:t>qui doit être contracté prochainement.</w:t>
      </w:r>
    </w:p>
    <w:p w14:paraId="6862AAF8" w14:textId="77777777" w:rsidR="00C95168" w:rsidRPr="0084768D" w:rsidRDefault="00C95168" w:rsidP="00C95168">
      <w:pPr>
        <w:pStyle w:val="marge0"/>
        <w:suppressAutoHyphens/>
        <w:spacing w:line="276" w:lineRule="auto"/>
      </w:pPr>
    </w:p>
    <w:p w14:paraId="2C45E062" w14:textId="77777777" w:rsidR="00C95168" w:rsidRPr="0084768D" w:rsidRDefault="00C95168" w:rsidP="00C95168">
      <w:pPr>
        <w:pStyle w:val="marge0"/>
        <w:suppressAutoHyphens/>
        <w:spacing w:line="276" w:lineRule="auto"/>
      </w:pPr>
      <w:r w:rsidRPr="0084768D">
        <w:t xml:space="preserve">Dès le mercredi </w:t>
      </w:r>
      <w:r w:rsidRPr="00BC3103">
        <w:rPr>
          <w:rFonts w:ascii="Microsoft New Tai Lue" w:hAnsi="Microsoft New Tai Lue"/>
          <w:b/>
          <w:bCs/>
          <w:highlight w:val="cyan"/>
        </w:rPr>
        <w:t>6 avril 2022</w:t>
      </w:r>
      <w:r w:rsidRPr="00BC3103">
        <w:rPr>
          <w:highlight w:val="cyan"/>
        </w:rPr>
        <w:t>,</w:t>
      </w:r>
      <w:r w:rsidRPr="0084768D">
        <w:t xml:space="preserve"> </w:t>
      </w:r>
      <w:r w:rsidRPr="00BC3103">
        <w:rPr>
          <w:highlight w:val="yellow"/>
        </w:rPr>
        <w:t>Maçonnerie générale inc</w:t>
      </w:r>
      <w:r w:rsidRPr="0084768D">
        <w:t>. commence à exécuter son contrat.</w:t>
      </w:r>
    </w:p>
    <w:p w14:paraId="0FBDE5D9" w14:textId="77777777" w:rsidR="00C95168" w:rsidRPr="0084768D" w:rsidRDefault="00C95168" w:rsidP="00C95168">
      <w:pPr>
        <w:pStyle w:val="marge0"/>
        <w:suppressAutoHyphens/>
        <w:spacing w:line="276" w:lineRule="auto"/>
      </w:pPr>
    </w:p>
    <w:p w14:paraId="03276BEF" w14:textId="77777777" w:rsidR="00C95168" w:rsidRPr="0084768D" w:rsidRDefault="00C95168" w:rsidP="00C95168">
      <w:pPr>
        <w:pStyle w:val="marge0"/>
        <w:suppressAutoHyphens/>
        <w:spacing w:line="276" w:lineRule="auto"/>
      </w:pPr>
      <w:r w:rsidRPr="0084768D">
        <w:t xml:space="preserve">Le jeudi </w:t>
      </w:r>
      <w:r w:rsidRPr="00BC3103">
        <w:rPr>
          <w:rFonts w:ascii="Microsoft New Tai Lue" w:hAnsi="Microsoft New Tai Lue"/>
          <w:b/>
          <w:bCs/>
          <w:highlight w:val="cyan"/>
        </w:rPr>
        <w:t>7 avril 2022</w:t>
      </w:r>
      <w:r w:rsidRPr="00BC3103">
        <w:rPr>
          <w:highlight w:val="cyan"/>
        </w:rPr>
        <w:t>, les employés de Maçonnerie générale inc. quittent le chantier temporai</w:t>
      </w:r>
      <w:r w:rsidRPr="00BC3103">
        <w:rPr>
          <w:highlight w:val="cyan"/>
        </w:rPr>
        <w:softHyphen/>
        <w:t>rement.</w:t>
      </w:r>
      <w:r w:rsidRPr="0084768D">
        <w:t xml:space="preserve"> À ce moment-là, il y a trois murs de briques qui sont complétés en entier et il est convenu que les briques du mur arrière seront posées immédiatement après la fin des travaux sur un autre chantier. Le local est loué et le commerce ouvre ses portes au public dès le mardi </w:t>
      </w:r>
      <w:r>
        <w:rPr>
          <w:rFonts w:ascii="Microsoft New Tai Lue" w:hAnsi="Microsoft New Tai Lue"/>
          <w:b/>
          <w:bCs/>
        </w:rPr>
        <w:t>12 avril 2022</w:t>
      </w:r>
      <w:r w:rsidRPr="0084768D">
        <w:t>.</w:t>
      </w:r>
    </w:p>
    <w:p w14:paraId="1A6468D9" w14:textId="77777777" w:rsidR="00C95168" w:rsidRPr="0084768D" w:rsidRDefault="00C95168" w:rsidP="00C95168">
      <w:pPr>
        <w:pStyle w:val="marge0"/>
        <w:suppressAutoHyphens/>
        <w:spacing w:line="276" w:lineRule="auto"/>
      </w:pPr>
    </w:p>
    <w:p w14:paraId="19170914" w14:textId="77777777" w:rsidR="00C95168" w:rsidRPr="0084768D" w:rsidRDefault="00C95168" w:rsidP="00C95168">
      <w:pPr>
        <w:pStyle w:val="marge0"/>
        <w:suppressAutoHyphens/>
        <w:spacing w:line="276" w:lineRule="auto"/>
      </w:pPr>
      <w:r w:rsidRPr="0084768D">
        <w:lastRenderedPageBreak/>
        <w:t xml:space="preserve">Les travaux de Maçonnerie générale inc. sont </w:t>
      </w:r>
      <w:r w:rsidRPr="00BC3103">
        <w:t xml:space="preserve">complétés entre le </w:t>
      </w:r>
      <w:r w:rsidRPr="00BC3103">
        <w:rPr>
          <w:rFonts w:ascii="Microsoft New Tai Lue" w:hAnsi="Microsoft New Tai Lue"/>
          <w:b/>
          <w:bCs/>
        </w:rPr>
        <w:t>15</w:t>
      </w:r>
      <w:r w:rsidRPr="00BC3103">
        <w:t xml:space="preserve"> et le </w:t>
      </w:r>
      <w:r w:rsidRPr="00BC3103">
        <w:rPr>
          <w:rFonts w:ascii="Microsoft New Tai Lue" w:hAnsi="Microsoft New Tai Lue"/>
          <w:b/>
          <w:bCs/>
        </w:rPr>
        <w:t>17 juin 2022</w:t>
      </w:r>
      <w:r w:rsidRPr="0084768D">
        <w:t xml:space="preserve">; le bâtiment est </w:t>
      </w:r>
      <w:r w:rsidRPr="00BC3103">
        <w:rPr>
          <w:highlight w:val="cyan"/>
        </w:rPr>
        <w:t xml:space="preserve">entièrement terminé le vendredi </w:t>
      </w:r>
      <w:r w:rsidRPr="00BC3103">
        <w:rPr>
          <w:rFonts w:ascii="Microsoft New Tai Lue" w:hAnsi="Microsoft New Tai Lue"/>
          <w:b/>
          <w:bCs/>
          <w:highlight w:val="cyan"/>
        </w:rPr>
        <w:t>17 juin 2022</w:t>
      </w:r>
      <w:r w:rsidRPr="0084768D">
        <w:t>.</w:t>
      </w:r>
    </w:p>
    <w:p w14:paraId="23C4103F" w14:textId="77777777" w:rsidR="00C95168" w:rsidRPr="0084768D" w:rsidRDefault="00C95168" w:rsidP="00C95168">
      <w:pPr>
        <w:pStyle w:val="marge0"/>
        <w:suppressAutoHyphens/>
        <w:spacing w:line="276" w:lineRule="auto"/>
      </w:pPr>
    </w:p>
    <w:p w14:paraId="33AFFB68" w14:textId="77777777" w:rsidR="00C95168" w:rsidRPr="0084768D" w:rsidRDefault="00C95168" w:rsidP="00C95168">
      <w:pPr>
        <w:pStyle w:val="marge0"/>
        <w:suppressAutoHyphens/>
        <w:spacing w:line="276" w:lineRule="auto"/>
      </w:pPr>
      <w:r w:rsidRPr="0084768D">
        <w:t xml:space="preserve">Malheureusement, Investissements québécois inc. est incapable d’obtenir le nouveau prêt à cause de l’implication de son </w:t>
      </w:r>
      <w:r>
        <w:t>président</w:t>
      </w:r>
      <w:r w:rsidRPr="0084768D">
        <w:t xml:space="preserve"> dans un scandale. Ses créanciers constatent qu’elle est </w:t>
      </w:r>
      <w:r w:rsidRPr="006464E5">
        <w:rPr>
          <w:highlight w:val="lightGray"/>
        </w:rPr>
        <w:t>insolvable</w:t>
      </w:r>
      <w:r w:rsidRPr="0084768D">
        <w:t xml:space="preserve"> et qu’ils ne seront pas payés.</w:t>
      </w:r>
    </w:p>
    <w:p w14:paraId="014C994E" w14:textId="77777777" w:rsidR="00C95168" w:rsidRPr="0084768D" w:rsidRDefault="00C95168" w:rsidP="00C95168">
      <w:pPr>
        <w:pStyle w:val="marge0"/>
        <w:suppressAutoHyphens/>
        <w:spacing w:line="276" w:lineRule="auto"/>
      </w:pPr>
    </w:p>
    <w:p w14:paraId="72A1F49D" w14:textId="77777777" w:rsidR="00C95168" w:rsidRPr="0084768D" w:rsidRDefault="00C95168" w:rsidP="00C95168">
      <w:pPr>
        <w:pStyle w:val="marge0"/>
        <w:suppressAutoHyphens/>
        <w:spacing w:line="276" w:lineRule="auto"/>
      </w:pPr>
      <w:r w:rsidRPr="006464E5">
        <w:rPr>
          <w:highlight w:val="yellow"/>
        </w:rPr>
        <w:t>Bâtiments solides inc. et Maçonnerie générale inc.</w:t>
      </w:r>
      <w:r>
        <w:t xml:space="preserve"> inscrivent chacune, le jeu</w:t>
      </w:r>
      <w:r w:rsidRPr="0084768D">
        <w:t xml:space="preserve">di </w:t>
      </w:r>
      <w:r w:rsidRPr="006464E5">
        <w:rPr>
          <w:rFonts w:ascii="Microsoft New Tai Lue" w:hAnsi="Microsoft New Tai Lue"/>
          <w:b/>
          <w:bCs/>
          <w:highlight w:val="cyan"/>
        </w:rPr>
        <w:t>23 juin 2022</w:t>
      </w:r>
      <w:r w:rsidRPr="006464E5">
        <w:rPr>
          <w:highlight w:val="cyan"/>
        </w:rPr>
        <w:t>, un avis de conservation d’hypothèque légale</w:t>
      </w:r>
      <w:r w:rsidRPr="0084768D">
        <w:t xml:space="preserve"> de la construction selon les dispositions de l’article 2727 C.c.Q. Ces avis sont dûment </w:t>
      </w:r>
      <w:r w:rsidRPr="006464E5">
        <w:rPr>
          <w:highlight w:val="cyan"/>
        </w:rPr>
        <w:t>signifiés le même jour</w:t>
      </w:r>
      <w:r w:rsidRPr="0084768D">
        <w:t>.</w:t>
      </w:r>
    </w:p>
    <w:p w14:paraId="4A321C7A" w14:textId="77777777" w:rsidR="00C95168" w:rsidRPr="0084768D" w:rsidRDefault="00C95168" w:rsidP="00C95168">
      <w:pPr>
        <w:pStyle w:val="marge0"/>
        <w:suppressAutoHyphens/>
        <w:spacing w:line="276" w:lineRule="auto"/>
      </w:pPr>
    </w:p>
    <w:p w14:paraId="7F7B59D8" w14:textId="77777777" w:rsidR="00C95168" w:rsidRPr="0084768D" w:rsidRDefault="00C95168" w:rsidP="00C95168">
      <w:pPr>
        <w:pStyle w:val="marge0"/>
        <w:suppressAutoHyphens/>
        <w:spacing w:line="276" w:lineRule="auto"/>
      </w:pPr>
      <w:r w:rsidRPr="0084768D">
        <w:t>Étant donné que Bâtiments solides inc. n’a pas été payée, elle a été incapable de payer la somme de 2</w:t>
      </w:r>
      <w:r>
        <w:t>5</w:t>
      </w:r>
      <w:r w:rsidRPr="0084768D">
        <w:t xml:space="preserve"> 000 $ due à son fournisseur de matériaux, soit Belle Planche inc. Le jeudi </w:t>
      </w:r>
      <w:r w:rsidRPr="0041200A">
        <w:rPr>
          <w:rFonts w:ascii="Microsoft New Tai Lue" w:hAnsi="Microsoft New Tai Lue"/>
          <w:b/>
          <w:bCs/>
          <w:highlight w:val="cyan"/>
        </w:rPr>
        <w:t>30 juin 2022</w:t>
      </w:r>
      <w:r w:rsidRPr="0084768D">
        <w:t xml:space="preserve">, </w:t>
      </w:r>
      <w:r w:rsidRPr="0041200A">
        <w:rPr>
          <w:highlight w:val="yellow"/>
        </w:rPr>
        <w:t>Belle Planche inc</w:t>
      </w:r>
      <w:r w:rsidRPr="0084768D">
        <w:t xml:space="preserve">. a appris le nom du propriétaire de l’immeuble et elle a </w:t>
      </w:r>
      <w:r w:rsidRPr="0041200A">
        <w:rPr>
          <w:highlight w:val="cyan"/>
        </w:rPr>
        <w:t>inscrit un avis de conservation d’hypothèque légale de la construction</w:t>
      </w:r>
      <w:r w:rsidRPr="0084768D">
        <w:t xml:space="preserve"> selon les dispositions de l’article 2727 C.c.Q. Cet avis a été dûment </w:t>
      </w:r>
      <w:r w:rsidRPr="0041200A">
        <w:rPr>
          <w:highlight w:val="cyan"/>
        </w:rPr>
        <w:t>signifié le même jour</w:t>
      </w:r>
      <w:r w:rsidRPr="0084768D">
        <w:t>.</w:t>
      </w:r>
    </w:p>
    <w:p w14:paraId="3A32B864" w14:textId="77777777" w:rsidR="00C95168" w:rsidRPr="0084768D" w:rsidRDefault="00C95168" w:rsidP="00C95168">
      <w:pPr>
        <w:pStyle w:val="marge0"/>
        <w:suppressAutoHyphens/>
        <w:spacing w:line="276" w:lineRule="auto"/>
      </w:pPr>
    </w:p>
    <w:p w14:paraId="46D8B729" w14:textId="77777777" w:rsidR="00C95168" w:rsidRPr="0084768D" w:rsidRDefault="00C95168" w:rsidP="00C95168">
      <w:pPr>
        <w:pStyle w:val="marge0"/>
        <w:suppressAutoHyphens/>
        <w:spacing w:line="276" w:lineRule="auto"/>
      </w:pPr>
      <w:r w:rsidRPr="0084768D">
        <w:t xml:space="preserve">Investissements québécois inc. n’a </w:t>
      </w:r>
      <w:r w:rsidRPr="007634E0">
        <w:rPr>
          <w:highlight w:val="yellow"/>
        </w:rPr>
        <w:t>pas payé les versements mensuels prévus par le contrat de prêt hypothécaire de 150 000 $ conclu avec la Caisse populaire</w:t>
      </w:r>
      <w:r w:rsidRPr="0084768D">
        <w:t xml:space="preserve"> de Longueuil, qui est votre cliente.</w:t>
      </w:r>
    </w:p>
    <w:p w14:paraId="02F769C7" w14:textId="77777777" w:rsidR="00C95168" w:rsidRPr="0084768D" w:rsidRDefault="00C95168" w:rsidP="00C95168">
      <w:pPr>
        <w:pStyle w:val="marge0"/>
        <w:suppressAutoHyphens/>
        <w:spacing w:line="276" w:lineRule="auto"/>
      </w:pPr>
    </w:p>
    <w:p w14:paraId="68A1AE83" w14:textId="77777777" w:rsidR="00C95168" w:rsidRPr="0084768D" w:rsidRDefault="00C95168" w:rsidP="00C95168">
      <w:pPr>
        <w:pStyle w:val="marge0"/>
        <w:suppressAutoHyphens/>
        <w:spacing w:line="276" w:lineRule="auto"/>
      </w:pPr>
      <w:r w:rsidRPr="0084768D">
        <w:t xml:space="preserve">À la suite d’une </w:t>
      </w:r>
      <w:r w:rsidRPr="007634E0">
        <w:rPr>
          <w:color w:val="FF0000"/>
        </w:rPr>
        <w:t>action personnelle, vous avez obtenu un jugement en faveur de la Caisse populair</w:t>
      </w:r>
      <w:r w:rsidRPr="0084768D">
        <w:t xml:space="preserve">e de Longueuil et vous avez fait </w:t>
      </w:r>
      <w:r w:rsidRPr="007634E0">
        <w:rPr>
          <w:color w:val="FF0000"/>
        </w:rPr>
        <w:t xml:space="preserve">saisir l’immeuble le mercredi </w:t>
      </w:r>
      <w:r w:rsidRPr="007634E0">
        <w:rPr>
          <w:rFonts w:ascii="Microsoft New Tai Lue" w:hAnsi="Microsoft New Tai Lue"/>
          <w:b/>
          <w:bCs/>
          <w:color w:val="FF0000"/>
        </w:rPr>
        <w:t>24 août 2022</w:t>
      </w:r>
      <w:r w:rsidRPr="0084768D">
        <w:t>.</w:t>
      </w:r>
    </w:p>
    <w:p w14:paraId="1DB0D2C7" w14:textId="77777777" w:rsidR="00C95168" w:rsidRPr="0084768D" w:rsidRDefault="00C95168" w:rsidP="00C95168">
      <w:pPr>
        <w:pStyle w:val="marge0"/>
        <w:suppressAutoHyphens/>
        <w:spacing w:line="276" w:lineRule="auto"/>
      </w:pPr>
    </w:p>
    <w:p w14:paraId="2392D816" w14:textId="77777777" w:rsidR="00C95168" w:rsidRPr="0084768D" w:rsidRDefault="00C95168" w:rsidP="00C95168">
      <w:pPr>
        <w:pStyle w:val="marge0"/>
        <w:suppressAutoHyphens/>
        <w:spacing w:line="276" w:lineRule="auto"/>
      </w:pPr>
      <w:r w:rsidRPr="0084768D">
        <w:t xml:space="preserve">La </w:t>
      </w:r>
      <w:r w:rsidRPr="007634E0">
        <w:rPr>
          <w:color w:val="FF0000"/>
        </w:rPr>
        <w:t xml:space="preserve">vente sous contrôle de justice a eu lieu le mardi </w:t>
      </w:r>
      <w:r w:rsidRPr="007634E0">
        <w:rPr>
          <w:rFonts w:ascii="Microsoft New Tai Lue" w:hAnsi="Microsoft New Tai Lue"/>
          <w:b/>
          <w:bCs/>
          <w:color w:val="FF0000"/>
        </w:rPr>
        <w:t>11 octobre 2022</w:t>
      </w:r>
      <w:r w:rsidRPr="007634E0">
        <w:rPr>
          <w:color w:val="FF0000"/>
        </w:rPr>
        <w:t xml:space="preserve"> </w:t>
      </w:r>
      <w:r w:rsidRPr="0084768D">
        <w:t xml:space="preserve">et c’est la Caisse populaire de Longueuil qui a </w:t>
      </w:r>
      <w:r w:rsidRPr="007634E0">
        <w:rPr>
          <w:color w:val="FF0000"/>
        </w:rPr>
        <w:t>acquis l’immeuble au prix de 589 000 </w:t>
      </w:r>
      <w:r w:rsidRPr="0084768D">
        <w:t xml:space="preserve">$. Les </w:t>
      </w:r>
      <w:r w:rsidRPr="007634E0">
        <w:rPr>
          <w:highlight w:val="yellow"/>
        </w:rPr>
        <w:t>créances prioritaires</w:t>
      </w:r>
      <w:r w:rsidRPr="0084768D">
        <w:t xml:space="preserve">, soit les frais de justice ainsi que les taxes foncières, </w:t>
      </w:r>
      <w:r w:rsidRPr="007634E0">
        <w:rPr>
          <w:highlight w:val="yellow"/>
        </w:rPr>
        <w:t>s’élèvent à 9 000 $.</w:t>
      </w:r>
    </w:p>
    <w:p w14:paraId="53789BE2" w14:textId="77777777" w:rsidR="00C95168" w:rsidRPr="0084768D" w:rsidRDefault="00C95168" w:rsidP="00C95168">
      <w:pPr>
        <w:pStyle w:val="marge0"/>
        <w:suppressAutoHyphens/>
        <w:spacing w:line="276" w:lineRule="auto"/>
      </w:pPr>
    </w:p>
    <w:p w14:paraId="5501096A" w14:textId="1897C421" w:rsidR="00C95168" w:rsidRPr="0084768D" w:rsidRDefault="00C95168" w:rsidP="00C95168">
      <w:pPr>
        <w:pStyle w:val="marge0"/>
        <w:suppressAutoHyphens/>
        <w:spacing w:line="276" w:lineRule="auto"/>
      </w:pPr>
      <w:r w:rsidRPr="0084768D">
        <w:t xml:space="preserve">Avant de décider d’acquérir l’immeuble, la Caisse populaire de Longueuil a obtenu un rapport d’évaluation qui établit que la </w:t>
      </w:r>
      <w:r w:rsidRPr="009A5FC1">
        <w:rPr>
          <w:highlight w:val="cyan"/>
        </w:rPr>
        <w:t xml:space="preserve">valeur marchande de l’immeuble est de 600 000 $ en date du mardi </w:t>
      </w:r>
      <w:r w:rsidRPr="009A5FC1">
        <w:rPr>
          <w:rFonts w:ascii="Microsoft New Tai Lue" w:hAnsi="Microsoft New Tai Lue"/>
          <w:b/>
          <w:bCs/>
          <w:highlight w:val="cyan"/>
        </w:rPr>
        <w:t>6 septembre 2022</w:t>
      </w:r>
      <w:r w:rsidRPr="0084768D">
        <w:t>. Ce rapport indique que la bâtisse vaut 4</w:t>
      </w:r>
      <w:r>
        <w:t>5</w:t>
      </w:r>
      <w:r w:rsidRPr="0084768D">
        <w:t xml:space="preserve">0 000 $ et que le terrain a la même valeur qu’en </w:t>
      </w:r>
      <w:r w:rsidRPr="009F4E88">
        <w:rPr>
          <w:rFonts w:ascii="Microsoft New Tai Lue" w:hAnsi="Microsoft New Tai Lue"/>
          <w:b/>
          <w:bCs/>
        </w:rPr>
        <w:t>septembre 20</w:t>
      </w:r>
      <w:r>
        <w:rPr>
          <w:rFonts w:ascii="Microsoft New Tai Lue" w:hAnsi="Microsoft New Tai Lue"/>
          <w:b/>
          <w:bCs/>
        </w:rPr>
        <w:t>2</w:t>
      </w:r>
      <w:r w:rsidR="00B15434">
        <w:rPr>
          <w:rFonts w:ascii="Microsoft New Tai Lue" w:hAnsi="Microsoft New Tai Lue"/>
          <w:b/>
          <w:bCs/>
        </w:rPr>
        <w:t>1</w:t>
      </w:r>
      <w:r w:rsidRPr="0084768D">
        <w:t>, soit 1</w:t>
      </w:r>
      <w:r>
        <w:t>5</w:t>
      </w:r>
      <w:r w:rsidRPr="0084768D">
        <w:t>0 000 $.</w:t>
      </w:r>
    </w:p>
    <w:p w14:paraId="23D2F8F5" w14:textId="77777777" w:rsidR="00C95168" w:rsidRPr="0084768D" w:rsidRDefault="00C95168" w:rsidP="00C95168">
      <w:pPr>
        <w:pStyle w:val="marge0"/>
        <w:suppressAutoHyphens/>
        <w:spacing w:line="276" w:lineRule="auto"/>
      </w:pPr>
    </w:p>
    <w:p w14:paraId="6FA5937C" w14:textId="77777777" w:rsidR="00C95168" w:rsidRPr="0084768D" w:rsidRDefault="00C95168" w:rsidP="00C95168">
      <w:pPr>
        <w:pStyle w:val="marge0"/>
        <w:suppressAutoHyphens/>
        <w:spacing w:line="276" w:lineRule="auto"/>
      </w:pPr>
      <w:r w:rsidRPr="0084768D">
        <w:t xml:space="preserve">Le </w:t>
      </w:r>
      <w:r>
        <w:t>vendre</w:t>
      </w:r>
      <w:r w:rsidRPr="0084768D">
        <w:t xml:space="preserve">di </w:t>
      </w:r>
      <w:r>
        <w:rPr>
          <w:rFonts w:ascii="Microsoft New Tai Lue" w:hAnsi="Microsoft New Tai Lue"/>
          <w:b/>
          <w:bCs/>
        </w:rPr>
        <w:t>21</w:t>
      </w:r>
      <w:r w:rsidRPr="009F4E88">
        <w:rPr>
          <w:rFonts w:ascii="Microsoft New Tai Lue" w:hAnsi="Microsoft New Tai Lue"/>
          <w:b/>
          <w:bCs/>
        </w:rPr>
        <w:t> </w:t>
      </w:r>
      <w:r>
        <w:rPr>
          <w:rFonts w:ascii="Microsoft New Tai Lue" w:hAnsi="Microsoft New Tai Lue"/>
          <w:b/>
          <w:bCs/>
        </w:rPr>
        <w:t>octobre</w:t>
      </w:r>
      <w:r w:rsidRPr="009F4E88">
        <w:rPr>
          <w:rFonts w:ascii="Microsoft New Tai Lue" w:hAnsi="Microsoft New Tai Lue"/>
          <w:b/>
          <w:bCs/>
        </w:rPr>
        <w:t xml:space="preserve"> </w:t>
      </w:r>
      <w:r>
        <w:rPr>
          <w:rFonts w:ascii="Microsoft New Tai Lue" w:hAnsi="Microsoft New Tai Lue"/>
          <w:b/>
          <w:bCs/>
        </w:rPr>
        <w:t>2022</w:t>
      </w:r>
      <w:r w:rsidRPr="0084768D">
        <w:t>, le directeur de la Caisse populaire de Longueuil, votre cliente, vous demande de répondre aux questions suivantes.</w:t>
      </w:r>
    </w:p>
    <w:p w14:paraId="3E17FD00" w14:textId="77777777" w:rsidR="00C95168" w:rsidRPr="0084768D" w:rsidRDefault="00C95168" w:rsidP="00C95168">
      <w:pPr>
        <w:pStyle w:val="tabimp025"/>
        <w:suppressAutoHyphens/>
        <w:spacing w:line="276" w:lineRule="auto"/>
        <w:rPr>
          <w:b/>
          <w:bCs/>
        </w:rPr>
      </w:pPr>
    </w:p>
    <w:p w14:paraId="3951B3B4" w14:textId="77777777" w:rsidR="00C95168" w:rsidRPr="0084768D" w:rsidRDefault="00C95168" w:rsidP="00C95168">
      <w:pPr>
        <w:pStyle w:val="tabimp025"/>
        <w:suppressAutoHyphens/>
        <w:rPr>
          <w:b/>
          <w:bCs/>
        </w:rPr>
      </w:pPr>
      <w:r w:rsidRPr="0084768D">
        <w:rPr>
          <w:b/>
          <w:bCs/>
        </w:rPr>
        <w:t>1.</w:t>
      </w:r>
      <w:r w:rsidRPr="0084768D">
        <w:rPr>
          <w:b/>
          <w:bCs/>
        </w:rPr>
        <w:tab/>
      </w:r>
      <w:r>
        <w:rPr>
          <w:b/>
          <w:bCs/>
        </w:rPr>
        <w:t xml:space="preserve">Est-ce que </w:t>
      </w:r>
      <w:r w:rsidRPr="005040FE">
        <w:rPr>
          <w:b/>
          <w:bCs/>
          <w:u w:val="single"/>
        </w:rPr>
        <w:t>Maçonnerie générale inc.</w:t>
      </w:r>
      <w:r w:rsidRPr="0084768D">
        <w:rPr>
          <w:b/>
          <w:bCs/>
        </w:rPr>
        <w:t xml:space="preserve"> a</w:t>
      </w:r>
      <w:r>
        <w:rPr>
          <w:b/>
          <w:bCs/>
        </w:rPr>
        <w:t xml:space="preserve"> conservé son hypothèque légale en inscrivant</w:t>
      </w:r>
      <w:r w:rsidRPr="0084768D">
        <w:rPr>
          <w:b/>
          <w:bCs/>
        </w:rPr>
        <w:t xml:space="preserve"> un avis selon l’article 2727 C.c.Q. le </w:t>
      </w:r>
      <w:r>
        <w:rPr>
          <w:b/>
          <w:bCs/>
        </w:rPr>
        <w:t>jeu</w:t>
      </w:r>
      <w:r w:rsidRPr="0084768D">
        <w:rPr>
          <w:b/>
          <w:bCs/>
        </w:rPr>
        <w:t xml:space="preserve">di </w:t>
      </w:r>
      <w:r>
        <w:rPr>
          <w:rFonts w:ascii="Microsoft New Tai Lue" w:hAnsi="Microsoft New Tai Lue"/>
          <w:b/>
          <w:bCs/>
        </w:rPr>
        <w:t>23</w:t>
      </w:r>
      <w:r w:rsidRPr="009F4E88">
        <w:rPr>
          <w:rFonts w:ascii="Microsoft New Tai Lue" w:hAnsi="Microsoft New Tai Lue"/>
          <w:b/>
          <w:bCs/>
        </w:rPr>
        <w:t> </w:t>
      </w:r>
      <w:r>
        <w:rPr>
          <w:rFonts w:ascii="Microsoft New Tai Lue" w:hAnsi="Microsoft New Tai Lue"/>
          <w:b/>
          <w:bCs/>
        </w:rPr>
        <w:t>juin 2022</w:t>
      </w:r>
      <w:r w:rsidRPr="0084768D">
        <w:rPr>
          <w:b/>
          <w:bCs/>
        </w:rPr>
        <w:t>, puisque le commerce était ouvert au public depuis plus de 30 jours? Motivez votre réponse.</w:t>
      </w:r>
    </w:p>
    <w:p w14:paraId="0E67DDE8" w14:textId="6F7915E1" w:rsidR="00417F4A" w:rsidRPr="0029202F" w:rsidRDefault="00417F4A" w:rsidP="0072709D">
      <w:pPr>
        <w:pStyle w:val="tabimp025"/>
        <w:suppressAutoHyphens/>
      </w:pPr>
    </w:p>
    <w:p w14:paraId="13494E14" w14:textId="2DD651FB" w:rsidR="0029202F" w:rsidRDefault="00E84C5B" w:rsidP="005040FE">
      <w:pPr>
        <w:pStyle w:val="tabimp025"/>
        <w:suppressAutoHyphens/>
        <w:ind w:left="0" w:firstLine="0"/>
      </w:pPr>
      <w:r>
        <w:t>Oui</w:t>
      </w:r>
      <w:r w:rsidR="007F43D2">
        <w:t xml:space="preserve">. </w:t>
      </w:r>
      <w:r w:rsidR="005040FE">
        <w:t xml:space="preserve">L’avis d’hypothèque légale doit être inscrit à l’intérieur du délai de jours suivant la fin des travaux en vertu de l’art. </w:t>
      </w:r>
      <w:r w:rsidR="004A66D4">
        <w:t>2727, al.</w:t>
      </w:r>
      <w:r w:rsidR="00B660C3">
        <w:t>1 et al.</w:t>
      </w:r>
      <w:r w:rsidR="004A66D4">
        <w:t xml:space="preserve">2 C.c.Q. En ce sens, </w:t>
      </w:r>
      <w:r w:rsidR="00E127B0">
        <w:t xml:space="preserve">la fin des travaux de Maçonnerie </w:t>
      </w:r>
      <w:r w:rsidR="00E127B0">
        <w:lastRenderedPageBreak/>
        <w:t xml:space="preserve">générale inc. fut le </w:t>
      </w:r>
      <w:r w:rsidR="00A50A6C">
        <w:t xml:space="preserve">17 juin 2022 </w:t>
      </w:r>
      <w:r w:rsidR="00F846C9">
        <w:t>et l’inscription de l’hypothèque le 23 juin 2022</w:t>
      </w:r>
      <w:r w:rsidR="007F43D2">
        <w:t xml:space="preserve"> alors, Maçonnerie générale inc. a conservé son hypothèque légale puisqu’elle l’a inscrit en respectant le </w:t>
      </w:r>
      <w:r w:rsidR="00254822">
        <w:t xml:space="preserve">délai de fin des travaux. </w:t>
      </w:r>
    </w:p>
    <w:p w14:paraId="1213DF15" w14:textId="1F61D464" w:rsidR="00B660C3" w:rsidRDefault="00B660C3" w:rsidP="005040FE">
      <w:pPr>
        <w:pStyle w:val="tabimp025"/>
        <w:suppressAutoHyphens/>
        <w:ind w:left="0" w:firstLine="0"/>
      </w:pPr>
    </w:p>
    <w:p w14:paraId="071DB6CE" w14:textId="054EFA64" w:rsidR="00B660C3" w:rsidRDefault="00B660C3" w:rsidP="00B660C3">
      <w:pPr>
        <w:pStyle w:val="tabimp025"/>
        <w:numPr>
          <w:ilvl w:val="0"/>
          <w:numId w:val="9"/>
        </w:numPr>
        <w:suppressAutoHyphens/>
      </w:pPr>
      <w:r>
        <w:t>Commentaire : 2 conditions à la fin des travaux</w:t>
      </w:r>
      <w:r w:rsidR="000B7895">
        <w:t xml:space="preserve"> (art. 2110, al.1 C.c.Q.)</w:t>
      </w:r>
      <w:r>
        <w:t xml:space="preserve"> (1) travaux exécutés lorsque tous les détails</w:t>
      </w:r>
      <w:r w:rsidR="00F13848">
        <w:t xml:space="preserve"> prévus au contrat sont réalisés alors ce n’est pas la fin s’il manque une vise. La plantation à Gatineau d’un arbre est </w:t>
      </w:r>
      <w:r w:rsidR="000B7895">
        <w:t>essentielle</w:t>
      </w:r>
      <w:r w:rsidR="00F13848">
        <w:t xml:space="preserve"> lors d’une construction et pendant l’hiver, le propriétaire n’a pas pu planté l’arbre alors le délai pendant l’hiver ne s’accumule pas.</w:t>
      </w:r>
      <w:r w:rsidR="000B7895">
        <w:t xml:space="preserve"> (2) ouvrage en état de servir à l’usage destiné </w:t>
      </w:r>
    </w:p>
    <w:p w14:paraId="772C2EE1" w14:textId="1E38CD51" w:rsidR="000B7895" w:rsidRDefault="000B7895" w:rsidP="00B660C3">
      <w:pPr>
        <w:pStyle w:val="tabimp025"/>
        <w:numPr>
          <w:ilvl w:val="0"/>
          <w:numId w:val="9"/>
        </w:numPr>
        <w:suppressAutoHyphens/>
      </w:pPr>
      <w:r>
        <w:t>Attention prescription de 3 ans (art. 2925 C.c.Q.) pour un recours.</w:t>
      </w:r>
    </w:p>
    <w:p w14:paraId="04296077" w14:textId="7816CEE0" w:rsidR="000B7895" w:rsidRPr="0029202F" w:rsidRDefault="000B7895" w:rsidP="00B660C3">
      <w:pPr>
        <w:pStyle w:val="tabimp025"/>
        <w:numPr>
          <w:ilvl w:val="0"/>
          <w:numId w:val="9"/>
        </w:numPr>
        <w:suppressAutoHyphens/>
      </w:pPr>
      <w:r>
        <w:t>Malfaçon ou un vice ne retarde pas la fin des travaux.</w:t>
      </w:r>
    </w:p>
    <w:p w14:paraId="41B8B4C5" w14:textId="77777777" w:rsidR="00417F4A" w:rsidRPr="0029202F" w:rsidRDefault="00417F4A" w:rsidP="0072709D">
      <w:pPr>
        <w:pStyle w:val="tabimp025"/>
        <w:suppressAutoHyphens/>
      </w:pPr>
    </w:p>
    <w:p w14:paraId="65FBB8D7" w14:textId="77777777" w:rsidR="00C95168" w:rsidRPr="0084768D" w:rsidRDefault="00C95168" w:rsidP="00C95168">
      <w:pPr>
        <w:pStyle w:val="tabimp025"/>
        <w:keepNext/>
        <w:keepLines/>
        <w:suppressAutoHyphens/>
        <w:rPr>
          <w:b/>
          <w:bCs/>
        </w:rPr>
      </w:pPr>
      <w:r w:rsidRPr="0084768D">
        <w:rPr>
          <w:b/>
          <w:bCs/>
        </w:rPr>
        <w:t>2.</w:t>
      </w:r>
      <w:r w:rsidRPr="0084768D">
        <w:rPr>
          <w:b/>
          <w:bCs/>
        </w:rPr>
        <w:tab/>
      </w:r>
      <w:r>
        <w:rPr>
          <w:b/>
          <w:bCs/>
        </w:rPr>
        <w:t xml:space="preserve">Est-ce que </w:t>
      </w:r>
      <w:r w:rsidRPr="00CC7720">
        <w:rPr>
          <w:b/>
          <w:bCs/>
          <w:u w:val="single"/>
        </w:rPr>
        <w:t>Bâtiments solides inc</w:t>
      </w:r>
      <w:r w:rsidRPr="0084768D">
        <w:rPr>
          <w:b/>
          <w:bCs/>
        </w:rPr>
        <w:t xml:space="preserve">. </w:t>
      </w:r>
      <w:r>
        <w:rPr>
          <w:b/>
          <w:bCs/>
        </w:rPr>
        <w:t>a conservé son hypothèque légale en inscrivant</w:t>
      </w:r>
      <w:r w:rsidRPr="0084768D">
        <w:rPr>
          <w:b/>
          <w:bCs/>
        </w:rPr>
        <w:t xml:space="preserve"> un avis </w:t>
      </w:r>
      <w:r>
        <w:rPr>
          <w:b/>
          <w:bCs/>
        </w:rPr>
        <w:t>selon l’article 2727 C.c.Q. le jeu</w:t>
      </w:r>
      <w:r w:rsidRPr="0084768D">
        <w:rPr>
          <w:b/>
          <w:bCs/>
        </w:rPr>
        <w:t xml:space="preserve">di </w:t>
      </w:r>
      <w:r>
        <w:rPr>
          <w:rFonts w:ascii="Microsoft New Tai Lue" w:hAnsi="Microsoft New Tai Lue"/>
          <w:b/>
          <w:bCs/>
        </w:rPr>
        <w:t>23 juin2022</w:t>
      </w:r>
      <w:r w:rsidRPr="0084768D">
        <w:rPr>
          <w:b/>
          <w:bCs/>
        </w:rPr>
        <w:t xml:space="preserve">, compte tenu que ses propres travaux étaient terminés depuis plus de 30 jours, soit depuis le mercredi </w:t>
      </w:r>
      <w:r>
        <w:rPr>
          <w:rFonts w:ascii="Microsoft New Tai Lue" w:hAnsi="Microsoft New Tai Lue"/>
          <w:b/>
          <w:bCs/>
        </w:rPr>
        <w:t>3 mars 2022</w:t>
      </w:r>
      <w:r w:rsidRPr="0084768D">
        <w:rPr>
          <w:b/>
          <w:bCs/>
        </w:rPr>
        <w:t>? Motivez votre réponse.</w:t>
      </w:r>
    </w:p>
    <w:p w14:paraId="4F51E2E8" w14:textId="77777777" w:rsidR="009F7B8F" w:rsidRDefault="009F7B8F" w:rsidP="00CC7720">
      <w:pPr>
        <w:pStyle w:val="tabimp025"/>
        <w:suppressAutoHyphens/>
        <w:ind w:left="0" w:firstLine="0"/>
      </w:pPr>
    </w:p>
    <w:p w14:paraId="5D946EF2" w14:textId="6D17EB76" w:rsidR="00417F4A" w:rsidRPr="008D09B0" w:rsidRDefault="009F7B8F" w:rsidP="00CC7720">
      <w:pPr>
        <w:pStyle w:val="tabimp025"/>
        <w:suppressAutoHyphens/>
        <w:ind w:left="0" w:firstLine="0"/>
      </w:pPr>
      <w:r>
        <w:t>Oui, Bâtiment solides inc, a conservé son hypothèque légale en inscrivant un avis le 23 juin 2023 puisqu’il n’existe qu’une fin des travaux, soit le 17 juin 2022</w:t>
      </w:r>
      <w:r w:rsidR="00CC7720">
        <w:t xml:space="preserve"> </w:t>
      </w:r>
      <w:r>
        <w:t>et non le 3 mars 2022</w:t>
      </w:r>
      <w:r w:rsidR="007E55E0">
        <w:t xml:space="preserve"> (art. 2727, al.</w:t>
      </w:r>
      <w:r w:rsidR="00402E73">
        <w:t>1 et al.</w:t>
      </w:r>
      <w:r w:rsidR="007E55E0">
        <w:t xml:space="preserve">2 C.c.Q.). </w:t>
      </w:r>
    </w:p>
    <w:p w14:paraId="40537971" w14:textId="77777777" w:rsidR="008D09B0" w:rsidRPr="008D09B0" w:rsidRDefault="008D09B0" w:rsidP="0072709D">
      <w:pPr>
        <w:pStyle w:val="tabimp025"/>
        <w:suppressAutoHyphens/>
      </w:pPr>
    </w:p>
    <w:p w14:paraId="2271200B" w14:textId="77777777" w:rsidR="00417F4A" w:rsidRPr="00D078C9" w:rsidRDefault="00417F4A" w:rsidP="0072709D">
      <w:pPr>
        <w:pStyle w:val="tabimp025"/>
        <w:keepNext/>
        <w:suppressAutoHyphens/>
        <w:rPr>
          <w:b/>
          <w:bCs/>
        </w:rPr>
      </w:pPr>
      <w:r w:rsidRPr="00D078C9">
        <w:rPr>
          <w:b/>
          <w:bCs/>
        </w:rPr>
        <w:t>3.</w:t>
      </w:r>
      <w:r w:rsidRPr="00D078C9">
        <w:rPr>
          <w:b/>
          <w:bCs/>
        </w:rPr>
        <w:tab/>
        <w:t>Belle Planche inc. détient-elle une hypothèque légale de la construction valide? Motivez votre réponse.</w:t>
      </w:r>
    </w:p>
    <w:p w14:paraId="03CA735C" w14:textId="08B83285" w:rsidR="00C95122" w:rsidRPr="008107D8" w:rsidRDefault="00C95122" w:rsidP="00794C19">
      <w:pPr>
        <w:pStyle w:val="tabimp025"/>
        <w:suppressAutoHyphens/>
      </w:pPr>
    </w:p>
    <w:p w14:paraId="4363E167" w14:textId="5209C77A" w:rsidR="006C1BEF" w:rsidRDefault="00E201A6" w:rsidP="00E201A6">
      <w:pPr>
        <w:pStyle w:val="tabimp025"/>
        <w:suppressAutoHyphens/>
        <w:ind w:left="0" w:firstLine="0"/>
      </w:pPr>
      <w:r>
        <w:t>Non</w:t>
      </w:r>
      <w:r w:rsidR="008107D8">
        <w:t xml:space="preserve">, Belle Planche inc </w:t>
      </w:r>
      <w:r>
        <w:t xml:space="preserve">ne </w:t>
      </w:r>
      <w:r w:rsidR="008107D8">
        <w:t xml:space="preserve">possède </w:t>
      </w:r>
      <w:r>
        <w:t xml:space="preserve">pas </w:t>
      </w:r>
      <w:r w:rsidR="008107D8">
        <w:t>une hypothèque légale de la construction valide</w:t>
      </w:r>
      <w:r>
        <w:t>, car elle n’a p</w:t>
      </w:r>
      <w:r w:rsidR="006C1BEF">
        <w:t xml:space="preserve">as directement fait affaire avec le </w:t>
      </w:r>
      <w:r>
        <w:t xml:space="preserve">propriétaire </w:t>
      </w:r>
      <w:r w:rsidR="006C1BEF">
        <w:t>alors</w:t>
      </w:r>
      <w:r w:rsidR="008B18DD">
        <w:t>,</w:t>
      </w:r>
      <w:r w:rsidR="006C1BEF">
        <w:t xml:space="preserve"> elle </w:t>
      </w:r>
      <w:r w:rsidR="008B18DD">
        <w:t xml:space="preserve">devait dénoncer </w:t>
      </w:r>
      <w:r w:rsidR="006C1BEF">
        <w:t xml:space="preserve">par écrit les travaux </w:t>
      </w:r>
      <w:r w:rsidR="008B18DD">
        <w:t xml:space="preserve">au propriétaire </w:t>
      </w:r>
      <w:r w:rsidR="006C1BEF">
        <w:t>(art. 2728 C.c.Q.)</w:t>
      </w:r>
      <w:r>
        <w:t xml:space="preserve"> avant de les exécuter. </w:t>
      </w:r>
    </w:p>
    <w:p w14:paraId="383B900D" w14:textId="3174B616" w:rsidR="00C95122" w:rsidRDefault="00C95122" w:rsidP="00794C19">
      <w:pPr>
        <w:pStyle w:val="tabimp025"/>
        <w:suppressAutoHyphens/>
      </w:pPr>
    </w:p>
    <w:p w14:paraId="657A3777" w14:textId="7FA4111F" w:rsidR="00E201A6" w:rsidRDefault="00E201A6" w:rsidP="00E201A6">
      <w:pPr>
        <w:pStyle w:val="tabimp025"/>
        <w:numPr>
          <w:ilvl w:val="0"/>
          <w:numId w:val="9"/>
        </w:numPr>
        <w:suppressAutoHyphens/>
      </w:pPr>
      <w:r>
        <w:t>Commentaire : si dénonciation tardive, ce sera que les travaux à partir du moment que tu dénonces</w:t>
      </w:r>
      <w:r w:rsidR="00D46DE4">
        <w:t xml:space="preserve"> qui seront couverts par l’hypothèque légale de la construction</w:t>
      </w:r>
      <w:r w:rsidR="00FE02B3">
        <w:t xml:space="preserve">s. </w:t>
      </w:r>
    </w:p>
    <w:p w14:paraId="7870D026" w14:textId="77777777" w:rsidR="00E201A6" w:rsidRPr="008107D8" w:rsidRDefault="00E201A6" w:rsidP="00794C19">
      <w:pPr>
        <w:pStyle w:val="tabimp025"/>
        <w:suppressAutoHyphens/>
      </w:pPr>
    </w:p>
    <w:p w14:paraId="4AC7C79F" w14:textId="4674DC6C" w:rsidR="00794C19" w:rsidRPr="00D078C9" w:rsidRDefault="00794C19" w:rsidP="00794C19">
      <w:pPr>
        <w:pStyle w:val="tabimp025"/>
        <w:suppressAutoHyphens/>
        <w:rPr>
          <w:b/>
          <w:bCs/>
        </w:rPr>
      </w:pPr>
      <w:r w:rsidRPr="00D078C9">
        <w:rPr>
          <w:b/>
          <w:bCs/>
        </w:rPr>
        <w:t>4.</w:t>
      </w:r>
      <w:r w:rsidRPr="00D078C9">
        <w:rPr>
          <w:b/>
          <w:bCs/>
        </w:rPr>
        <w:tab/>
        <w:t xml:space="preserve">Tenant pour acquis que les créanciers suivants font validement leur réclamation pour les montants mentionnés ci-après, comment se fera la distribution du produit net de la vente après le paiement des créances prioritaires de </w:t>
      </w:r>
      <w:r w:rsidR="009F4832">
        <w:rPr>
          <w:b/>
          <w:bCs/>
        </w:rPr>
        <w:t>9</w:t>
      </w:r>
      <w:r w:rsidRPr="00D078C9">
        <w:rPr>
          <w:b/>
          <w:bCs/>
        </w:rPr>
        <w:t> 000 $</w:t>
      </w:r>
      <w:r w:rsidR="00AC7AF8">
        <w:rPr>
          <w:b/>
          <w:bCs/>
        </w:rPr>
        <w:t> </w:t>
      </w:r>
      <w:r w:rsidRPr="00D078C9">
        <w:rPr>
          <w:b/>
          <w:bCs/>
        </w:rPr>
        <w:t>? Motivez votre réponse.</w:t>
      </w:r>
    </w:p>
    <w:p w14:paraId="6D420EC8" w14:textId="77777777" w:rsidR="00794C19" w:rsidRPr="006826B6" w:rsidRDefault="00794C19" w:rsidP="00794C19">
      <w:pPr>
        <w:pStyle w:val="tabimp025"/>
        <w:suppressAutoHyphens/>
        <w:rPr>
          <w:b/>
          <w:bCs/>
        </w:rPr>
      </w:pPr>
    </w:p>
    <w:p w14:paraId="1A3DEE58" w14:textId="6EAC45C8" w:rsidR="00794C19" w:rsidRPr="006826B6" w:rsidRDefault="00794C19" w:rsidP="00794C19">
      <w:pPr>
        <w:pStyle w:val="tabimp050"/>
        <w:suppressAutoHyphens/>
        <w:rPr>
          <w:b/>
        </w:rPr>
      </w:pPr>
      <w:r w:rsidRPr="006826B6">
        <w:rPr>
          <w:b/>
        </w:rPr>
        <w:t>-</w:t>
      </w:r>
      <w:r w:rsidRPr="006826B6">
        <w:rPr>
          <w:b/>
        </w:rPr>
        <w:tab/>
        <w:t>Caisse populaire de Longueuil : 1</w:t>
      </w:r>
      <w:r w:rsidR="009F4832" w:rsidRPr="006826B6">
        <w:rPr>
          <w:b/>
        </w:rPr>
        <w:t>5</w:t>
      </w:r>
      <w:r w:rsidRPr="006826B6">
        <w:rPr>
          <w:b/>
        </w:rPr>
        <w:t>0 000 $</w:t>
      </w:r>
      <w:r w:rsidR="00AC7AF8" w:rsidRPr="006826B6">
        <w:rPr>
          <w:b/>
        </w:rPr>
        <w:t xml:space="preserve"> </w:t>
      </w:r>
      <w:r w:rsidR="00AC7AF8" w:rsidRPr="006826B6">
        <w:rPr>
          <w:bCs/>
        </w:rPr>
        <w:t>(</w:t>
      </w:r>
      <w:r w:rsidR="00AC7AF8" w:rsidRPr="006826B6">
        <w:rPr>
          <w:bCs/>
          <w:color w:val="FF0000"/>
        </w:rPr>
        <w:t>24 septembre 2021</w:t>
      </w:r>
      <w:r w:rsidR="00AC7AF8" w:rsidRPr="006826B6">
        <w:rPr>
          <w:bCs/>
        </w:rPr>
        <w:t>)</w:t>
      </w:r>
    </w:p>
    <w:p w14:paraId="54ED57CC" w14:textId="558F3D85" w:rsidR="00794C19" w:rsidRPr="00D078C9" w:rsidRDefault="00794C19" w:rsidP="00794C19">
      <w:pPr>
        <w:pStyle w:val="tabimp050"/>
        <w:suppressAutoHyphens/>
        <w:rPr>
          <w:b/>
        </w:rPr>
      </w:pPr>
      <w:r w:rsidRPr="00D078C9">
        <w:rPr>
          <w:b/>
        </w:rPr>
        <w:t>-</w:t>
      </w:r>
      <w:r w:rsidRPr="00D078C9">
        <w:rPr>
          <w:b/>
        </w:rPr>
        <w:tab/>
        <w:t xml:space="preserve">Bâtiments solides inc. : </w:t>
      </w:r>
      <w:r w:rsidR="009F4832">
        <w:rPr>
          <w:b/>
        </w:rPr>
        <w:t>40</w:t>
      </w:r>
      <w:r w:rsidRPr="00D078C9">
        <w:rPr>
          <w:b/>
        </w:rPr>
        <w:t>5 000 $</w:t>
      </w:r>
      <w:r w:rsidR="006826B6">
        <w:rPr>
          <w:b/>
        </w:rPr>
        <w:t xml:space="preserve"> </w:t>
      </w:r>
      <w:r w:rsidR="006826B6" w:rsidRPr="006826B6">
        <w:rPr>
          <w:bCs/>
          <w:color w:val="FF0000"/>
        </w:rPr>
        <w:t>(23 juin 2022)</w:t>
      </w:r>
    </w:p>
    <w:p w14:paraId="304DFEEF" w14:textId="0F97F564" w:rsidR="00794C19" w:rsidRPr="00D078C9" w:rsidRDefault="009F4832" w:rsidP="00794C19">
      <w:pPr>
        <w:pStyle w:val="tabimp050"/>
        <w:suppressAutoHyphens/>
        <w:rPr>
          <w:b/>
        </w:rPr>
      </w:pPr>
      <w:r>
        <w:rPr>
          <w:b/>
        </w:rPr>
        <w:t>-</w:t>
      </w:r>
      <w:r>
        <w:rPr>
          <w:b/>
        </w:rPr>
        <w:tab/>
        <w:t>Maçonnerie générale inc. : 4</w:t>
      </w:r>
      <w:r w:rsidR="00794C19" w:rsidRPr="00D078C9">
        <w:rPr>
          <w:b/>
        </w:rPr>
        <w:t>5 000 $</w:t>
      </w:r>
      <w:r w:rsidR="006826B6">
        <w:rPr>
          <w:b/>
        </w:rPr>
        <w:t xml:space="preserve"> </w:t>
      </w:r>
      <w:r w:rsidR="006826B6" w:rsidRPr="006826B6">
        <w:rPr>
          <w:bCs/>
          <w:color w:val="FF0000"/>
        </w:rPr>
        <w:t>(23 juin 2022)</w:t>
      </w:r>
    </w:p>
    <w:p w14:paraId="432B7169" w14:textId="74AAB317" w:rsidR="00697737" w:rsidRDefault="00697737" w:rsidP="00EE43CB">
      <w:pPr>
        <w:pStyle w:val="tabimp025"/>
        <w:suppressAutoHyphens/>
        <w:ind w:left="0" w:firstLine="0"/>
      </w:pPr>
    </w:p>
    <w:p w14:paraId="53A5736A" w14:textId="05271D89" w:rsidR="00697737" w:rsidRDefault="00697737" w:rsidP="00EE43CB">
      <w:pPr>
        <w:pStyle w:val="tabimp025"/>
        <w:suppressAutoHyphens/>
        <w:ind w:left="0" w:firstLine="0"/>
      </w:pPr>
      <w:r>
        <w:t>V</w:t>
      </w:r>
      <w:r w:rsidR="00AE2145">
        <w:t>M</w:t>
      </w:r>
      <w:r>
        <w:t xml:space="preserve"> avant les travaux = 150 000 $</w:t>
      </w:r>
    </w:p>
    <w:p w14:paraId="0C4F066B" w14:textId="21CDB04A" w:rsidR="00697737" w:rsidRDefault="00CC7AA5" w:rsidP="00EE43CB">
      <w:pPr>
        <w:pStyle w:val="tabimp025"/>
        <w:suppressAutoHyphens/>
        <w:ind w:left="0" w:firstLine="0"/>
      </w:pPr>
      <w:r>
        <w:t>VM à la fin des travaux =</w:t>
      </w:r>
      <w:r w:rsidR="00C226D5">
        <w:t xml:space="preserve"> 600 000 $</w:t>
      </w:r>
    </w:p>
    <w:p w14:paraId="6AF0D302" w14:textId="1A5EFF06" w:rsidR="004709A1" w:rsidRDefault="0071409E" w:rsidP="00EE43CB">
      <w:pPr>
        <w:pStyle w:val="tabimp025"/>
        <w:suppressAutoHyphens/>
        <w:ind w:left="0" w:firstLine="0"/>
      </w:pPr>
      <w:r>
        <w:lastRenderedPageBreak/>
        <w:t>Prix de la v</w:t>
      </w:r>
      <w:r w:rsidR="004709A1">
        <w:t>ente = 589 000 $</w:t>
      </w:r>
    </w:p>
    <w:p w14:paraId="496A4127" w14:textId="1E78E101" w:rsidR="0071409E" w:rsidRDefault="0071409E" w:rsidP="00EE43CB">
      <w:pPr>
        <w:pStyle w:val="tabimp025"/>
        <w:suppressAutoHyphens/>
        <w:ind w:left="0" w:firstLine="0"/>
      </w:pPr>
      <w:r>
        <w:t>Plus-value = 450 000 $</w:t>
      </w:r>
    </w:p>
    <w:p w14:paraId="23C9DAFB" w14:textId="11E28296" w:rsidR="00C34D78" w:rsidRDefault="00C34D78" w:rsidP="00EE43CB">
      <w:pPr>
        <w:pStyle w:val="tabimp025"/>
        <w:suppressAutoHyphens/>
        <w:ind w:left="0" w:firstLine="0"/>
      </w:pPr>
    </w:p>
    <w:p w14:paraId="39B87F32" w14:textId="31310911" w:rsidR="00C34D78" w:rsidRDefault="00C34D78" w:rsidP="00EE43CB">
      <w:pPr>
        <w:pStyle w:val="tabimp025"/>
        <w:suppressAutoHyphens/>
        <w:ind w:left="0" w:firstLine="0"/>
      </w:pPr>
      <w:r>
        <w:t xml:space="preserve">Art. 768 C.p.c. = </w:t>
      </w:r>
      <w:r w:rsidR="004C319F">
        <w:t xml:space="preserve">3 conditions </w:t>
      </w:r>
      <w:r>
        <w:t>*</w:t>
      </w:r>
      <w:r w:rsidR="004C319F">
        <w:t xml:space="preserve">(1) </w:t>
      </w:r>
      <w:r>
        <w:t xml:space="preserve">Quand on vend sous la valeur marchande + </w:t>
      </w:r>
      <w:r w:rsidR="004C319F">
        <w:t xml:space="preserve">(2) </w:t>
      </w:r>
      <w:r>
        <w:t xml:space="preserve">hypothèque de la construction + </w:t>
      </w:r>
      <w:r w:rsidR="004C319F">
        <w:t xml:space="preserve">(3) </w:t>
      </w:r>
      <w:r>
        <w:t>pas assez d’argent pour payer les créanciers qui ont des droits sur l’immeuble*</w:t>
      </w:r>
    </w:p>
    <w:p w14:paraId="6A5D0B7C" w14:textId="218BE63F" w:rsidR="00EE43CB" w:rsidRPr="00284BC4" w:rsidRDefault="00EE43CB" w:rsidP="00EE43CB">
      <w:pPr>
        <w:pStyle w:val="tabimp025"/>
        <w:suppressAutoHyphens/>
        <w:ind w:left="0" w:firstLine="0"/>
        <w:rPr>
          <w:color w:val="FF0000"/>
        </w:rPr>
      </w:pPr>
    </w:p>
    <w:p w14:paraId="1841DFC3" w14:textId="77777777" w:rsidR="00284BC4" w:rsidRPr="00284BC4" w:rsidRDefault="00875ED3" w:rsidP="00284BC4">
      <w:pPr>
        <w:pStyle w:val="tabimp025"/>
        <w:suppressAutoHyphens/>
        <w:ind w:left="0" w:firstLine="0"/>
        <w:rPr>
          <w:color w:val="FF0000"/>
        </w:rPr>
      </w:pPr>
      <w:r w:rsidRPr="00284BC4">
        <w:rPr>
          <w:color w:val="FF0000"/>
          <w:u w:val="single"/>
        </w:rPr>
        <w:t>( Prix de vente – les créanciers prioritaires ) X plus-value</w:t>
      </w:r>
      <w:r w:rsidR="00284BC4" w:rsidRPr="00284BC4">
        <w:rPr>
          <w:color w:val="FF0000"/>
        </w:rPr>
        <w:t xml:space="preserve"> </w:t>
      </w:r>
      <w:r w:rsidR="00284BC4" w:rsidRPr="00284BC4">
        <w:rPr>
          <w:color w:val="FF0000"/>
        </w:rPr>
        <w:t>= Plus-value relative</w:t>
      </w:r>
    </w:p>
    <w:p w14:paraId="7C8E8644" w14:textId="545C3BA7" w:rsidR="00284BC4" w:rsidRPr="00284BC4" w:rsidRDefault="00600DAD" w:rsidP="00EE43CB">
      <w:pPr>
        <w:pStyle w:val="tabimp025"/>
        <w:suppressAutoHyphens/>
        <w:ind w:left="0" w:firstLine="0"/>
        <w:rPr>
          <w:color w:val="FF0000"/>
        </w:rPr>
      </w:pPr>
      <w:r>
        <w:rPr>
          <w:color w:val="FF0000"/>
        </w:rPr>
        <w:tab/>
      </w:r>
      <w:r>
        <w:rPr>
          <w:color w:val="FF0000"/>
        </w:rPr>
        <w:tab/>
      </w:r>
      <w:r>
        <w:rPr>
          <w:color w:val="FF0000"/>
        </w:rPr>
        <w:tab/>
      </w:r>
      <w:r>
        <w:rPr>
          <w:color w:val="FF0000"/>
        </w:rPr>
        <w:tab/>
      </w:r>
      <w:r w:rsidR="00284BC4" w:rsidRPr="00284BC4">
        <w:rPr>
          <w:color w:val="FF0000"/>
        </w:rPr>
        <w:t>Valeur marchande</w:t>
      </w:r>
    </w:p>
    <w:p w14:paraId="7764DEAF" w14:textId="73BFC566" w:rsidR="00875ED3" w:rsidRDefault="00875ED3" w:rsidP="00EE43CB">
      <w:pPr>
        <w:pStyle w:val="tabimp025"/>
        <w:suppressAutoHyphens/>
        <w:ind w:left="0" w:firstLine="0"/>
      </w:pPr>
    </w:p>
    <w:p w14:paraId="1F04D491" w14:textId="26E1C138" w:rsidR="00875ED3" w:rsidRPr="00875ED3" w:rsidRDefault="00875ED3" w:rsidP="00EE43CB">
      <w:pPr>
        <w:pStyle w:val="tabimp025"/>
        <w:suppressAutoHyphens/>
        <w:ind w:left="0" w:firstLine="0"/>
        <w:rPr>
          <w:u w:val="single"/>
        </w:rPr>
      </w:pPr>
      <w:r w:rsidRPr="00875ED3">
        <w:rPr>
          <w:u w:val="single"/>
        </w:rPr>
        <w:t>589 000 $ - 9 000 $ X 450 000 $</w:t>
      </w:r>
      <w:r w:rsidRPr="00875ED3">
        <w:t xml:space="preserve"> = </w:t>
      </w:r>
      <w:r w:rsidRPr="00875ED3">
        <w:tab/>
      </w:r>
      <w:r>
        <w:t xml:space="preserve">435 000 $ </w:t>
      </w:r>
      <w:r w:rsidR="0028715F">
        <w:t>(art. 768 C.p.c.)</w:t>
      </w:r>
    </w:p>
    <w:p w14:paraId="6CF8414F" w14:textId="769B7C25" w:rsidR="00875ED3" w:rsidRDefault="00875ED3" w:rsidP="00EE43CB">
      <w:pPr>
        <w:pStyle w:val="tabimp025"/>
        <w:suppressAutoHyphens/>
        <w:ind w:left="0" w:firstLine="0"/>
      </w:pPr>
      <w:r>
        <w:tab/>
      </w:r>
      <w:r>
        <w:tab/>
      </w:r>
      <w:r>
        <w:tab/>
        <w:t>600 000 $</w:t>
      </w:r>
    </w:p>
    <w:p w14:paraId="25625818" w14:textId="77777777" w:rsidR="00875ED3" w:rsidRDefault="00875ED3" w:rsidP="00EE43CB">
      <w:pPr>
        <w:pStyle w:val="tabimp025"/>
        <w:suppressAutoHyphens/>
        <w:ind w:left="0" w:firstLine="0"/>
      </w:pPr>
    </w:p>
    <w:p w14:paraId="21B295B5" w14:textId="0A8225C2" w:rsidR="006F0373" w:rsidRDefault="006F0373" w:rsidP="00EE43CB">
      <w:pPr>
        <w:pStyle w:val="tabimp025"/>
        <w:suppressAutoHyphens/>
        <w:ind w:left="0" w:firstLine="0"/>
      </w:pPr>
      <w:r>
        <w:t>L’hypothèque légale de la construction confère un droit de préférence, mais uniquement sur la portion du produit de vente en justice représentant la plus-value (art. 2952 C.c.Q.)</w:t>
      </w:r>
    </w:p>
    <w:p w14:paraId="2504F95C" w14:textId="77777777" w:rsidR="00005CF2" w:rsidRDefault="00005CF2" w:rsidP="00EE43CB">
      <w:pPr>
        <w:pStyle w:val="tabimp025"/>
        <w:suppressAutoHyphens/>
        <w:ind w:left="0" w:firstLine="0"/>
      </w:pPr>
    </w:p>
    <w:p w14:paraId="0AACDD09" w14:textId="03BA6C0E" w:rsidR="00EE43CB" w:rsidRDefault="00CA0A8E" w:rsidP="0092143C">
      <w:pPr>
        <w:pStyle w:val="tabimp025"/>
        <w:suppressAutoHyphens/>
        <w:ind w:left="0" w:firstLine="0"/>
      </w:pPr>
      <w:r>
        <w:t xml:space="preserve">En concurrence par les </w:t>
      </w:r>
      <w:r w:rsidR="00D96DA2">
        <w:t>Bâtiments solides inc. et</w:t>
      </w:r>
      <w:r w:rsidR="00346E01">
        <w:t xml:space="preserve"> la</w:t>
      </w:r>
      <w:r w:rsidR="00D96DA2">
        <w:t xml:space="preserve"> Maçonnerie générale (art. 2952 C.c.Q.) pour la plus-value apporté</w:t>
      </w:r>
      <w:r w:rsidR="00BA059A">
        <w:t xml:space="preserve"> </w:t>
      </w:r>
      <w:r w:rsidR="00D96DA2">
        <w:t>à l’immeuble</w:t>
      </w:r>
      <w:r w:rsidR="00BA059A">
        <w:t>. Elles viennent en concurrence proportionnellement à la valeur de chacune des créances.</w:t>
      </w:r>
    </w:p>
    <w:p w14:paraId="21D015AD" w14:textId="77777777" w:rsidR="0092143C" w:rsidRDefault="0092143C" w:rsidP="0092143C">
      <w:pPr>
        <w:pStyle w:val="tabimp025"/>
        <w:suppressAutoHyphens/>
        <w:ind w:left="0" w:firstLine="0"/>
      </w:pPr>
    </w:p>
    <w:p w14:paraId="0613DFD9" w14:textId="60C25DF8" w:rsidR="00ED5D0C" w:rsidRDefault="00ED5D0C" w:rsidP="00ED5D0C">
      <w:pPr>
        <w:pStyle w:val="tabimp025"/>
        <w:suppressAutoHyphens/>
        <w:ind w:left="720" w:firstLine="0"/>
      </w:pPr>
      <w:r>
        <w:t>= Bâtiments solides inc.</w:t>
      </w:r>
      <w:r w:rsidR="00946124">
        <w:t> </w:t>
      </w:r>
      <w:r w:rsidR="00112D50">
        <w:t>(</w:t>
      </w:r>
      <w:r w:rsidR="00DE077E">
        <w:t xml:space="preserve">435 000 $ </w:t>
      </w:r>
      <w:r w:rsidR="00DE077E">
        <w:t xml:space="preserve">X </w:t>
      </w:r>
      <w:r w:rsidR="00112D50">
        <w:t xml:space="preserve">405 000 $ / 450 000 $) = </w:t>
      </w:r>
      <w:r>
        <w:t>391 500 $</w:t>
      </w:r>
    </w:p>
    <w:p w14:paraId="25319833" w14:textId="58A10040" w:rsidR="00112D50" w:rsidRDefault="00112D50" w:rsidP="00ED5D0C">
      <w:pPr>
        <w:pStyle w:val="tabimp025"/>
        <w:suppressAutoHyphens/>
        <w:ind w:left="720" w:firstLine="0"/>
      </w:pPr>
      <w:r>
        <w:t>= Maçonnerie générale (</w:t>
      </w:r>
      <w:r w:rsidR="00DE077E">
        <w:t xml:space="preserve">435 000 $ </w:t>
      </w:r>
      <w:r w:rsidR="00DE077E">
        <w:t xml:space="preserve">X </w:t>
      </w:r>
      <w:r w:rsidR="00933DA9">
        <w:t>45 000</w:t>
      </w:r>
      <w:r w:rsidR="0013485C">
        <w:t xml:space="preserve"> $ </w:t>
      </w:r>
      <w:r w:rsidR="00933DA9">
        <w:t>/ 450 000 $) = 43 500 $</w:t>
      </w:r>
    </w:p>
    <w:p w14:paraId="19C3E8BB" w14:textId="77777777" w:rsidR="00EC0BC8" w:rsidRDefault="00EC0BC8" w:rsidP="00EC0BC8">
      <w:pPr>
        <w:pStyle w:val="tabimp025"/>
        <w:suppressAutoHyphens/>
        <w:ind w:left="0" w:firstLine="0"/>
        <w:rPr>
          <w:color w:val="FF0000"/>
          <w:u w:val="single"/>
        </w:rPr>
      </w:pPr>
    </w:p>
    <w:p w14:paraId="78CACB4B" w14:textId="254F7BFF" w:rsidR="001418B2" w:rsidRPr="00AE20E5" w:rsidRDefault="001418B2" w:rsidP="00EC0BC8">
      <w:pPr>
        <w:pStyle w:val="tabimp025"/>
        <w:suppressAutoHyphens/>
        <w:ind w:left="0" w:firstLine="0"/>
        <w:rPr>
          <w:color w:val="FF0000"/>
        </w:rPr>
      </w:pPr>
      <w:r w:rsidRPr="00AE20E5">
        <w:rPr>
          <w:color w:val="FF0000"/>
          <w:u w:val="single"/>
        </w:rPr>
        <w:t>(plus-value relative X créance de chacun)</w:t>
      </w:r>
      <w:r w:rsidRPr="00AE20E5">
        <w:rPr>
          <w:color w:val="FF0000"/>
        </w:rPr>
        <w:tab/>
        <w:t xml:space="preserve">= Montant que l’on peut donner à chacun </w:t>
      </w:r>
    </w:p>
    <w:p w14:paraId="3FA970CA" w14:textId="049644DC" w:rsidR="001418B2" w:rsidRPr="00AE20E5" w:rsidRDefault="003753BB" w:rsidP="001418B2">
      <w:pPr>
        <w:pStyle w:val="tabimp025"/>
        <w:suppressAutoHyphens/>
        <w:ind w:left="0" w:firstLine="0"/>
        <w:rPr>
          <w:color w:val="FF0000"/>
        </w:rPr>
      </w:pPr>
      <w:r>
        <w:rPr>
          <w:color w:val="FF0000"/>
        </w:rPr>
        <w:tab/>
      </w:r>
      <w:r w:rsidR="001418B2" w:rsidRPr="00AE20E5">
        <w:rPr>
          <w:color w:val="FF0000"/>
        </w:rPr>
        <w:t>Total des créances construction</w:t>
      </w:r>
    </w:p>
    <w:p w14:paraId="0CDF5E76" w14:textId="46DC575A" w:rsidR="001418B2" w:rsidRDefault="001418B2" w:rsidP="001418B2">
      <w:pPr>
        <w:pStyle w:val="tabimp025"/>
        <w:suppressAutoHyphens/>
        <w:ind w:left="0" w:firstLine="0"/>
      </w:pPr>
    </w:p>
    <w:p w14:paraId="15C8B9E6" w14:textId="77777777" w:rsidR="0092143C" w:rsidRDefault="0092143C" w:rsidP="0092143C">
      <w:pPr>
        <w:pStyle w:val="tabimp025"/>
        <w:suppressAutoHyphens/>
        <w:ind w:left="0" w:firstLine="0"/>
      </w:pPr>
      <w:r>
        <w:t xml:space="preserve">Alors le produit de vente en justice sera distribué ainsi : </w:t>
      </w:r>
    </w:p>
    <w:p w14:paraId="0E0FF8CE" w14:textId="54B060C3" w:rsidR="0092143C" w:rsidRDefault="0092143C" w:rsidP="0092143C">
      <w:pPr>
        <w:pStyle w:val="tabimp025"/>
        <w:numPr>
          <w:ilvl w:val="0"/>
          <w:numId w:val="8"/>
        </w:numPr>
        <w:suppressAutoHyphens/>
      </w:pPr>
      <w:r>
        <w:t>Bâtiment = 391 500$$</w:t>
      </w:r>
    </w:p>
    <w:p w14:paraId="18DAFC0C" w14:textId="5759DDC1" w:rsidR="0092143C" w:rsidRDefault="0092143C" w:rsidP="0092143C">
      <w:pPr>
        <w:pStyle w:val="tabimp025"/>
        <w:numPr>
          <w:ilvl w:val="0"/>
          <w:numId w:val="8"/>
        </w:numPr>
        <w:suppressAutoHyphens/>
      </w:pPr>
      <w:r>
        <w:t>Maçonnerie = 43 500 $</w:t>
      </w:r>
    </w:p>
    <w:p w14:paraId="53031277" w14:textId="1EDF2850" w:rsidR="00AC7AF8" w:rsidRPr="00AC7AF8" w:rsidRDefault="007940E4" w:rsidP="00C93EFD">
      <w:pPr>
        <w:pStyle w:val="tabimp025"/>
        <w:numPr>
          <w:ilvl w:val="0"/>
          <w:numId w:val="8"/>
        </w:numPr>
        <w:suppressAutoHyphens/>
      </w:pPr>
      <w:r>
        <w:t xml:space="preserve">L’hypothèque immobilière conventionnelle = 145 000 $ </w:t>
      </w:r>
    </w:p>
    <w:p w14:paraId="3518265E" w14:textId="77777777" w:rsidR="00794C19" w:rsidRPr="00AC7AF8" w:rsidRDefault="00794C19" w:rsidP="00794C19">
      <w:pPr>
        <w:pStyle w:val="tabimp025"/>
        <w:suppressAutoHyphens/>
      </w:pPr>
    </w:p>
    <w:p w14:paraId="7A84B0A6" w14:textId="557DDB39" w:rsidR="00794C19" w:rsidRPr="00D078C9" w:rsidRDefault="00794C19" w:rsidP="00794C19">
      <w:pPr>
        <w:pStyle w:val="tabimp025"/>
        <w:keepNext/>
        <w:suppressAutoHyphens/>
        <w:rPr>
          <w:b/>
          <w:bCs/>
        </w:rPr>
      </w:pPr>
      <w:r w:rsidRPr="00D078C9">
        <w:rPr>
          <w:b/>
          <w:bCs/>
        </w:rPr>
        <w:t>5.</w:t>
      </w:r>
      <w:r w:rsidRPr="00D078C9">
        <w:rPr>
          <w:b/>
          <w:bCs/>
        </w:rPr>
        <w:tab/>
        <w:t>En tenant pour acquis que le solde de la créance dû à la Caisse populaire de Longueuil par Investissements québécois inc. est de 1</w:t>
      </w:r>
      <w:r w:rsidR="009F4832">
        <w:rPr>
          <w:b/>
          <w:bCs/>
        </w:rPr>
        <w:t>5</w:t>
      </w:r>
      <w:r w:rsidRPr="00D078C9">
        <w:rPr>
          <w:b/>
          <w:bCs/>
        </w:rPr>
        <w:t>0 000 $, pourrez-vous percevoir</w:t>
      </w:r>
      <w:r w:rsidR="009F4832">
        <w:rPr>
          <w:b/>
          <w:bCs/>
        </w:rPr>
        <w:t xml:space="preserve"> de la débitrice ou de la cau</w:t>
      </w:r>
      <w:r w:rsidR="006464E5">
        <w:rPr>
          <w:b/>
          <w:bCs/>
        </w:rPr>
        <w:t>t</w:t>
      </w:r>
      <w:r w:rsidR="009F4832">
        <w:rPr>
          <w:b/>
          <w:bCs/>
        </w:rPr>
        <w:t>ion</w:t>
      </w:r>
      <w:r w:rsidRPr="00D078C9">
        <w:rPr>
          <w:b/>
          <w:bCs/>
        </w:rPr>
        <w:t xml:space="preserve"> le solde dû à votre cliente après la distribution, si elle n’a pas reçu le montant complet de sa créance? Motivez votre réponse.</w:t>
      </w:r>
    </w:p>
    <w:p w14:paraId="4F79BB9A" w14:textId="77777777" w:rsidR="00417F4A" w:rsidRPr="00D078C9" w:rsidRDefault="00417F4A" w:rsidP="0072709D">
      <w:pPr>
        <w:pStyle w:val="tabimp025"/>
        <w:tabs>
          <w:tab w:val="clear" w:pos="360"/>
        </w:tabs>
        <w:suppressAutoHyphens/>
        <w:ind w:left="0" w:firstLine="0"/>
        <w:rPr>
          <w:b/>
          <w:bCs/>
        </w:rPr>
      </w:pPr>
    </w:p>
    <w:p w14:paraId="696E7591" w14:textId="304D0D64" w:rsidR="00196AA2" w:rsidRDefault="00A915AF" w:rsidP="00196AA2">
      <w:pPr>
        <w:suppressAutoHyphens/>
        <w:rPr>
          <w:rFonts w:ascii="Times New Roman" w:hAnsi="Times New Roman"/>
        </w:rPr>
      </w:pPr>
      <w:r>
        <w:rPr>
          <w:rFonts w:ascii="Times New Roman" w:hAnsi="Times New Roman"/>
        </w:rPr>
        <w:t xml:space="preserve">Non, </w:t>
      </w:r>
      <w:r w:rsidR="00F465D2">
        <w:rPr>
          <w:rFonts w:ascii="Times New Roman" w:hAnsi="Times New Roman"/>
        </w:rPr>
        <w:t xml:space="preserve">un créancier prioritaire qui acquiert le bien suivant une vente sous contrôle de justice, le débiteur est libéré de sa dette jusqu’à concurrence de la valeur marchande du bien </w:t>
      </w:r>
      <w:r w:rsidR="00196AA2">
        <w:rPr>
          <w:rFonts w:ascii="Times New Roman" w:hAnsi="Times New Roman"/>
        </w:rPr>
        <w:t>(art. 1695 C.c.Q.)</w:t>
      </w:r>
      <w:r w:rsidR="00F465D2">
        <w:rPr>
          <w:rFonts w:ascii="Times New Roman" w:hAnsi="Times New Roman"/>
        </w:rPr>
        <w:t xml:space="preserve">. On l’a </w:t>
      </w:r>
      <w:r w:rsidR="001843B9">
        <w:rPr>
          <w:rFonts w:ascii="Times New Roman" w:hAnsi="Times New Roman"/>
        </w:rPr>
        <w:t>acheté</w:t>
      </w:r>
      <w:r w:rsidR="00F465D2">
        <w:rPr>
          <w:rFonts w:ascii="Times New Roman" w:hAnsi="Times New Roman"/>
        </w:rPr>
        <w:t xml:space="preserve"> </w:t>
      </w:r>
      <w:r w:rsidR="00F015C1">
        <w:rPr>
          <w:rFonts w:ascii="Times New Roman" w:hAnsi="Times New Roman"/>
        </w:rPr>
        <w:t>600</w:t>
      </w:r>
      <w:r w:rsidR="00F465D2">
        <w:rPr>
          <w:rFonts w:ascii="Times New Roman" w:hAnsi="Times New Roman"/>
        </w:rPr>
        <w:t xml:space="preserve"> 000 $ </w:t>
      </w:r>
      <w:r w:rsidR="001843B9">
        <w:rPr>
          <w:rFonts w:ascii="Times New Roman" w:hAnsi="Times New Roman"/>
        </w:rPr>
        <w:t>- 9 000 $ - 43 500 $ - 391 500 $ = 156 000 $. Donc, il est libéré</w:t>
      </w:r>
      <w:r w:rsidR="00F015C1">
        <w:rPr>
          <w:rFonts w:ascii="Times New Roman" w:hAnsi="Times New Roman"/>
        </w:rPr>
        <w:t xml:space="preserve"> de sa dette</w:t>
      </w:r>
      <w:r w:rsidR="001843B9">
        <w:rPr>
          <w:rFonts w:ascii="Times New Roman" w:hAnsi="Times New Roman"/>
        </w:rPr>
        <w:t xml:space="preserve"> jusqu’à concurrence d’une 1</w:t>
      </w:r>
      <w:r w:rsidR="00F015C1">
        <w:rPr>
          <w:rFonts w:ascii="Times New Roman" w:hAnsi="Times New Roman"/>
        </w:rPr>
        <w:t>45</w:t>
      </w:r>
      <w:r w:rsidR="001843B9">
        <w:rPr>
          <w:rFonts w:ascii="Times New Roman" w:hAnsi="Times New Roman"/>
        </w:rPr>
        <w:t> 000 $</w:t>
      </w:r>
      <w:r w:rsidR="004A0FDA">
        <w:rPr>
          <w:rFonts w:ascii="Times New Roman" w:hAnsi="Times New Roman"/>
        </w:rPr>
        <w:t xml:space="preserve">. </w:t>
      </w:r>
    </w:p>
    <w:p w14:paraId="1113C5EC" w14:textId="3E9CAC2D" w:rsidR="00F015C1" w:rsidRDefault="00F015C1" w:rsidP="00196AA2">
      <w:pPr>
        <w:suppressAutoHyphens/>
        <w:rPr>
          <w:rFonts w:ascii="Times New Roman" w:hAnsi="Times New Roman"/>
        </w:rPr>
      </w:pPr>
    </w:p>
    <w:p w14:paraId="1B861217" w14:textId="5E72169C" w:rsidR="00F015C1" w:rsidRDefault="00F015C1" w:rsidP="00196AA2">
      <w:pPr>
        <w:suppressAutoHyphens/>
        <w:rPr>
          <w:rFonts w:ascii="Times New Roman" w:hAnsi="Times New Roman"/>
        </w:rPr>
      </w:pPr>
      <w:r>
        <w:rPr>
          <w:rFonts w:ascii="Times New Roman" w:hAnsi="Times New Roman"/>
        </w:rPr>
        <w:t xml:space="preserve">La caution tombe puisque </w:t>
      </w:r>
      <w:r w:rsidR="000F6837">
        <w:rPr>
          <w:rFonts w:ascii="Times New Roman" w:hAnsi="Times New Roman"/>
        </w:rPr>
        <w:t xml:space="preserve">la libération du débiteur principal entraine la libération de ses cautions et de ses autres garants </w:t>
      </w:r>
      <w:r>
        <w:rPr>
          <w:rFonts w:ascii="Times New Roman" w:hAnsi="Times New Roman"/>
        </w:rPr>
        <w:t>(art. 1698 C.c.Q.)</w:t>
      </w:r>
      <w:r w:rsidR="000F6837">
        <w:rPr>
          <w:rFonts w:ascii="Times New Roman" w:hAnsi="Times New Roman"/>
        </w:rPr>
        <w:t xml:space="preserve">. </w:t>
      </w:r>
    </w:p>
    <w:p w14:paraId="59DA4A91" w14:textId="266B8C19" w:rsidR="000F6837" w:rsidRDefault="000F6837" w:rsidP="00196AA2">
      <w:pPr>
        <w:suppressAutoHyphens/>
        <w:rPr>
          <w:rFonts w:ascii="Times New Roman" w:hAnsi="Times New Roman"/>
        </w:rPr>
      </w:pPr>
    </w:p>
    <w:p w14:paraId="06EA5262" w14:textId="66319417" w:rsidR="000F6837" w:rsidRPr="00D078C9" w:rsidRDefault="000F6837" w:rsidP="00196AA2">
      <w:pPr>
        <w:suppressAutoHyphens/>
        <w:rPr>
          <w:rFonts w:ascii="Times New Roman" w:hAnsi="Times New Roman"/>
        </w:rPr>
      </w:pPr>
      <w:r>
        <w:rPr>
          <w:rFonts w:ascii="Times New Roman" w:hAnsi="Times New Roman"/>
        </w:rPr>
        <w:t>Le débiteur a donc le droit d’obtenir une quittance (art. 1697 C.c.Q.).</w:t>
      </w:r>
    </w:p>
    <w:p w14:paraId="4720BCCF" w14:textId="4DF83168" w:rsidR="000F6837" w:rsidRDefault="000F6837" w:rsidP="0072709D">
      <w:pPr>
        <w:suppressAutoHyphens/>
        <w:rPr>
          <w:rFonts w:ascii="Times New Roman" w:hAnsi="Times New Roman"/>
        </w:rPr>
      </w:pPr>
    </w:p>
    <w:p w14:paraId="458C4550" w14:textId="47711AB2" w:rsidR="000F6837" w:rsidRPr="000F6837" w:rsidRDefault="000F6837" w:rsidP="000F6837">
      <w:pPr>
        <w:pStyle w:val="Paragraphedeliste"/>
        <w:numPr>
          <w:ilvl w:val="0"/>
          <w:numId w:val="9"/>
        </w:numPr>
        <w:suppressAutoHyphens/>
        <w:rPr>
          <w:rFonts w:ascii="Times New Roman" w:hAnsi="Times New Roman"/>
        </w:rPr>
      </w:pPr>
      <w:r>
        <w:rPr>
          <w:rFonts w:ascii="Times New Roman" w:hAnsi="Times New Roman"/>
        </w:rPr>
        <w:t>Commentaire : s’il n’y avait pas cette exception l’art. 2748 C.c.Q. ce serait appliquer.</w:t>
      </w:r>
    </w:p>
    <w:sectPr w:rsidR="000F6837" w:rsidRPr="000F6837" w:rsidSect="00207068">
      <w:footerReference w:type="even" r:id="rId7"/>
      <w:footerReference w:type="default" r:id="rId8"/>
      <w:pgSz w:w="12240" w:h="15840" w:code="1"/>
      <w:pgMar w:top="1080" w:right="1440" w:bottom="1080" w:left="1440" w:header="720" w:footer="288" w:gutter="0"/>
      <w:pgNumType w:start="1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161D6" w14:textId="77777777" w:rsidR="00ED3B99" w:rsidRDefault="00ED3B99">
      <w:r>
        <w:separator/>
      </w:r>
    </w:p>
  </w:endnote>
  <w:endnote w:type="continuationSeparator" w:id="0">
    <w:p w14:paraId="3DDC56AB" w14:textId="77777777" w:rsidR="00ED3B99" w:rsidRDefault="00ED3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LT Std">
    <w:panose1 w:val="00000500000000020000"/>
    <w:charset w:val="00"/>
    <w:family w:val="auto"/>
    <w:pitch w:val="variable"/>
    <w:sig w:usb0="E00002FF" w:usb1="5000205A"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Microsoft New Tai Lue">
    <w:panose1 w:val="020B0502040204020203"/>
    <w:charset w:val="00"/>
    <w:family w:val="swiss"/>
    <w:pitch w:val="variable"/>
    <w:sig w:usb0="00000003" w:usb1="00000000" w:usb2="8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450" w:type="dxa"/>
      <w:tblCellMar>
        <w:left w:w="70" w:type="dxa"/>
        <w:right w:w="70" w:type="dxa"/>
      </w:tblCellMar>
      <w:tblLook w:val="0000" w:firstRow="0" w:lastRow="0" w:firstColumn="0" w:lastColumn="0" w:noHBand="0" w:noVBand="0"/>
    </w:tblPr>
    <w:tblGrid>
      <w:gridCol w:w="443"/>
      <w:gridCol w:w="1041"/>
      <w:gridCol w:w="8596"/>
    </w:tblGrid>
    <w:tr w:rsidR="001A7044" w:rsidRPr="006A4455" w14:paraId="1B0FC38D" w14:textId="77777777" w:rsidTr="0093472E">
      <w:trPr>
        <w:cantSplit/>
        <w:trHeight w:val="533"/>
      </w:trPr>
      <w:tc>
        <w:tcPr>
          <w:tcW w:w="443" w:type="dxa"/>
          <w:tcBorders>
            <w:top w:val="single" w:sz="4" w:space="0" w:color="auto"/>
          </w:tcBorders>
          <w:vAlign w:val="center"/>
        </w:tcPr>
        <w:p w14:paraId="6E0C2B5B" w14:textId="77777777" w:rsidR="001A7044" w:rsidRPr="006A4455" w:rsidRDefault="001A7044">
          <w:pPr>
            <w:pStyle w:val="Pieddepage"/>
            <w:spacing w:before="40" w:after="40" w:line="100" w:lineRule="exact"/>
            <w:jc w:val="center"/>
            <w:rPr>
              <w:rFonts w:ascii="Times New Roman" w:hAnsi="Times New Roman"/>
              <w:b/>
              <w:bCs/>
              <w:i/>
              <w:iCs/>
              <w:sz w:val="8"/>
            </w:rPr>
          </w:pPr>
        </w:p>
      </w:tc>
      <w:tc>
        <w:tcPr>
          <w:tcW w:w="1041" w:type="dxa"/>
          <w:tcBorders>
            <w:top w:val="single" w:sz="4" w:space="0" w:color="auto"/>
            <w:left w:val="nil"/>
          </w:tcBorders>
          <w:tcMar>
            <w:left w:w="216" w:type="dxa"/>
          </w:tcMar>
        </w:tcPr>
        <w:p w14:paraId="63E83273" w14:textId="23BA208C" w:rsidR="001A7044" w:rsidRPr="006A4455" w:rsidRDefault="001A7044">
          <w:pPr>
            <w:spacing w:before="120"/>
            <w:jc w:val="lef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207068">
            <w:rPr>
              <w:rStyle w:val="Numrodepage"/>
              <w:rFonts w:ascii="Times New Roman" w:hAnsi="Times New Roman"/>
              <w:b/>
              <w:bCs/>
              <w:noProof/>
            </w:rPr>
            <w:t>18</w:t>
          </w:r>
          <w:r w:rsidRPr="00D078C9">
            <w:rPr>
              <w:rStyle w:val="Numrodepage"/>
              <w:rFonts w:ascii="Times New Roman" w:hAnsi="Times New Roman"/>
              <w:b/>
              <w:bCs/>
            </w:rPr>
            <w:fldChar w:fldCharType="end"/>
          </w:r>
        </w:p>
      </w:tc>
      <w:tc>
        <w:tcPr>
          <w:tcW w:w="8596" w:type="dxa"/>
          <w:tcBorders>
            <w:top w:val="single" w:sz="4" w:space="0" w:color="auto"/>
          </w:tcBorders>
        </w:tcPr>
        <w:p w14:paraId="5DE4514C" w14:textId="77777777" w:rsidR="001A7044" w:rsidRPr="00D078C9" w:rsidRDefault="001A7044" w:rsidP="00DE4E36">
          <w:pPr>
            <w:spacing w:before="120"/>
            <w:jc w:val="right"/>
            <w:rPr>
              <w:rFonts w:ascii="Times New Roman" w:hAnsi="Times New Roman"/>
              <w:b/>
              <w:bCs/>
              <w:sz w:val="20"/>
            </w:rPr>
          </w:pPr>
          <w:r>
            <w:rPr>
              <w:rFonts w:ascii="Times New Roman" w:hAnsi="Times New Roman"/>
              <w:b/>
              <w:bCs/>
              <w:sz w:val="20"/>
            </w:rPr>
            <w:t>2022-2023</w:t>
          </w:r>
        </w:p>
      </w:tc>
    </w:tr>
  </w:tbl>
  <w:p w14:paraId="46CDC420" w14:textId="77777777" w:rsidR="001A7044" w:rsidRPr="00D078C9" w:rsidRDefault="001A7044">
    <w:pPr>
      <w:pStyle w:val="Pieddepage"/>
      <w:rPr>
        <w:rFonts w:ascii="Times New Roman" w:hAnsi="Times New Roman"/>
        <w:sz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80" w:type="dxa"/>
      <w:tblInd w:w="-36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8562"/>
      <w:gridCol w:w="1075"/>
      <w:gridCol w:w="443"/>
    </w:tblGrid>
    <w:tr w:rsidR="001A7044" w:rsidRPr="006A4455" w14:paraId="4CBE9139" w14:textId="77777777" w:rsidTr="0093472E">
      <w:trPr>
        <w:trHeight w:val="526"/>
      </w:trPr>
      <w:tc>
        <w:tcPr>
          <w:tcW w:w="8562" w:type="dxa"/>
          <w:tcMar>
            <w:left w:w="29" w:type="dxa"/>
          </w:tcMar>
        </w:tcPr>
        <w:p w14:paraId="4C4B5BC6" w14:textId="77777777" w:rsidR="001A7044" w:rsidRPr="006A4455" w:rsidRDefault="001A7044" w:rsidP="00DE4E36">
          <w:pPr>
            <w:pStyle w:val="Pieddepage"/>
            <w:spacing w:before="120"/>
            <w:rPr>
              <w:rFonts w:ascii="Times New Roman" w:hAnsi="Times New Roman"/>
              <w:b/>
              <w:bCs/>
              <w:sz w:val="20"/>
            </w:rPr>
          </w:pPr>
          <w:r>
            <w:rPr>
              <w:rFonts w:ascii="Times New Roman" w:hAnsi="Times New Roman"/>
              <w:b/>
              <w:bCs/>
              <w:sz w:val="20"/>
            </w:rPr>
            <w:t>2022-2023</w:t>
          </w:r>
        </w:p>
      </w:tc>
      <w:tc>
        <w:tcPr>
          <w:tcW w:w="1075" w:type="dxa"/>
          <w:tcBorders>
            <w:right w:val="nil"/>
          </w:tcBorders>
          <w:tcMar>
            <w:right w:w="216" w:type="dxa"/>
          </w:tcMar>
        </w:tcPr>
        <w:p w14:paraId="020C9034" w14:textId="4CFB6A44" w:rsidR="001A7044" w:rsidRPr="006A4455" w:rsidRDefault="001A7044">
          <w:pPr>
            <w:pStyle w:val="Pieddepage"/>
            <w:spacing w:before="120"/>
            <w:jc w:val="right"/>
            <w:rPr>
              <w:rFonts w:ascii="Times New Roman" w:hAnsi="Times New Roman"/>
              <w:b/>
              <w:bCs/>
            </w:rPr>
          </w:pPr>
          <w:r>
            <w:rPr>
              <w:rFonts w:ascii="Times New Roman" w:hAnsi="Times New Roman"/>
              <w:b/>
              <w:bCs/>
            </w:rPr>
            <w:t>45</w:t>
          </w:r>
          <w:r w:rsidRPr="00D078C9">
            <w:rPr>
              <w:rFonts w:ascii="Times New Roman" w:hAnsi="Times New Roman"/>
              <w:b/>
              <w:bCs/>
            </w:rPr>
            <w:t>:</w:t>
          </w:r>
          <w:r w:rsidRPr="00D078C9">
            <w:rPr>
              <w:rStyle w:val="Numrodepage"/>
              <w:rFonts w:ascii="Times New Roman" w:hAnsi="Times New Roman"/>
              <w:b/>
              <w:bCs/>
            </w:rPr>
            <w:fldChar w:fldCharType="begin"/>
          </w:r>
          <w:r w:rsidRPr="00D078C9">
            <w:rPr>
              <w:rStyle w:val="Numrodepage"/>
              <w:rFonts w:ascii="Times New Roman" w:hAnsi="Times New Roman"/>
              <w:b/>
              <w:bCs/>
            </w:rPr>
            <w:instrText xml:space="preserve"> PAGE </w:instrText>
          </w:r>
          <w:r w:rsidRPr="00D078C9">
            <w:rPr>
              <w:rStyle w:val="Numrodepage"/>
              <w:rFonts w:ascii="Times New Roman" w:hAnsi="Times New Roman"/>
              <w:b/>
              <w:bCs/>
            </w:rPr>
            <w:fldChar w:fldCharType="separate"/>
          </w:r>
          <w:r w:rsidR="00207068">
            <w:rPr>
              <w:rStyle w:val="Numrodepage"/>
              <w:rFonts w:ascii="Times New Roman" w:hAnsi="Times New Roman"/>
              <w:b/>
              <w:bCs/>
              <w:noProof/>
            </w:rPr>
            <w:t>19</w:t>
          </w:r>
          <w:r w:rsidRPr="00D078C9">
            <w:rPr>
              <w:rStyle w:val="Numrodepage"/>
              <w:rFonts w:ascii="Times New Roman" w:hAnsi="Times New Roman"/>
              <w:b/>
              <w:bCs/>
            </w:rPr>
            <w:fldChar w:fldCharType="end"/>
          </w:r>
        </w:p>
      </w:tc>
      <w:tc>
        <w:tcPr>
          <w:tcW w:w="443" w:type="dxa"/>
          <w:tcBorders>
            <w:top w:val="single" w:sz="4" w:space="0" w:color="auto"/>
            <w:left w:val="nil"/>
            <w:bottom w:val="nil"/>
            <w:right w:val="nil"/>
          </w:tcBorders>
          <w:vAlign w:val="center"/>
        </w:tcPr>
        <w:p w14:paraId="3704C321" w14:textId="77777777" w:rsidR="001A7044" w:rsidRPr="00D078C9" w:rsidRDefault="001A7044" w:rsidP="00E85BCE">
          <w:pPr>
            <w:pStyle w:val="Pieddepage"/>
            <w:spacing w:before="40" w:after="40" w:line="100" w:lineRule="exact"/>
            <w:jc w:val="center"/>
            <w:rPr>
              <w:rFonts w:ascii="Times New Roman" w:hAnsi="Times New Roman"/>
              <w:b/>
              <w:bCs/>
              <w:i/>
              <w:iCs/>
              <w:sz w:val="8"/>
            </w:rPr>
          </w:pPr>
        </w:p>
      </w:tc>
    </w:tr>
  </w:tbl>
  <w:p w14:paraId="45D60615" w14:textId="77777777" w:rsidR="001A7044" w:rsidRPr="00D078C9" w:rsidRDefault="001A7044">
    <w:pPr>
      <w:pStyle w:val="Pieddepage"/>
      <w:rPr>
        <w:rFonts w:ascii="Times New Roman" w:hAnsi="Times New Roman"/>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9E63E" w14:textId="77777777" w:rsidR="00ED3B99" w:rsidRPr="00C619B8" w:rsidRDefault="00ED3B99">
      <w:r w:rsidRPr="00C619B8">
        <w:separator/>
      </w:r>
    </w:p>
  </w:footnote>
  <w:footnote w:type="continuationSeparator" w:id="0">
    <w:p w14:paraId="01E0D420" w14:textId="77777777" w:rsidR="00ED3B99" w:rsidRDefault="00ED3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80819"/>
    <w:multiLevelType w:val="singleLevel"/>
    <w:tmpl w:val="0C0C000F"/>
    <w:lvl w:ilvl="0">
      <w:start w:val="1"/>
      <w:numFmt w:val="decimal"/>
      <w:lvlText w:val="%1."/>
      <w:lvlJc w:val="left"/>
      <w:pPr>
        <w:tabs>
          <w:tab w:val="num" w:pos="360"/>
        </w:tabs>
        <w:ind w:left="360" w:hanging="360"/>
      </w:pPr>
      <w:rPr>
        <w:rFonts w:hint="default"/>
      </w:rPr>
    </w:lvl>
  </w:abstractNum>
  <w:abstractNum w:abstractNumId="1" w15:restartNumberingAfterBreak="0">
    <w:nsid w:val="1762480A"/>
    <w:multiLevelType w:val="hybridMultilevel"/>
    <w:tmpl w:val="75A4726E"/>
    <w:lvl w:ilvl="0" w:tplc="93A6E5D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B7A4370"/>
    <w:multiLevelType w:val="hybridMultilevel"/>
    <w:tmpl w:val="B7A0E52A"/>
    <w:lvl w:ilvl="0" w:tplc="A74A68B8">
      <w:start w:val="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6576EBB"/>
    <w:multiLevelType w:val="hybridMultilevel"/>
    <w:tmpl w:val="7D2C7D2C"/>
    <w:lvl w:ilvl="0" w:tplc="0C0C000F">
      <w:start w:val="5"/>
      <w:numFmt w:val="decimal"/>
      <w:lvlText w:val="%1."/>
      <w:lvlJc w:val="left"/>
      <w:pPr>
        <w:tabs>
          <w:tab w:val="num" w:pos="720"/>
        </w:tabs>
        <w:ind w:left="720" w:hanging="36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4" w15:restartNumberingAfterBreak="0">
    <w:nsid w:val="499C3736"/>
    <w:multiLevelType w:val="hybridMultilevel"/>
    <w:tmpl w:val="EF4E44BE"/>
    <w:lvl w:ilvl="0" w:tplc="F5847D62">
      <w:start w:val="5"/>
      <w:numFmt w:val="decimal"/>
      <w:lvlText w:val="%1."/>
      <w:lvlJc w:val="left"/>
      <w:pPr>
        <w:tabs>
          <w:tab w:val="num" w:pos="720"/>
        </w:tabs>
        <w:ind w:left="720" w:hanging="360"/>
      </w:pPr>
      <w:rPr>
        <w:rFonts w:hint="default"/>
        <w:b/>
      </w:rPr>
    </w:lvl>
    <w:lvl w:ilvl="1" w:tplc="8174C854">
      <w:start w:val="1"/>
      <w:numFmt w:val="lowerLetter"/>
      <w:lvlText w:val="%2)"/>
      <w:lvlJc w:val="left"/>
      <w:pPr>
        <w:tabs>
          <w:tab w:val="num" w:pos="1440"/>
        </w:tabs>
        <w:ind w:left="1440" w:hanging="360"/>
      </w:pPr>
      <w:rPr>
        <w:rFonts w:hint="default"/>
      </w:r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5" w15:restartNumberingAfterBreak="0">
    <w:nsid w:val="53703132"/>
    <w:multiLevelType w:val="hybridMultilevel"/>
    <w:tmpl w:val="0FC8B8AE"/>
    <w:lvl w:ilvl="0" w:tplc="0C0C0007">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B440DC7"/>
    <w:multiLevelType w:val="hybridMultilevel"/>
    <w:tmpl w:val="348AF4DC"/>
    <w:lvl w:ilvl="0" w:tplc="93A6E5D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15:restartNumberingAfterBreak="0">
    <w:nsid w:val="5F6B63A6"/>
    <w:multiLevelType w:val="singleLevel"/>
    <w:tmpl w:val="6890E4C4"/>
    <w:lvl w:ilvl="0">
      <w:start w:val="1"/>
      <w:numFmt w:val="lowerLetter"/>
      <w:lvlText w:val="%1)"/>
      <w:lvlJc w:val="left"/>
      <w:pPr>
        <w:tabs>
          <w:tab w:val="num" w:pos="720"/>
        </w:tabs>
        <w:ind w:left="720" w:hanging="360"/>
      </w:pPr>
      <w:rPr>
        <w:rFonts w:hint="default"/>
      </w:rPr>
    </w:lvl>
  </w:abstractNum>
  <w:abstractNum w:abstractNumId="8" w15:restartNumberingAfterBreak="0">
    <w:nsid w:val="60295952"/>
    <w:multiLevelType w:val="hybridMultilevel"/>
    <w:tmpl w:val="C494DF0E"/>
    <w:lvl w:ilvl="0" w:tplc="8FDA05F4">
      <w:start w:val="30"/>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74984234">
    <w:abstractNumId w:val="0"/>
  </w:num>
  <w:num w:numId="2" w16cid:durableId="984240111">
    <w:abstractNumId w:val="7"/>
  </w:num>
  <w:num w:numId="3" w16cid:durableId="1589463691">
    <w:abstractNumId w:val="4"/>
  </w:num>
  <w:num w:numId="4" w16cid:durableId="2042515009">
    <w:abstractNumId w:val="5"/>
  </w:num>
  <w:num w:numId="5" w16cid:durableId="1117018983">
    <w:abstractNumId w:val="3"/>
  </w:num>
  <w:num w:numId="6" w16cid:durableId="1689018449">
    <w:abstractNumId w:val="8"/>
  </w:num>
  <w:num w:numId="7" w16cid:durableId="851913935">
    <w:abstractNumId w:val="1"/>
  </w:num>
  <w:num w:numId="8" w16cid:durableId="1069424545">
    <w:abstractNumId w:val="6"/>
  </w:num>
  <w:num w:numId="9" w16cid:durableId="335109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mirrorMargins/>
  <w:proofState w:spelling="clean" w:grammar="clean"/>
  <w:defaultTabStop w:val="706"/>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282"/>
    <w:rsid w:val="0000500F"/>
    <w:rsid w:val="000052B9"/>
    <w:rsid w:val="00005CF2"/>
    <w:rsid w:val="00016716"/>
    <w:rsid w:val="00026450"/>
    <w:rsid w:val="0003375C"/>
    <w:rsid w:val="00044838"/>
    <w:rsid w:val="00047643"/>
    <w:rsid w:val="000711B0"/>
    <w:rsid w:val="00090DDF"/>
    <w:rsid w:val="000B21D6"/>
    <w:rsid w:val="000B7013"/>
    <w:rsid w:val="000B7895"/>
    <w:rsid w:val="000C6883"/>
    <w:rsid w:val="000C6FB4"/>
    <w:rsid w:val="000D52BF"/>
    <w:rsid w:val="000E4306"/>
    <w:rsid w:val="000E686A"/>
    <w:rsid w:val="000F6837"/>
    <w:rsid w:val="00112D50"/>
    <w:rsid w:val="0013485C"/>
    <w:rsid w:val="001418B2"/>
    <w:rsid w:val="001509BF"/>
    <w:rsid w:val="00181282"/>
    <w:rsid w:val="001843B9"/>
    <w:rsid w:val="00196AA2"/>
    <w:rsid w:val="001A7044"/>
    <w:rsid w:val="001D66B5"/>
    <w:rsid w:val="001D7E3F"/>
    <w:rsid w:val="00204DB3"/>
    <w:rsid w:val="00207068"/>
    <w:rsid w:val="00216D24"/>
    <w:rsid w:val="002522B5"/>
    <w:rsid w:val="00254822"/>
    <w:rsid w:val="002715D8"/>
    <w:rsid w:val="00284BC4"/>
    <w:rsid w:val="0028715F"/>
    <w:rsid w:val="0029202F"/>
    <w:rsid w:val="002B2295"/>
    <w:rsid w:val="002D243D"/>
    <w:rsid w:val="0030456C"/>
    <w:rsid w:val="00317C68"/>
    <w:rsid w:val="00325F16"/>
    <w:rsid w:val="00346E01"/>
    <w:rsid w:val="0035660E"/>
    <w:rsid w:val="00372ACA"/>
    <w:rsid w:val="003753BB"/>
    <w:rsid w:val="00396CE0"/>
    <w:rsid w:val="003B6BDA"/>
    <w:rsid w:val="003B70DE"/>
    <w:rsid w:val="003B7111"/>
    <w:rsid w:val="003C5872"/>
    <w:rsid w:val="003E5DEE"/>
    <w:rsid w:val="004028B4"/>
    <w:rsid w:val="00402E73"/>
    <w:rsid w:val="0041200A"/>
    <w:rsid w:val="00412098"/>
    <w:rsid w:val="00417F4A"/>
    <w:rsid w:val="004316BA"/>
    <w:rsid w:val="0043279B"/>
    <w:rsid w:val="004355BE"/>
    <w:rsid w:val="004461A0"/>
    <w:rsid w:val="004512FB"/>
    <w:rsid w:val="00452D4E"/>
    <w:rsid w:val="004709A1"/>
    <w:rsid w:val="00473E8B"/>
    <w:rsid w:val="004A0FDA"/>
    <w:rsid w:val="004A66D4"/>
    <w:rsid w:val="004B4990"/>
    <w:rsid w:val="004C319F"/>
    <w:rsid w:val="004E7A63"/>
    <w:rsid w:val="004F3072"/>
    <w:rsid w:val="005040FE"/>
    <w:rsid w:val="00536F33"/>
    <w:rsid w:val="005434E9"/>
    <w:rsid w:val="00555B66"/>
    <w:rsid w:val="005725C1"/>
    <w:rsid w:val="005929BB"/>
    <w:rsid w:val="005941F6"/>
    <w:rsid w:val="005A1352"/>
    <w:rsid w:val="005B0E23"/>
    <w:rsid w:val="005B54B6"/>
    <w:rsid w:val="005B6A56"/>
    <w:rsid w:val="005C38B0"/>
    <w:rsid w:val="005C63F5"/>
    <w:rsid w:val="005C6CD4"/>
    <w:rsid w:val="005D2F59"/>
    <w:rsid w:val="005D34C8"/>
    <w:rsid w:val="005D4390"/>
    <w:rsid w:val="005F063D"/>
    <w:rsid w:val="005F6B86"/>
    <w:rsid w:val="006004BE"/>
    <w:rsid w:val="00600DAD"/>
    <w:rsid w:val="00620035"/>
    <w:rsid w:val="006237AA"/>
    <w:rsid w:val="006344D8"/>
    <w:rsid w:val="006464E5"/>
    <w:rsid w:val="0066474D"/>
    <w:rsid w:val="00664EF2"/>
    <w:rsid w:val="006718E7"/>
    <w:rsid w:val="006826B6"/>
    <w:rsid w:val="006834DD"/>
    <w:rsid w:val="00685B47"/>
    <w:rsid w:val="00697737"/>
    <w:rsid w:val="006A4455"/>
    <w:rsid w:val="006B2794"/>
    <w:rsid w:val="006B39DE"/>
    <w:rsid w:val="006C1BEF"/>
    <w:rsid w:val="006E1BCF"/>
    <w:rsid w:val="006E1FE3"/>
    <w:rsid w:val="006F0373"/>
    <w:rsid w:val="006F1EDB"/>
    <w:rsid w:val="006F5682"/>
    <w:rsid w:val="006F691F"/>
    <w:rsid w:val="00703301"/>
    <w:rsid w:val="0071409E"/>
    <w:rsid w:val="0072709D"/>
    <w:rsid w:val="00727354"/>
    <w:rsid w:val="0075596F"/>
    <w:rsid w:val="007634E0"/>
    <w:rsid w:val="00766C9F"/>
    <w:rsid w:val="00773AAB"/>
    <w:rsid w:val="00782925"/>
    <w:rsid w:val="00792634"/>
    <w:rsid w:val="007940E4"/>
    <w:rsid w:val="00794C19"/>
    <w:rsid w:val="007D7F08"/>
    <w:rsid w:val="007E55E0"/>
    <w:rsid w:val="007F43D2"/>
    <w:rsid w:val="008015F6"/>
    <w:rsid w:val="008107D8"/>
    <w:rsid w:val="008177F6"/>
    <w:rsid w:val="00821C5C"/>
    <w:rsid w:val="008308F1"/>
    <w:rsid w:val="00836DB8"/>
    <w:rsid w:val="008471E2"/>
    <w:rsid w:val="008567EB"/>
    <w:rsid w:val="00860256"/>
    <w:rsid w:val="008708EE"/>
    <w:rsid w:val="00871685"/>
    <w:rsid w:val="00875ED3"/>
    <w:rsid w:val="008926C4"/>
    <w:rsid w:val="008A0764"/>
    <w:rsid w:val="008B04A7"/>
    <w:rsid w:val="008B0575"/>
    <w:rsid w:val="008B18DD"/>
    <w:rsid w:val="008C39F7"/>
    <w:rsid w:val="008D09B0"/>
    <w:rsid w:val="008D2473"/>
    <w:rsid w:val="008F3207"/>
    <w:rsid w:val="008F3E44"/>
    <w:rsid w:val="008F4BDE"/>
    <w:rsid w:val="008F6458"/>
    <w:rsid w:val="00903747"/>
    <w:rsid w:val="00905F4A"/>
    <w:rsid w:val="0092143C"/>
    <w:rsid w:val="00933DA9"/>
    <w:rsid w:val="0093472E"/>
    <w:rsid w:val="00946124"/>
    <w:rsid w:val="00951661"/>
    <w:rsid w:val="00982E1E"/>
    <w:rsid w:val="009A5FC1"/>
    <w:rsid w:val="009A7B17"/>
    <w:rsid w:val="009C21C4"/>
    <w:rsid w:val="009C72A7"/>
    <w:rsid w:val="009F4832"/>
    <w:rsid w:val="009F6AC9"/>
    <w:rsid w:val="009F7B8F"/>
    <w:rsid w:val="00A12D5E"/>
    <w:rsid w:val="00A15ABF"/>
    <w:rsid w:val="00A23BFD"/>
    <w:rsid w:val="00A50A6C"/>
    <w:rsid w:val="00A57DF1"/>
    <w:rsid w:val="00A72AF2"/>
    <w:rsid w:val="00A9048C"/>
    <w:rsid w:val="00A915AF"/>
    <w:rsid w:val="00AA38A3"/>
    <w:rsid w:val="00AA6DA6"/>
    <w:rsid w:val="00AB427D"/>
    <w:rsid w:val="00AC023D"/>
    <w:rsid w:val="00AC7AF8"/>
    <w:rsid w:val="00AE20E5"/>
    <w:rsid w:val="00AE2145"/>
    <w:rsid w:val="00AF3775"/>
    <w:rsid w:val="00AF4B0A"/>
    <w:rsid w:val="00AF5723"/>
    <w:rsid w:val="00AF6AE2"/>
    <w:rsid w:val="00B15434"/>
    <w:rsid w:val="00B27907"/>
    <w:rsid w:val="00B43194"/>
    <w:rsid w:val="00B578F5"/>
    <w:rsid w:val="00B660C3"/>
    <w:rsid w:val="00B74A5A"/>
    <w:rsid w:val="00B85897"/>
    <w:rsid w:val="00B912E8"/>
    <w:rsid w:val="00BA059A"/>
    <w:rsid w:val="00BA7583"/>
    <w:rsid w:val="00BB5227"/>
    <w:rsid w:val="00BB5ED9"/>
    <w:rsid w:val="00BC3103"/>
    <w:rsid w:val="00BC3233"/>
    <w:rsid w:val="00BC369E"/>
    <w:rsid w:val="00BC7026"/>
    <w:rsid w:val="00BE15C7"/>
    <w:rsid w:val="00C226D5"/>
    <w:rsid w:val="00C34D78"/>
    <w:rsid w:val="00C41537"/>
    <w:rsid w:val="00C422DF"/>
    <w:rsid w:val="00C619B8"/>
    <w:rsid w:val="00C61B4A"/>
    <w:rsid w:val="00C65CE2"/>
    <w:rsid w:val="00C714E8"/>
    <w:rsid w:val="00C8243E"/>
    <w:rsid w:val="00C854A3"/>
    <w:rsid w:val="00C86525"/>
    <w:rsid w:val="00C86A29"/>
    <w:rsid w:val="00C93EFD"/>
    <w:rsid w:val="00C95122"/>
    <w:rsid w:val="00C95168"/>
    <w:rsid w:val="00CA0A8E"/>
    <w:rsid w:val="00CA6BB8"/>
    <w:rsid w:val="00CB13D7"/>
    <w:rsid w:val="00CC7720"/>
    <w:rsid w:val="00CC7AA5"/>
    <w:rsid w:val="00CD51B7"/>
    <w:rsid w:val="00CE354B"/>
    <w:rsid w:val="00CE399D"/>
    <w:rsid w:val="00D078C9"/>
    <w:rsid w:val="00D21A68"/>
    <w:rsid w:val="00D30A26"/>
    <w:rsid w:val="00D31D82"/>
    <w:rsid w:val="00D34B81"/>
    <w:rsid w:val="00D46DE4"/>
    <w:rsid w:val="00D55729"/>
    <w:rsid w:val="00D65D20"/>
    <w:rsid w:val="00D74DED"/>
    <w:rsid w:val="00D80810"/>
    <w:rsid w:val="00D87475"/>
    <w:rsid w:val="00D96DA2"/>
    <w:rsid w:val="00DA1834"/>
    <w:rsid w:val="00DA2260"/>
    <w:rsid w:val="00DA27CC"/>
    <w:rsid w:val="00DE077E"/>
    <w:rsid w:val="00DE4E36"/>
    <w:rsid w:val="00E127B0"/>
    <w:rsid w:val="00E201A6"/>
    <w:rsid w:val="00E27241"/>
    <w:rsid w:val="00E45F4A"/>
    <w:rsid w:val="00E605A9"/>
    <w:rsid w:val="00E81F19"/>
    <w:rsid w:val="00E84C5B"/>
    <w:rsid w:val="00E85BCE"/>
    <w:rsid w:val="00E92509"/>
    <w:rsid w:val="00EA23D2"/>
    <w:rsid w:val="00EC0BC8"/>
    <w:rsid w:val="00EC12B2"/>
    <w:rsid w:val="00ED3B99"/>
    <w:rsid w:val="00ED5D0C"/>
    <w:rsid w:val="00EE43CB"/>
    <w:rsid w:val="00F015C1"/>
    <w:rsid w:val="00F12C9B"/>
    <w:rsid w:val="00F13848"/>
    <w:rsid w:val="00F21B10"/>
    <w:rsid w:val="00F25A9F"/>
    <w:rsid w:val="00F465D2"/>
    <w:rsid w:val="00F53ABD"/>
    <w:rsid w:val="00F846C9"/>
    <w:rsid w:val="00F93F5B"/>
    <w:rsid w:val="00FD71F8"/>
    <w:rsid w:val="00FE02B3"/>
    <w:rsid w:val="00FE76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576708"/>
  <w15:docId w15:val="{ADBBF5D6-A1EF-48B4-B089-52BABBA81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6C4"/>
    <w:pPr>
      <w:jc w:val="both"/>
    </w:pPr>
    <w:rPr>
      <w:rFonts w:ascii="Times LT Std" w:hAnsi="Times LT Std"/>
      <w:sz w:val="24"/>
      <w:szCs w:val="24"/>
      <w:lang w:eastAsia="fr-FR"/>
    </w:rPr>
  </w:style>
  <w:style w:type="paragraph" w:styleId="Titre1">
    <w:name w:val="heading 1"/>
    <w:basedOn w:val="Normal"/>
    <w:next w:val="Normal"/>
    <w:qFormat/>
    <w:pPr>
      <w:keepNext/>
      <w:tabs>
        <w:tab w:val="left" w:pos="2520"/>
      </w:tabs>
      <w:spacing w:after="120"/>
      <w:ind w:right="475"/>
      <w:jc w:val="center"/>
      <w:outlineLvl w:val="0"/>
    </w:pPr>
    <w:rPr>
      <w:b/>
      <w:bCs/>
      <w:sz w:val="32"/>
    </w:rPr>
  </w:style>
  <w:style w:type="paragraph" w:styleId="Titre2">
    <w:name w:val="heading 2"/>
    <w:basedOn w:val="Normal"/>
    <w:next w:val="Normal"/>
    <w:qFormat/>
    <w:pPr>
      <w:keepNext/>
      <w:jc w:val="center"/>
      <w:outlineLvl w:val="1"/>
    </w:pPr>
    <w:rPr>
      <w:b/>
      <w:bCs/>
      <w:sz w:val="36"/>
    </w:rPr>
  </w:style>
  <w:style w:type="paragraph" w:styleId="Titre3">
    <w:name w:val="heading 3"/>
    <w:basedOn w:val="Normal"/>
    <w:next w:val="Normal"/>
    <w:qFormat/>
    <w:pPr>
      <w:keepNext/>
      <w:ind w:left="113" w:right="113"/>
      <w:jc w:val="center"/>
      <w:outlineLvl w:val="2"/>
    </w:pPr>
    <w:rPr>
      <w:b/>
      <w:bCs/>
      <w:spacing w:val="-10"/>
      <w:sz w:val="22"/>
      <w:lang w:val="fr-FR"/>
    </w:rPr>
  </w:style>
  <w:style w:type="paragraph" w:styleId="Titre4">
    <w:name w:val="heading 4"/>
    <w:basedOn w:val="Normal"/>
    <w:next w:val="Normal"/>
    <w:qFormat/>
    <w:pPr>
      <w:keepNext/>
      <w:ind w:left="113" w:right="113"/>
      <w:jc w:val="center"/>
      <w:outlineLvl w:val="3"/>
    </w:pPr>
    <w:rPr>
      <w:b/>
      <w:bCs/>
      <w:sz w:val="20"/>
      <w:lang w:val="fr-FR"/>
    </w:rPr>
  </w:style>
  <w:style w:type="paragraph" w:styleId="Titre5">
    <w:name w:val="heading 5"/>
    <w:basedOn w:val="Normal"/>
    <w:next w:val="Normal"/>
    <w:qFormat/>
    <w:pPr>
      <w:keepNext/>
      <w:ind w:left="113" w:right="113"/>
      <w:jc w:val="center"/>
      <w:outlineLvl w:val="4"/>
    </w:pPr>
    <w:rPr>
      <w:b/>
      <w:bCs/>
      <w:sz w:val="16"/>
      <w:lang w:val="fr-FR"/>
    </w:rPr>
  </w:style>
  <w:style w:type="paragraph" w:styleId="Titre6">
    <w:name w:val="heading 6"/>
    <w:basedOn w:val="Normal"/>
    <w:next w:val="Normal"/>
    <w:qFormat/>
    <w:pPr>
      <w:keepNext/>
      <w:tabs>
        <w:tab w:val="left" w:pos="1800"/>
      </w:tabs>
      <w:jc w:val="left"/>
      <w:outlineLvl w:val="5"/>
    </w:pPr>
    <w:rPr>
      <w:sz w:val="28"/>
    </w:rPr>
  </w:style>
  <w:style w:type="paragraph" w:styleId="Titre7">
    <w:name w:val="heading 7"/>
    <w:basedOn w:val="Normal"/>
    <w:next w:val="Normal"/>
    <w:qFormat/>
    <w:pPr>
      <w:keepNext/>
      <w:ind w:left="113" w:right="113"/>
      <w:outlineLvl w:val="6"/>
    </w:pPr>
    <w:rPr>
      <w:sz w:val="18"/>
      <w:u w:val="single"/>
      <w:lang w:val="fr-FR"/>
    </w:rPr>
  </w:style>
  <w:style w:type="paragraph" w:styleId="Titre8">
    <w:name w:val="heading 8"/>
    <w:basedOn w:val="Normal"/>
    <w:next w:val="Normal"/>
    <w:qFormat/>
    <w:pPr>
      <w:keepNext/>
      <w:jc w:val="center"/>
      <w:outlineLvl w:val="7"/>
    </w:pPr>
    <w:rPr>
      <w:b/>
      <w:bCs/>
      <w:sz w:val="20"/>
    </w:rPr>
  </w:style>
  <w:style w:type="paragraph" w:styleId="Titre9">
    <w:name w:val="heading 9"/>
    <w:basedOn w:val="Normal"/>
    <w:next w:val="Normal"/>
    <w:qFormat/>
    <w:pPr>
      <w:keepNext/>
      <w:spacing w:line="288" w:lineRule="auto"/>
      <w:outlineLvl w:val="8"/>
    </w:pPr>
    <w:rPr>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A-NOTA">
    <w:name w:val="A-NOTA"/>
    <w:basedOn w:val="marge0"/>
    <w:next w:val="Normal"/>
    <w:pPr>
      <w:ind w:left="1080" w:hanging="1080"/>
    </w:pPr>
    <w:rPr>
      <w:b/>
    </w:rPr>
  </w:style>
  <w:style w:type="paragraph" w:customStyle="1" w:styleId="marge0">
    <w:name w:val="marge 0."/>
    <w:basedOn w:val="Normal"/>
    <w:rsid w:val="008926C4"/>
    <w:pPr>
      <w:spacing w:line="288" w:lineRule="auto"/>
      <w:textAlignment w:val="baseline"/>
    </w:pPr>
    <w:rPr>
      <w:rFonts w:ascii="Times New Roman" w:hAnsi="Times New Roman"/>
    </w:rPr>
  </w:style>
  <w:style w:type="paragraph" w:customStyle="1" w:styleId="A-Question">
    <w:name w:val="A-Question"/>
    <w:basedOn w:val="marge0"/>
    <w:pPr>
      <w:ind w:left="360" w:hanging="360"/>
    </w:pPr>
    <w:rPr>
      <w:b/>
    </w:rPr>
  </w:style>
  <w:style w:type="paragraph" w:customStyle="1" w:styleId="A-Citation025">
    <w:name w:val="A-Citation 0.25"/>
    <w:basedOn w:val="marge0"/>
    <w:pPr>
      <w:ind w:left="360" w:right="360"/>
    </w:pPr>
  </w:style>
  <w:style w:type="character" w:customStyle="1" w:styleId="A-Century">
    <w:name w:val="A-Century"/>
    <w:rPr>
      <w:rFonts w:ascii="Century Gothic" w:hAnsi="Century Gothic"/>
      <w:b/>
      <w:sz w:val="24"/>
      <w:lang w:val="fr-CA"/>
    </w:rPr>
  </w:style>
  <w:style w:type="paragraph" w:customStyle="1" w:styleId="marge025">
    <w:name w:val="marge 0.25"/>
    <w:basedOn w:val="marge0"/>
    <w:pPr>
      <w:ind w:left="360"/>
    </w:pPr>
  </w:style>
  <w:style w:type="paragraph" w:customStyle="1" w:styleId="marge050">
    <w:name w:val="marge 0.50"/>
    <w:basedOn w:val="marge025"/>
    <w:pPr>
      <w:ind w:left="720"/>
    </w:pPr>
  </w:style>
  <w:style w:type="paragraph" w:customStyle="1" w:styleId="marge075">
    <w:name w:val="marge 0.75"/>
    <w:basedOn w:val="marge050"/>
    <w:pPr>
      <w:ind w:left="1080"/>
    </w:pPr>
  </w:style>
  <w:style w:type="paragraph" w:customStyle="1" w:styleId="marge1">
    <w:name w:val="marge 1."/>
    <w:basedOn w:val="marge075"/>
    <w:pPr>
      <w:ind w:left="1440"/>
    </w:pPr>
  </w:style>
  <w:style w:type="paragraph" w:customStyle="1" w:styleId="marge125">
    <w:name w:val="marge 1.25"/>
    <w:basedOn w:val="marge1"/>
    <w:pPr>
      <w:ind w:left="1800"/>
    </w:pPr>
  </w:style>
  <w:style w:type="paragraph" w:customStyle="1" w:styleId="marge150">
    <w:name w:val="marge 1.50"/>
    <w:basedOn w:val="marge125"/>
    <w:pPr>
      <w:ind w:left="2160"/>
    </w:pPr>
  </w:style>
  <w:style w:type="paragraph" w:customStyle="1" w:styleId="marge2">
    <w:name w:val="marge 2."/>
    <w:basedOn w:val="marge0"/>
    <w:pPr>
      <w:autoSpaceDE w:val="0"/>
      <w:autoSpaceDN w:val="0"/>
      <w:adjustRightInd w:val="0"/>
      <w:ind w:left="2880"/>
    </w:pPr>
    <w:rPr>
      <w:color w:val="000000"/>
    </w:rPr>
  </w:style>
  <w:style w:type="paragraph" w:customStyle="1" w:styleId="marge3">
    <w:name w:val="marge 3."/>
    <w:basedOn w:val="marge0"/>
    <w:pPr>
      <w:autoSpaceDE w:val="0"/>
      <w:autoSpaceDN w:val="0"/>
      <w:adjustRightInd w:val="0"/>
      <w:ind w:left="4320"/>
    </w:pPr>
    <w:rPr>
      <w:color w:val="000000"/>
    </w:rPr>
  </w:style>
  <w:style w:type="paragraph" w:customStyle="1" w:styleId="marge4">
    <w:name w:val="marge 4."/>
    <w:basedOn w:val="marge0"/>
    <w:pPr>
      <w:autoSpaceDE w:val="0"/>
      <w:autoSpaceDN w:val="0"/>
      <w:adjustRightInd w:val="0"/>
      <w:ind w:left="5760"/>
    </w:pPr>
    <w:rPr>
      <w:color w:val="000000"/>
    </w:rPr>
  </w:style>
  <w:style w:type="paragraph" w:customStyle="1" w:styleId="tabimp025">
    <w:name w:val="tab. imp. 0.25"/>
    <w:basedOn w:val="marge0"/>
    <w:pPr>
      <w:tabs>
        <w:tab w:val="left" w:pos="360"/>
      </w:tabs>
      <w:ind w:left="360" w:hanging="360"/>
    </w:pPr>
  </w:style>
  <w:style w:type="paragraph" w:customStyle="1" w:styleId="tabimp050">
    <w:name w:val="tab. imp. 0.50"/>
    <w:basedOn w:val="tabimp025"/>
    <w:pPr>
      <w:tabs>
        <w:tab w:val="clear" w:pos="360"/>
        <w:tab w:val="left" w:pos="720"/>
      </w:tabs>
      <w:ind w:left="720"/>
    </w:pPr>
  </w:style>
  <w:style w:type="paragraph" w:customStyle="1" w:styleId="tabimp075">
    <w:name w:val="tab. imp. 0.75"/>
    <w:basedOn w:val="tabimp050"/>
    <w:pPr>
      <w:tabs>
        <w:tab w:val="clear" w:pos="720"/>
        <w:tab w:val="left" w:pos="1080"/>
      </w:tabs>
      <w:ind w:left="1080"/>
    </w:pPr>
  </w:style>
  <w:style w:type="paragraph" w:customStyle="1" w:styleId="tabimp1">
    <w:name w:val="tab. imp. 1."/>
    <w:basedOn w:val="tabimp075"/>
    <w:pPr>
      <w:tabs>
        <w:tab w:val="clear" w:pos="1080"/>
        <w:tab w:val="left" w:pos="1440"/>
      </w:tabs>
      <w:ind w:left="1440"/>
    </w:pPr>
  </w:style>
  <w:style w:type="paragraph" w:customStyle="1" w:styleId="tabimp125">
    <w:name w:val="tab. imp. 1.25"/>
    <w:basedOn w:val="tabimp1"/>
    <w:pPr>
      <w:tabs>
        <w:tab w:val="clear" w:pos="1440"/>
        <w:tab w:val="left" w:pos="1800"/>
      </w:tabs>
      <w:ind w:left="1800"/>
    </w:pPr>
  </w:style>
  <w:style w:type="paragraph" w:customStyle="1" w:styleId="tabimp150">
    <w:name w:val="tab. imp. 1.50"/>
    <w:basedOn w:val="tabimp125"/>
    <w:pPr>
      <w:tabs>
        <w:tab w:val="clear" w:pos="1800"/>
        <w:tab w:val="left" w:pos="2160"/>
      </w:tabs>
      <w:ind w:left="2160"/>
    </w:pPr>
  </w:style>
  <w:style w:type="paragraph" w:customStyle="1" w:styleId="tabimp175">
    <w:name w:val="tab. imp. 1.75"/>
    <w:basedOn w:val="tabimp150"/>
    <w:pPr>
      <w:tabs>
        <w:tab w:val="clear" w:pos="2160"/>
        <w:tab w:val="left" w:pos="2520"/>
      </w:tabs>
      <w:ind w:left="2520"/>
    </w:pPr>
  </w:style>
  <w:style w:type="paragraph" w:customStyle="1" w:styleId="tabimp2">
    <w:name w:val="tab. imp. 2."/>
    <w:basedOn w:val="tabimp175"/>
    <w:pPr>
      <w:tabs>
        <w:tab w:val="clear" w:pos="2520"/>
        <w:tab w:val="left" w:pos="2880"/>
      </w:tabs>
      <w:ind w:left="2880"/>
    </w:pPr>
  </w:style>
  <w:style w:type="paragraph" w:customStyle="1" w:styleId="Droulement">
    <w:name w:val="Déroulement"/>
    <w:basedOn w:val="marge0"/>
    <w:pPr>
      <w:tabs>
        <w:tab w:val="left" w:pos="1080"/>
        <w:tab w:val="left" w:pos="1440"/>
      </w:tabs>
      <w:ind w:left="1440" w:hanging="1440"/>
    </w:pPr>
  </w:style>
  <w:style w:type="paragraph" w:customStyle="1" w:styleId="Noparagraphstyle">
    <w:name w:val="[No paragraph style]"/>
    <w:pPr>
      <w:autoSpaceDE w:val="0"/>
      <w:autoSpaceDN w:val="0"/>
      <w:adjustRightInd w:val="0"/>
      <w:spacing w:line="288" w:lineRule="auto"/>
      <w:textAlignment w:val="center"/>
    </w:pPr>
    <w:rPr>
      <w:color w:val="000000"/>
      <w:sz w:val="24"/>
      <w:szCs w:val="24"/>
      <w:lang w:val="fr-FR" w:eastAsia="fr-FR"/>
    </w:rPr>
  </w:style>
  <w:style w:type="paragraph" w:styleId="Corpsdetexte">
    <w:name w:val="Body Text"/>
    <w:basedOn w:val="Normal"/>
    <w:semiHidden/>
    <w:rPr>
      <w:sz w:val="16"/>
    </w:rPr>
  </w:style>
  <w:style w:type="paragraph" w:styleId="Normalcentr">
    <w:name w:val="Block Text"/>
    <w:basedOn w:val="Normal"/>
    <w:semiHidden/>
    <w:pPr>
      <w:tabs>
        <w:tab w:val="right" w:pos="5760"/>
        <w:tab w:val="left" w:pos="6480"/>
      </w:tabs>
      <w:ind w:left="113" w:right="113"/>
      <w:jc w:val="center"/>
    </w:pPr>
    <w:rPr>
      <w:b/>
      <w:bCs/>
      <w:sz w:val="22"/>
      <w:lang w:val="fr-FR"/>
    </w:rPr>
  </w:style>
  <w:style w:type="paragraph" w:styleId="Retraitcorpsdetexte">
    <w:name w:val="Body Text Indent"/>
    <w:basedOn w:val="Normal"/>
    <w:semiHidden/>
    <w:pPr>
      <w:spacing w:line="288" w:lineRule="auto"/>
      <w:ind w:left="360"/>
    </w:pPr>
    <w:rPr>
      <w:b/>
    </w:rPr>
  </w:style>
  <w:style w:type="paragraph" w:styleId="Retraitcorpsdetexte2">
    <w:name w:val="Body Text Indent 2"/>
    <w:basedOn w:val="Normal"/>
    <w:semiHidden/>
    <w:pPr>
      <w:spacing w:line="288" w:lineRule="auto"/>
      <w:ind w:left="720" w:hanging="360"/>
    </w:pPr>
    <w:rPr>
      <w:b/>
      <w:bCs/>
    </w:rPr>
  </w:style>
  <w:style w:type="paragraph" w:styleId="Corpsdetexte2">
    <w:name w:val="Body Text 2"/>
    <w:basedOn w:val="Normal"/>
    <w:semiHidden/>
    <w:rPr>
      <w:rFonts w:ascii="Arial" w:hAnsi="Arial" w:cs="Arial"/>
      <w:b/>
      <w:bCs/>
      <w:sz w:val="28"/>
    </w:rPr>
  </w:style>
  <w:style w:type="paragraph" w:styleId="Textedebulles">
    <w:name w:val="Balloon Text"/>
    <w:basedOn w:val="Normal"/>
    <w:semiHidden/>
    <w:unhideWhenUsed/>
    <w:rPr>
      <w:rFonts w:ascii="Tahoma" w:hAnsi="Tahoma" w:cs="Tahoma"/>
      <w:sz w:val="16"/>
      <w:szCs w:val="16"/>
    </w:rPr>
  </w:style>
  <w:style w:type="character" w:customStyle="1" w:styleId="TextedebullesCar">
    <w:name w:val="Texte de bulles Car"/>
    <w:semiHidden/>
    <w:rPr>
      <w:rFonts w:ascii="Tahoma" w:hAnsi="Tahoma" w:cs="Tahoma"/>
      <w:sz w:val="16"/>
      <w:szCs w:val="16"/>
      <w:lang w:eastAsia="fr-FR"/>
    </w:rPr>
  </w:style>
  <w:style w:type="character" w:styleId="Accentuation">
    <w:name w:val="Emphasis"/>
    <w:basedOn w:val="Policepardfaut"/>
    <w:uiPriority w:val="20"/>
    <w:qFormat/>
    <w:rsid w:val="00BE15C7"/>
    <w:rPr>
      <w:i/>
      <w:iCs/>
    </w:rPr>
  </w:style>
  <w:style w:type="character" w:styleId="Marquedecommentaire">
    <w:name w:val="annotation reference"/>
    <w:basedOn w:val="Policepardfaut"/>
    <w:uiPriority w:val="99"/>
    <w:semiHidden/>
    <w:unhideWhenUsed/>
    <w:rsid w:val="00C95168"/>
    <w:rPr>
      <w:sz w:val="16"/>
      <w:szCs w:val="16"/>
    </w:rPr>
  </w:style>
  <w:style w:type="paragraph" w:styleId="Commentaire">
    <w:name w:val="annotation text"/>
    <w:basedOn w:val="Normal"/>
    <w:link w:val="CommentaireCar"/>
    <w:uiPriority w:val="99"/>
    <w:semiHidden/>
    <w:unhideWhenUsed/>
    <w:rsid w:val="00C95168"/>
    <w:rPr>
      <w:sz w:val="20"/>
      <w:szCs w:val="20"/>
    </w:rPr>
  </w:style>
  <w:style w:type="character" w:customStyle="1" w:styleId="CommentaireCar">
    <w:name w:val="Commentaire Car"/>
    <w:basedOn w:val="Policepardfaut"/>
    <w:link w:val="Commentaire"/>
    <w:uiPriority w:val="99"/>
    <w:semiHidden/>
    <w:rsid w:val="00C95168"/>
    <w:rPr>
      <w:rFonts w:ascii="Times LT Std" w:hAnsi="Times LT Std"/>
      <w:lang w:eastAsia="fr-FR"/>
    </w:rPr>
  </w:style>
  <w:style w:type="paragraph" w:styleId="Paragraphedeliste">
    <w:name w:val="List Paragraph"/>
    <w:basedOn w:val="Normal"/>
    <w:uiPriority w:val="34"/>
    <w:qFormat/>
    <w:rsid w:val="000F6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1438</Words>
  <Characters>7915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Barreau du Québec</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Solange Bastien</dc:creator>
  <cp:lastModifiedBy>Daphnée Chabot</cp:lastModifiedBy>
  <cp:revision>135</cp:revision>
  <cp:lastPrinted>2019-06-10T14:48:00Z</cp:lastPrinted>
  <dcterms:created xsi:type="dcterms:W3CDTF">2023-03-07T22:00:00Z</dcterms:created>
  <dcterms:modified xsi:type="dcterms:W3CDTF">2023-03-08T17:51:00Z</dcterms:modified>
</cp:coreProperties>
</file>