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729E" w14:textId="4847C145" w:rsidR="00AA32BC" w:rsidRDefault="00184A45" w:rsidP="002B32E7">
      <w:pPr>
        <w:spacing w:line="360" w:lineRule="auto"/>
        <w:rPr>
          <w:rFonts w:cstheme="minorHAnsi"/>
        </w:rPr>
      </w:pPr>
      <w:r>
        <w:rPr>
          <w:rFonts w:cstheme="minorHAnsi"/>
        </w:rPr>
        <w:t>2.17.21</w:t>
      </w:r>
    </w:p>
    <w:p w14:paraId="44DF2E0D" w14:textId="7DD4EC69" w:rsidR="002B32E7" w:rsidRDefault="00AA32BC" w:rsidP="002B32E7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Transitional Forms Demonstrate Incremental </w:t>
      </w:r>
      <w:r w:rsidR="0066239D">
        <w:rPr>
          <w:rFonts w:cstheme="minorHAnsi"/>
        </w:rPr>
        <w:t>Transformations</w:t>
      </w:r>
    </w:p>
    <w:p w14:paraId="1B2CC3EC" w14:textId="77777777" w:rsidR="00AA32BC" w:rsidRDefault="00AA32BC" w:rsidP="002B32E7">
      <w:pPr>
        <w:spacing w:line="360" w:lineRule="auto"/>
        <w:rPr>
          <w:rFonts w:cstheme="minorHAnsi"/>
        </w:rPr>
      </w:pPr>
    </w:p>
    <w:p w14:paraId="5DC63480" w14:textId="58A7978D" w:rsidR="0091529A" w:rsidRDefault="00B43604" w:rsidP="00D463AA">
      <w:pPr>
        <w:spacing w:line="360" w:lineRule="auto"/>
        <w:rPr>
          <w:rFonts w:eastAsia="Times New Roman" w:cstheme="minorHAnsi"/>
        </w:rPr>
      </w:pPr>
      <w:r>
        <w:rPr>
          <w:rFonts w:cstheme="minorHAnsi"/>
        </w:rPr>
        <w:tab/>
      </w:r>
      <w:r w:rsidR="00E61C2C" w:rsidRPr="00AF37E5">
        <w:rPr>
          <w:rFonts w:cstheme="minorHAnsi"/>
        </w:rPr>
        <w:t xml:space="preserve">As scientists continue to uncover transitional forms through fossil discovery, </w:t>
      </w:r>
      <w:r w:rsidR="007802DE" w:rsidRPr="00AF37E5">
        <w:rPr>
          <w:rFonts w:cstheme="minorHAnsi"/>
        </w:rPr>
        <w:t xml:space="preserve">Darwin’s </w:t>
      </w:r>
      <w:r w:rsidR="00711FBD" w:rsidRPr="00AF37E5">
        <w:rPr>
          <w:rFonts w:cstheme="minorHAnsi"/>
        </w:rPr>
        <w:t>theory</w:t>
      </w:r>
      <w:r w:rsidR="007802DE" w:rsidRPr="00AF37E5">
        <w:rPr>
          <w:rFonts w:cstheme="minorHAnsi"/>
        </w:rPr>
        <w:t xml:space="preserve"> </w:t>
      </w:r>
      <w:r w:rsidR="00711FBD" w:rsidRPr="00AF37E5">
        <w:rPr>
          <w:rFonts w:cstheme="minorHAnsi"/>
        </w:rPr>
        <w:t>describing</w:t>
      </w:r>
      <w:r w:rsidR="007802DE" w:rsidRPr="00AF37E5">
        <w:rPr>
          <w:rFonts w:cstheme="minorHAnsi"/>
        </w:rPr>
        <w:t xml:space="preserve"> evolution </w:t>
      </w:r>
      <w:r w:rsidR="00711FBD" w:rsidRPr="00AF37E5">
        <w:rPr>
          <w:rFonts w:cstheme="minorHAnsi"/>
        </w:rPr>
        <w:t xml:space="preserve">as a </w:t>
      </w:r>
      <w:r w:rsidR="007802DE" w:rsidRPr="00AF37E5">
        <w:rPr>
          <w:rFonts w:cstheme="minorHAnsi"/>
        </w:rPr>
        <w:t>gradual</w:t>
      </w:r>
      <w:r w:rsidR="004469F5" w:rsidRPr="00AF37E5">
        <w:rPr>
          <w:rFonts w:cstheme="minorHAnsi"/>
        </w:rPr>
        <w:t xml:space="preserve">, incremental </w:t>
      </w:r>
      <w:r w:rsidR="007802DE" w:rsidRPr="00AF37E5">
        <w:rPr>
          <w:rFonts w:cstheme="minorHAnsi"/>
        </w:rPr>
        <w:t>process</w:t>
      </w:r>
      <w:r w:rsidR="00E61C2C" w:rsidRPr="00AF37E5">
        <w:rPr>
          <w:rFonts w:cstheme="minorHAnsi"/>
        </w:rPr>
        <w:t xml:space="preserve"> is further </w:t>
      </w:r>
      <w:r w:rsidR="00466856">
        <w:rPr>
          <w:rFonts w:cstheme="minorHAnsi"/>
        </w:rPr>
        <w:t>supported</w:t>
      </w:r>
      <w:r w:rsidR="007802DE" w:rsidRPr="00AF37E5">
        <w:rPr>
          <w:rFonts w:cstheme="minorHAnsi"/>
        </w:rPr>
        <w:t xml:space="preserve">. </w:t>
      </w:r>
      <w:r w:rsidR="00FA27AB">
        <w:rPr>
          <w:rFonts w:cstheme="minorHAnsi"/>
        </w:rPr>
        <w:t>In 2006, w</w:t>
      </w:r>
      <w:r w:rsidR="004469F5" w:rsidRPr="00AF37E5">
        <w:rPr>
          <w:rFonts w:cstheme="minorHAnsi"/>
        </w:rPr>
        <w:t xml:space="preserve">hen the </w:t>
      </w:r>
      <w:r w:rsidR="00711FBD" w:rsidRPr="00AF37E5">
        <w:rPr>
          <w:rFonts w:cstheme="minorHAnsi"/>
        </w:rPr>
        <w:t>fossil of the</w:t>
      </w:r>
      <w:r w:rsidR="00466856">
        <w:rPr>
          <w:rFonts w:cstheme="minorHAnsi"/>
        </w:rPr>
        <w:t xml:space="preserve"> </w:t>
      </w:r>
      <w:r w:rsidR="004469F5" w:rsidRPr="00AF37E5">
        <w:rPr>
          <w:rFonts w:cstheme="minorHAnsi"/>
        </w:rPr>
        <w:t xml:space="preserve">Tiktaalik was discovered </w:t>
      </w:r>
      <w:r w:rsidR="00711FBD" w:rsidRPr="00AF37E5">
        <w:rPr>
          <w:rFonts w:cstheme="minorHAnsi"/>
        </w:rPr>
        <w:t>in the Canadian A</w:t>
      </w:r>
      <w:r w:rsidR="00A90889">
        <w:rPr>
          <w:rFonts w:cstheme="minorHAnsi"/>
        </w:rPr>
        <w:t>rctic</w:t>
      </w:r>
      <w:r w:rsidR="00711FBD" w:rsidRPr="00AF37E5">
        <w:rPr>
          <w:rFonts w:cstheme="minorHAnsi"/>
        </w:rPr>
        <w:t xml:space="preserve">, its flat head </w:t>
      </w:r>
      <w:r w:rsidR="00E61C2C" w:rsidRPr="00AF37E5">
        <w:rPr>
          <w:rFonts w:cstheme="minorHAnsi"/>
        </w:rPr>
        <w:t>indicated it was a</w:t>
      </w:r>
      <w:r w:rsidR="00711FBD" w:rsidRPr="00AF37E5">
        <w:rPr>
          <w:rFonts w:cstheme="minorHAnsi"/>
        </w:rPr>
        <w:t xml:space="preserve"> transitional form between a fish and a terrestrial anim</w:t>
      </w:r>
      <w:r w:rsidR="009E0E49">
        <w:rPr>
          <w:rFonts w:cstheme="minorHAnsi"/>
        </w:rPr>
        <w:t>al.</w:t>
      </w:r>
      <w:r w:rsidR="00466856">
        <w:rPr>
          <w:rFonts w:cstheme="minorHAnsi"/>
        </w:rPr>
        <w:t xml:space="preserve"> The fossil still had fins like a fish, but the flat head was a trait</w:t>
      </w:r>
      <w:r w:rsidR="0074707C">
        <w:rPr>
          <w:rFonts w:cstheme="minorHAnsi"/>
        </w:rPr>
        <w:t xml:space="preserve"> </w:t>
      </w:r>
      <w:r w:rsidR="00C849B7">
        <w:rPr>
          <w:rFonts w:cstheme="minorHAnsi"/>
        </w:rPr>
        <w:t>more akin to</w:t>
      </w:r>
      <w:r w:rsidR="00466856">
        <w:rPr>
          <w:rFonts w:cstheme="minorHAnsi"/>
        </w:rPr>
        <w:t xml:space="preserve"> </w:t>
      </w:r>
      <w:r w:rsidR="00C849B7">
        <w:rPr>
          <w:rFonts w:cstheme="minorHAnsi"/>
        </w:rPr>
        <w:t>terrestrial tetrapods</w:t>
      </w:r>
      <w:r w:rsidR="00466856">
        <w:rPr>
          <w:rFonts w:cstheme="minorHAnsi"/>
        </w:rPr>
        <w:t>.</w:t>
      </w:r>
      <w:r w:rsidR="00FA27AB">
        <w:rPr>
          <w:rFonts w:cstheme="minorHAnsi"/>
        </w:rPr>
        <w:t xml:space="preserve"> In addition, the Tiktaalik also differed from other fish fossils </w:t>
      </w:r>
      <w:r w:rsidR="00C37533">
        <w:rPr>
          <w:rFonts w:cstheme="minorHAnsi"/>
        </w:rPr>
        <w:t xml:space="preserve">because it had </w:t>
      </w:r>
      <w:r w:rsidR="005A09D6">
        <w:rPr>
          <w:rFonts w:cstheme="minorHAnsi"/>
        </w:rPr>
        <w:t xml:space="preserve">two </w:t>
      </w:r>
      <w:r w:rsidR="00FA27AB">
        <w:rPr>
          <w:rFonts w:cstheme="minorHAnsi"/>
        </w:rPr>
        <w:t xml:space="preserve">missing bones </w:t>
      </w:r>
      <w:r w:rsidR="006C6248">
        <w:rPr>
          <w:rFonts w:cstheme="minorHAnsi"/>
        </w:rPr>
        <w:t>in the region surrounding its head</w:t>
      </w:r>
      <w:r w:rsidR="00B81A71">
        <w:rPr>
          <w:rFonts w:cstheme="minorHAnsi"/>
        </w:rPr>
        <w:t xml:space="preserve">. </w:t>
      </w:r>
      <w:r w:rsidR="004A7EBB">
        <w:rPr>
          <w:rFonts w:cstheme="minorHAnsi"/>
        </w:rPr>
        <w:t xml:space="preserve">This meant the animal had a neck and flexibility of motion for the first time </w:t>
      </w:r>
      <w:r w:rsidR="009E0E49">
        <w:rPr>
          <w:rFonts w:cstheme="minorHAnsi"/>
        </w:rPr>
        <w:t>(Shubin 2009.)</w:t>
      </w:r>
      <w:r w:rsidR="00B46F2C">
        <w:rPr>
          <w:rFonts w:cstheme="minorHAnsi"/>
        </w:rPr>
        <w:t xml:space="preserve"> </w:t>
      </w:r>
      <w:r w:rsidR="00C26EA6">
        <w:rPr>
          <w:rFonts w:cstheme="minorHAnsi"/>
        </w:rPr>
        <w:t xml:space="preserve">When </w:t>
      </w:r>
      <w:r w:rsidR="00AF60DF">
        <w:rPr>
          <w:rFonts w:cstheme="minorHAnsi"/>
        </w:rPr>
        <w:t>skull dimensions</w:t>
      </w:r>
      <w:r w:rsidR="00C26EA6">
        <w:rPr>
          <w:rFonts w:cstheme="minorHAnsi"/>
        </w:rPr>
        <w:t xml:space="preserve"> of the Tiktaalik w</w:t>
      </w:r>
      <w:r w:rsidR="00CB2834">
        <w:rPr>
          <w:rFonts w:cstheme="minorHAnsi"/>
        </w:rPr>
        <w:t>ere</w:t>
      </w:r>
      <w:r w:rsidR="00AF60DF">
        <w:rPr>
          <w:rFonts w:cstheme="minorHAnsi"/>
        </w:rPr>
        <w:t xml:space="preserve"> studied</w:t>
      </w:r>
      <w:r w:rsidR="007312C9">
        <w:rPr>
          <w:rFonts w:cstheme="minorHAnsi"/>
        </w:rPr>
        <w:t xml:space="preserve"> in 2014</w:t>
      </w:r>
      <w:r w:rsidR="00C26EA6">
        <w:rPr>
          <w:rFonts w:cstheme="minorHAnsi"/>
        </w:rPr>
        <w:t xml:space="preserve">, scientists </w:t>
      </w:r>
      <w:r w:rsidR="006D3236">
        <w:rPr>
          <w:rFonts w:cstheme="minorHAnsi"/>
        </w:rPr>
        <w:t xml:space="preserve">also </w:t>
      </w:r>
      <w:r w:rsidR="00C26EA6">
        <w:rPr>
          <w:rFonts w:cstheme="minorHAnsi"/>
        </w:rPr>
        <w:t xml:space="preserve">found the size of the animal’s eye sockets to be larger than </w:t>
      </w:r>
      <w:r w:rsidR="006D3236">
        <w:rPr>
          <w:rFonts w:cstheme="minorHAnsi"/>
        </w:rPr>
        <w:t>those of earlier fish fossils</w:t>
      </w:r>
      <w:r w:rsidR="00E95669">
        <w:rPr>
          <w:rFonts w:cstheme="minorHAnsi"/>
        </w:rPr>
        <w:t xml:space="preserve"> but smaller than the sockets of early </w:t>
      </w:r>
      <w:r w:rsidR="00C849B7">
        <w:rPr>
          <w:rFonts w:cstheme="minorHAnsi"/>
        </w:rPr>
        <w:t>land animals</w:t>
      </w:r>
      <w:r w:rsidR="006D3236">
        <w:rPr>
          <w:rFonts w:cstheme="minorHAnsi"/>
        </w:rPr>
        <w:t>, indicating that</w:t>
      </w:r>
      <w:r w:rsidR="00E61EB4">
        <w:rPr>
          <w:rFonts w:cstheme="minorHAnsi"/>
        </w:rPr>
        <w:t xml:space="preserve"> selection of larger eyes accompanied the transition from water to land</w:t>
      </w:r>
      <w:r w:rsidR="00442B5A">
        <w:rPr>
          <w:rFonts w:cstheme="minorHAnsi"/>
        </w:rPr>
        <w:t xml:space="preserve"> </w:t>
      </w:r>
      <w:r w:rsidR="00E95669">
        <w:rPr>
          <w:rFonts w:cstheme="minorHAnsi"/>
        </w:rPr>
        <w:t>(</w:t>
      </w:r>
      <w:r w:rsidR="00E95669" w:rsidRPr="009763D6">
        <w:rPr>
          <w:rFonts w:eastAsia="Times New Roman" w:cstheme="minorHAnsi"/>
        </w:rPr>
        <w:t>MacIver</w:t>
      </w:r>
      <w:r w:rsidR="00E95669">
        <w:rPr>
          <w:rFonts w:eastAsia="Times New Roman" w:cstheme="minorHAnsi"/>
        </w:rPr>
        <w:t xml:space="preserve"> 2017.) </w:t>
      </w:r>
      <w:r w:rsidR="0047246E">
        <w:rPr>
          <w:rFonts w:eastAsia="Times New Roman" w:cstheme="minorHAnsi"/>
        </w:rPr>
        <w:t>The unique features of this transitional fossil</w:t>
      </w:r>
      <w:r w:rsidR="00D33E01">
        <w:rPr>
          <w:rFonts w:eastAsia="Times New Roman" w:cstheme="minorHAnsi"/>
        </w:rPr>
        <w:t xml:space="preserve">, when compared to the existing fossil record, </w:t>
      </w:r>
      <w:r w:rsidR="0047246E">
        <w:rPr>
          <w:rFonts w:eastAsia="Times New Roman" w:cstheme="minorHAnsi"/>
        </w:rPr>
        <w:t>help scientists see how the transition from water-living to land-living happened not all at once but through smaller steps.</w:t>
      </w:r>
    </w:p>
    <w:p w14:paraId="7011E232" w14:textId="6722251B" w:rsidR="0066239D" w:rsidRDefault="00B239B5" w:rsidP="00E61C2C">
      <w:pPr>
        <w:spacing w:line="360" w:lineRule="auto"/>
        <w:rPr>
          <w:rFonts w:cstheme="minorHAnsi"/>
        </w:rPr>
      </w:pPr>
      <w:r>
        <w:rPr>
          <w:rFonts w:eastAsia="Times New Roman" w:cstheme="minorHAnsi"/>
        </w:rPr>
        <w:tab/>
      </w:r>
      <w:r w:rsidR="00A56140">
        <w:rPr>
          <w:rFonts w:cstheme="minorHAnsi"/>
        </w:rPr>
        <w:t>T</w:t>
      </w:r>
      <w:r w:rsidR="00D463AA">
        <w:rPr>
          <w:rFonts w:cstheme="minorHAnsi"/>
        </w:rPr>
        <w:t>hrough close inspection of transitional fossils</w:t>
      </w:r>
      <w:r w:rsidR="00A56140">
        <w:rPr>
          <w:rFonts w:cstheme="minorHAnsi"/>
        </w:rPr>
        <w:t>,</w:t>
      </w:r>
      <w:r w:rsidR="00D463AA">
        <w:rPr>
          <w:rFonts w:cstheme="minorHAnsi"/>
        </w:rPr>
        <w:t xml:space="preserve"> scientists </w:t>
      </w:r>
      <w:r w:rsidR="00A03D89">
        <w:rPr>
          <w:rFonts w:cstheme="minorHAnsi"/>
        </w:rPr>
        <w:t xml:space="preserve">can </w:t>
      </w:r>
      <w:r w:rsidR="00D463AA">
        <w:rPr>
          <w:rFonts w:cstheme="minorHAnsi"/>
        </w:rPr>
        <w:t>observe how the rise of small, morphological changes accumulate and contribute to the formation of new categories of animals.</w:t>
      </w:r>
      <w:r>
        <w:rPr>
          <w:rFonts w:cstheme="minorHAnsi"/>
        </w:rPr>
        <w:t xml:space="preserve"> The physical markers of the transitional fossils are key to these inspections, as they provide visual imagery and allow insight into what traits were selected for over time. </w:t>
      </w:r>
      <w:r w:rsidR="00633F64">
        <w:rPr>
          <w:rFonts w:cstheme="minorHAnsi"/>
        </w:rPr>
        <w:t xml:space="preserve">It is important to remember that transitional fossils like the Tiktaalik act as pieces in the larger evolutionary puzzle, showing scientists how natural selection </w:t>
      </w:r>
      <w:r w:rsidR="00A56EDF">
        <w:rPr>
          <w:rFonts w:cstheme="minorHAnsi"/>
        </w:rPr>
        <w:t xml:space="preserve">works </w:t>
      </w:r>
      <w:r w:rsidR="007E0E2C">
        <w:rPr>
          <w:rFonts w:cstheme="minorHAnsi"/>
        </w:rPr>
        <w:t>gradually</w:t>
      </w:r>
      <w:r w:rsidR="00B7531A">
        <w:rPr>
          <w:rFonts w:cstheme="minorHAnsi"/>
        </w:rPr>
        <w:t xml:space="preserve"> to</w:t>
      </w:r>
      <w:r w:rsidR="00A56EDF">
        <w:rPr>
          <w:rFonts w:cstheme="minorHAnsi"/>
        </w:rPr>
        <w:t xml:space="preserve"> </w:t>
      </w:r>
      <w:r w:rsidR="009B7D1F">
        <w:rPr>
          <w:rFonts w:cstheme="minorHAnsi"/>
        </w:rPr>
        <w:t>link together</w:t>
      </w:r>
      <w:r w:rsidR="00A56EDF">
        <w:rPr>
          <w:rFonts w:cstheme="minorHAnsi"/>
        </w:rPr>
        <w:t xml:space="preserve"> all living things.</w:t>
      </w:r>
      <w:r w:rsidR="004B1FAC">
        <w:rPr>
          <w:rFonts w:cstheme="minorHAnsi"/>
        </w:rPr>
        <w:br w:type="page"/>
      </w:r>
    </w:p>
    <w:p w14:paraId="3E20B5DD" w14:textId="63B5536A" w:rsidR="00AA32BC" w:rsidRPr="00421E44" w:rsidRDefault="00AA32BC" w:rsidP="00AA32B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Works Cited</w:t>
      </w:r>
    </w:p>
    <w:p w14:paraId="05B715AD" w14:textId="728D63B9" w:rsidR="009763D6" w:rsidRPr="00AF37E5" w:rsidRDefault="00AF37E5" w:rsidP="009763D6">
      <w:pPr>
        <w:spacing w:after="0" w:line="240" w:lineRule="auto"/>
        <w:rPr>
          <w:rFonts w:eastAsia="Times New Roman" w:cstheme="minorHAnsi"/>
        </w:rPr>
      </w:pPr>
      <w:r w:rsidRPr="00AF37E5">
        <w:rPr>
          <w:rFonts w:eastAsia="Times New Roman" w:cstheme="minorHAnsi"/>
        </w:rPr>
        <w:t>Bergstrom CT, Dugatkin LA. 2016. Evolution. 2</w:t>
      </w:r>
      <w:r w:rsidRPr="008E16A5">
        <w:rPr>
          <w:rFonts w:eastAsia="Times New Roman" w:cstheme="minorHAnsi"/>
        </w:rPr>
        <w:t xml:space="preserve">nd </w:t>
      </w:r>
      <w:r w:rsidRPr="00AF37E5">
        <w:rPr>
          <w:rFonts w:eastAsia="Times New Roman" w:cstheme="minorHAnsi"/>
        </w:rPr>
        <w:t xml:space="preserve">ed. New York (NY): W. W. Norton &amp; Company. Chapter 2, </w:t>
      </w:r>
      <w:r w:rsidRPr="00AF37E5">
        <w:rPr>
          <w:rFonts w:cstheme="minorHAnsi"/>
        </w:rPr>
        <w:t xml:space="preserve">Early Evolutionary Ideas and Darwin’s Insight; p. 29-60. </w:t>
      </w:r>
    </w:p>
    <w:p w14:paraId="5B1A0EF8" w14:textId="77777777" w:rsidR="009763D6" w:rsidRPr="00AF37E5" w:rsidRDefault="009763D6" w:rsidP="009763D6">
      <w:pPr>
        <w:spacing w:after="0" w:line="240" w:lineRule="auto"/>
        <w:rPr>
          <w:rFonts w:eastAsia="Times New Roman" w:cstheme="minorHAnsi"/>
        </w:rPr>
      </w:pPr>
    </w:p>
    <w:p w14:paraId="4534FF62" w14:textId="2218F101" w:rsidR="009763D6" w:rsidRPr="009763D6" w:rsidRDefault="009763D6" w:rsidP="009763D6">
      <w:pPr>
        <w:spacing w:after="0" w:line="240" w:lineRule="auto"/>
        <w:rPr>
          <w:rFonts w:eastAsia="Times New Roman" w:cstheme="minorHAnsi"/>
        </w:rPr>
      </w:pPr>
      <w:r w:rsidRPr="009763D6">
        <w:rPr>
          <w:rFonts w:eastAsia="Times New Roman" w:cstheme="minorHAnsi"/>
        </w:rPr>
        <w:t>MacIver MA, Schmitz L, Mugan U, Murphey TD, Mobley CD. Massive increase in visual range preceded the origin of terrestrial vertebrates. Proceedings of the National Academy of Sciences. 2017;114(12</w:t>
      </w:r>
      <w:proofErr w:type="gramStart"/>
      <w:r w:rsidRPr="009763D6">
        <w:rPr>
          <w:rFonts w:eastAsia="Times New Roman" w:cstheme="minorHAnsi"/>
        </w:rPr>
        <w:t>):E</w:t>
      </w:r>
      <w:proofErr w:type="gramEnd"/>
      <w:r w:rsidRPr="009763D6">
        <w:rPr>
          <w:rFonts w:eastAsia="Times New Roman" w:cstheme="minorHAnsi"/>
        </w:rPr>
        <w:t>2375–E2384. doi:10.1073/pnas.1615563114</w:t>
      </w:r>
    </w:p>
    <w:p w14:paraId="4DED317B" w14:textId="77777777" w:rsidR="008F3E30" w:rsidRDefault="008F3E30" w:rsidP="008F3E30">
      <w:pPr>
        <w:spacing w:after="0" w:line="240" w:lineRule="auto"/>
        <w:rPr>
          <w:rFonts w:cstheme="minorHAnsi"/>
        </w:rPr>
      </w:pPr>
    </w:p>
    <w:p w14:paraId="0BFE5894" w14:textId="42231C52" w:rsidR="008F3E30" w:rsidRPr="00B03AD7" w:rsidRDefault="008F3E30" w:rsidP="00B03AD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Shubin, N. 2009. Your Inner Fish. 1</w:t>
      </w:r>
      <w:r w:rsidRPr="008E16A5">
        <w:rPr>
          <w:rFonts w:eastAsia="Times New Roman" w:cstheme="minorHAnsi"/>
        </w:rPr>
        <w:t xml:space="preserve">st </w:t>
      </w:r>
      <w:r>
        <w:rPr>
          <w:rFonts w:eastAsia="Times New Roman" w:cstheme="minorHAnsi"/>
        </w:rPr>
        <w:t>ed. New York (NY): Vintage Books. Chapter 1, Finding Your Inner Fish; p. 3-27.</w:t>
      </w:r>
    </w:p>
    <w:p w14:paraId="424D1C7B" w14:textId="77777777" w:rsidR="009763D6" w:rsidRPr="00AF37E5" w:rsidRDefault="009763D6" w:rsidP="00E61C2C">
      <w:pPr>
        <w:spacing w:line="360" w:lineRule="auto"/>
        <w:rPr>
          <w:rFonts w:cstheme="minorHAnsi"/>
        </w:rPr>
      </w:pPr>
    </w:p>
    <w:sectPr w:rsidR="009763D6" w:rsidRPr="00AF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DE"/>
    <w:rsid w:val="000414B3"/>
    <w:rsid w:val="00046E9E"/>
    <w:rsid w:val="00067097"/>
    <w:rsid w:val="00076E84"/>
    <w:rsid w:val="00087B56"/>
    <w:rsid w:val="0013386B"/>
    <w:rsid w:val="0018127E"/>
    <w:rsid w:val="00184A45"/>
    <w:rsid w:val="001C6FEB"/>
    <w:rsid w:val="001D4DD2"/>
    <w:rsid w:val="002842DF"/>
    <w:rsid w:val="002B1943"/>
    <w:rsid w:val="002B32E7"/>
    <w:rsid w:val="002D13D0"/>
    <w:rsid w:val="0031260E"/>
    <w:rsid w:val="00326AFF"/>
    <w:rsid w:val="00367086"/>
    <w:rsid w:val="00373873"/>
    <w:rsid w:val="00374464"/>
    <w:rsid w:val="003A2E6F"/>
    <w:rsid w:val="003C23EA"/>
    <w:rsid w:val="00410E51"/>
    <w:rsid w:val="00420CB3"/>
    <w:rsid w:val="00421E44"/>
    <w:rsid w:val="00424E82"/>
    <w:rsid w:val="00442B5A"/>
    <w:rsid w:val="0044599D"/>
    <w:rsid w:val="004469F5"/>
    <w:rsid w:val="00451393"/>
    <w:rsid w:val="00466856"/>
    <w:rsid w:val="0047246E"/>
    <w:rsid w:val="004A7EBB"/>
    <w:rsid w:val="004B1FAC"/>
    <w:rsid w:val="004F1D75"/>
    <w:rsid w:val="00512B13"/>
    <w:rsid w:val="00521F33"/>
    <w:rsid w:val="005461AD"/>
    <w:rsid w:val="00551E59"/>
    <w:rsid w:val="00570DEB"/>
    <w:rsid w:val="005A09D6"/>
    <w:rsid w:val="00633F64"/>
    <w:rsid w:val="006348AE"/>
    <w:rsid w:val="0064175E"/>
    <w:rsid w:val="0066239D"/>
    <w:rsid w:val="006966CE"/>
    <w:rsid w:val="006C6248"/>
    <w:rsid w:val="006D3236"/>
    <w:rsid w:val="006D50E4"/>
    <w:rsid w:val="00711FBD"/>
    <w:rsid w:val="00717B82"/>
    <w:rsid w:val="007312C9"/>
    <w:rsid w:val="0074707C"/>
    <w:rsid w:val="00752EFD"/>
    <w:rsid w:val="007802DE"/>
    <w:rsid w:val="00780F71"/>
    <w:rsid w:val="007C25E9"/>
    <w:rsid w:val="007E0E2C"/>
    <w:rsid w:val="007E7A8C"/>
    <w:rsid w:val="00814EBF"/>
    <w:rsid w:val="008A55CA"/>
    <w:rsid w:val="008B4C46"/>
    <w:rsid w:val="008C3E4E"/>
    <w:rsid w:val="008D23D7"/>
    <w:rsid w:val="008E16A5"/>
    <w:rsid w:val="008E73F1"/>
    <w:rsid w:val="008F3E30"/>
    <w:rsid w:val="00903761"/>
    <w:rsid w:val="00911D77"/>
    <w:rsid w:val="0091529A"/>
    <w:rsid w:val="00924B35"/>
    <w:rsid w:val="009763D6"/>
    <w:rsid w:val="0098289B"/>
    <w:rsid w:val="009B7D1F"/>
    <w:rsid w:val="009E0E49"/>
    <w:rsid w:val="00A03D89"/>
    <w:rsid w:val="00A24E41"/>
    <w:rsid w:val="00A56140"/>
    <w:rsid w:val="00A56EDF"/>
    <w:rsid w:val="00A90889"/>
    <w:rsid w:val="00AA32BC"/>
    <w:rsid w:val="00AE7319"/>
    <w:rsid w:val="00AF37E5"/>
    <w:rsid w:val="00AF60DF"/>
    <w:rsid w:val="00B03AD7"/>
    <w:rsid w:val="00B239B5"/>
    <w:rsid w:val="00B254CE"/>
    <w:rsid w:val="00B3082E"/>
    <w:rsid w:val="00B43604"/>
    <w:rsid w:val="00B46F2C"/>
    <w:rsid w:val="00B7531A"/>
    <w:rsid w:val="00B81A71"/>
    <w:rsid w:val="00B83050"/>
    <w:rsid w:val="00BA6F89"/>
    <w:rsid w:val="00BF1F8C"/>
    <w:rsid w:val="00C13D63"/>
    <w:rsid w:val="00C26EA6"/>
    <w:rsid w:val="00C37533"/>
    <w:rsid w:val="00C43369"/>
    <w:rsid w:val="00C820BA"/>
    <w:rsid w:val="00C849B7"/>
    <w:rsid w:val="00CB2834"/>
    <w:rsid w:val="00D11536"/>
    <w:rsid w:val="00D1646A"/>
    <w:rsid w:val="00D33E01"/>
    <w:rsid w:val="00D463AA"/>
    <w:rsid w:val="00D70035"/>
    <w:rsid w:val="00DC1559"/>
    <w:rsid w:val="00DF5727"/>
    <w:rsid w:val="00E05164"/>
    <w:rsid w:val="00E06D01"/>
    <w:rsid w:val="00E4359C"/>
    <w:rsid w:val="00E45105"/>
    <w:rsid w:val="00E60A04"/>
    <w:rsid w:val="00E61C2C"/>
    <w:rsid w:val="00E61EB4"/>
    <w:rsid w:val="00E63D49"/>
    <w:rsid w:val="00E95669"/>
    <w:rsid w:val="00EC60FB"/>
    <w:rsid w:val="00EC625D"/>
    <w:rsid w:val="00F44971"/>
    <w:rsid w:val="00F529E4"/>
    <w:rsid w:val="00F929B8"/>
    <w:rsid w:val="00FA1954"/>
    <w:rsid w:val="00FA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DBD3"/>
  <w15:chartTrackingRefBased/>
  <w15:docId w15:val="{E2D5AA1D-D749-4995-9AC8-635637EE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6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9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00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3</cp:revision>
  <dcterms:created xsi:type="dcterms:W3CDTF">2021-07-07T17:20:00Z</dcterms:created>
  <dcterms:modified xsi:type="dcterms:W3CDTF">2021-07-08T00:35:00Z</dcterms:modified>
</cp:coreProperties>
</file>