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C0392B"/>
          <w:sz w:val="52"/>
          <w:szCs w:val="52"/>
        </w:rPr>
        <w:t xml:space="preserve">THE MAKEUP BLOWOUT SALE</w:t>
      </w:r>
    </w:p>
    <w:p>
      <w:pPr>
        <w:spacing w:after="80"/>
        <w:jc w:val="center"/>
      </w:pPr>
      <w:r>
        <w:rPr>
          <w:rFonts w:ascii="Arial" w:cs="Arial" w:eastAsia="Arial" w:hAnsi="Arial"/>
          <w:color w:val="666666"/>
          <w:sz w:val="28"/>
          <w:szCs w:val="28"/>
        </w:rPr>
        <w:t xml:space="preserve">Social Media Inbox — Knowledge Base &amp; Response Guide</w:t>
      </w:r>
    </w:p>
    <w:p>
      <w:pPr>
        <w:spacing w:after="400"/>
        <w:jc w:val="center"/>
      </w:pPr>
      <w:r>
        <w:rPr>
          <w:rFonts w:ascii="Arial" w:cs="Arial" w:eastAsia="Arial" w:hAnsi="Arial"/>
          <w:i/>
          <w:iCs/>
          <w:color w:val="888888"/>
          <w:sz w:val="22"/>
          <w:szCs w:val="22"/>
        </w:rPr>
        <w:t xml:space="preserve">For use by Coworker managing Meta Business Suite Inbox</w:t>
      </w:r>
    </w:p>
    <w:p>
      <w:pPr>
        <w:pStyle w:val="Heading1"/>
      </w:pPr>
      <w:r>
        <w:rPr>
          <w:rFonts w:ascii="Arial" w:cs="Arial" w:eastAsia="Arial" w:hAnsi="Arial"/>
          <w:b/>
          <w:bCs/>
          <w:color w:val="C0392B"/>
          <w:sz w:val="32"/>
          <w:szCs w:val="32"/>
        </w:rPr>
        <w:t xml:space="preserve">1. About The Business</w:t>
      </w:r>
    </w:p>
    <w:p>
      <w:pPr>
        <w:spacing w:after="120"/>
      </w:pPr>
      <w:r>
        <w:rPr>
          <w:rFonts w:ascii="Arial" w:cs="Arial" w:eastAsia="Arial" w:hAnsi="Arial"/>
          <w:sz w:val="22"/>
          <w:szCs w:val="22"/>
        </w:rPr>
        <w:t xml:space="preserve">The Makeup Blowout Sale Group Inc. is a traveling pop-up beauty sale company that hosts 50+ events per year at hotel venues across the United States. Events are free admission and run Friday through Sunday, 10am–5pm. We sell discounted makeup and beauty products at up to 90% off retail prices.</w:t>
      </w:r>
    </w:p>
    <w:p>
      <w:pPr>
        <w:spacing w:after="160"/>
      </w:pPr>
    </w:p>
    <w:p>
      <w:pPr>
        <w:pStyle w:val="Heading2"/>
      </w:pPr>
      <w:r>
        <w:rPr>
          <w:rFonts w:ascii="Arial" w:cs="Arial" w:eastAsia="Arial" w:hAnsi="Arial"/>
          <w:b/>
          <w:bCs/>
          <w:color w:val="2C3E50"/>
          <w:sz w:val="26"/>
          <w:szCs w:val="26"/>
        </w:rPr>
        <w:t xml:space="preserve">Brands We Carry</w:t>
      </w:r>
    </w:p>
    <w:p>
      <w:pPr>
        <w:pStyle w:val="ListParagraph"/>
        <w:numPr>
          <w:ilvl w:val="0"/>
          <w:numId w:val="2"/>
        </w:numPr>
        <w:spacing w:after="80"/>
      </w:pPr>
      <w:r>
        <w:rPr>
          <w:rFonts w:ascii="Arial" w:cs="Arial" w:eastAsia="Arial" w:hAnsi="Arial"/>
          <w:sz w:val="22"/>
          <w:szCs w:val="22"/>
        </w:rPr>
        <w:t xml:space="preserve">Beauty Creations, Kara Beauty, Lurella, Rude Cosmetics, Prolux</w:t>
      </w:r>
    </w:p>
    <w:p>
      <w:pPr>
        <w:pStyle w:val="ListParagraph"/>
        <w:numPr>
          <w:ilvl w:val="0"/>
          <w:numId w:val="2"/>
        </w:numPr>
        <w:spacing w:after="80"/>
      </w:pPr>
      <w:r>
        <w:rPr>
          <w:rFonts w:ascii="Arial" w:cs="Arial" w:eastAsia="Arial" w:hAnsi="Arial"/>
          <w:sz w:val="22"/>
          <w:szCs w:val="22"/>
        </w:rPr>
        <w:t xml:space="preserve">Amuse, Romantic Beauty, XimeBeauty, Jill Zarin Skincare</w:t>
      </w:r>
    </w:p>
    <w:p>
      <w:pPr>
        <w:pStyle w:val="ListParagraph"/>
        <w:numPr>
          <w:ilvl w:val="0"/>
          <w:numId w:val="2"/>
        </w:numPr>
        <w:spacing w:after="200"/>
      </w:pPr>
      <w:r>
        <w:rPr>
          <w:rFonts w:ascii="Arial" w:cs="Arial" w:eastAsia="Arial" w:hAnsi="Arial"/>
          <w:sz w:val="22"/>
          <w:szCs w:val="22"/>
        </w:rPr>
        <w:t xml:space="preserve">Feral Edge Hair Products, and more!</w:t>
      </w:r>
    </w:p>
    <w:p>
      <w:pPr>
        <w:pStyle w:val="Heading2"/>
      </w:pPr>
      <w:r>
        <w:rPr>
          <w:rFonts w:ascii="Arial" w:cs="Arial" w:eastAsia="Arial" w:hAnsi="Arial"/>
          <w:b/>
          <w:bCs/>
          <w:color w:val="2C3E50"/>
          <w:sz w:val="26"/>
          <w:szCs w:val="26"/>
        </w:rPr>
        <w:t xml:space="preserve">Mystery Box</w:t>
      </w:r>
    </w:p>
    <w:p>
      <w:pPr>
        <w:spacing w:after="120"/>
      </w:pPr>
      <w:r>
        <w:rPr>
          <w:rFonts w:ascii="Arial" w:cs="Arial" w:eastAsia="Arial" w:hAnsi="Arial"/>
          <w:sz w:val="22"/>
          <w:szCs w:val="22"/>
        </w:rPr>
        <w:t xml:space="preserve">$45 for 13–15 full-size products. An amazing deal — always a crowd favorite!</w:t>
      </w:r>
    </w:p>
    <w:p>
      <w:pPr>
        <w:spacing w:after="160"/>
      </w:pPr>
    </w:p>
    <w:p>
      <w:pPr>
        <w:pStyle w:val="Heading2"/>
      </w:pPr>
      <w:r>
        <w:rPr>
          <w:rFonts w:ascii="Arial" w:cs="Arial" w:eastAsia="Arial" w:hAnsi="Arial"/>
          <w:b/>
          <w:bCs/>
          <w:color w:val="2C3E50"/>
          <w:sz w:val="26"/>
          <w:szCs w:val="26"/>
        </w:rPr>
        <w:t xml:space="preserve">Payment Methods</w:t>
      </w:r>
    </w:p>
    <w:p>
      <w:pPr>
        <w:spacing w:after="120"/>
      </w:pPr>
      <w:r>
        <w:rPr>
          <w:rFonts w:ascii="Arial" w:cs="Arial" w:eastAsia="Arial" w:hAnsi="Arial"/>
          <w:sz w:val="22"/>
          <w:szCs w:val="22"/>
        </w:rPr>
        <w:t xml:space="preserve">We accept ALL payment methods including cash, credit/debit cards, and tap-to-pay.</w:t>
      </w:r>
    </w:p>
    <w:p>
      <w:pPr>
        <w:spacing w:after="300"/>
      </w:pPr>
    </w:p>
    <w:p>
      <w:pPr>
        <w:pStyle w:val="Heading1"/>
      </w:pPr>
      <w:r>
        <w:rPr>
          <w:rFonts w:ascii="Arial" w:cs="Arial" w:eastAsia="Arial" w:hAnsi="Arial"/>
          <w:b/>
          <w:bCs/>
          <w:color w:val="C0392B"/>
          <w:sz w:val="32"/>
          <w:szCs w:val="32"/>
        </w:rPr>
        <w:t xml:space="preserve">2. Tone &amp; Communication Style</w:t>
      </w:r>
    </w:p>
    <w:p>
      <w:pPr>
        <w:pStyle w:val="ListParagraph"/>
        <w:numPr>
          <w:ilvl w:val="0"/>
          <w:numId w:val="2"/>
        </w:numPr>
        <w:spacing w:after="80"/>
      </w:pPr>
      <w:r>
        <w:rPr>
          <w:rFonts w:ascii="Arial" w:cs="Arial" w:eastAsia="Arial" w:hAnsi="Arial"/>
          <w:sz w:val="22"/>
          <w:szCs w:val="22"/>
        </w:rPr>
        <w:t xml:space="preserve">Warm, casual, friendly — 'for the girls' energy</w:t>
      </w:r>
    </w:p>
    <w:p>
      <w:pPr>
        <w:pStyle w:val="ListParagraph"/>
        <w:numPr>
          <w:ilvl w:val="0"/>
          <w:numId w:val="2"/>
        </w:numPr>
        <w:spacing w:after="80"/>
      </w:pPr>
      <w:r>
        <w:rPr>
          <w:rFonts w:ascii="Arial" w:cs="Arial" w:eastAsia="Arial" w:hAnsi="Arial"/>
          <w:sz w:val="22"/>
          <w:szCs w:val="22"/>
        </w:rPr>
        <w:t xml:space="preserve">Always use emojis 💄✨💜</w:t>
      </w:r>
    </w:p>
    <w:p>
      <w:pPr>
        <w:pStyle w:val="ListParagraph"/>
        <w:numPr>
          <w:ilvl w:val="0"/>
          <w:numId w:val="2"/>
        </w:numPr>
        <w:spacing w:after="80"/>
      </w:pPr>
      <w:r>
        <w:rPr>
          <w:rFonts w:ascii="Arial" w:cs="Arial" w:eastAsia="Arial" w:hAnsi="Arial"/>
          <w:sz w:val="22"/>
          <w:szCs w:val="22"/>
        </w:rPr>
        <w:t xml:space="preserve">Keep replies short and punchy</w:t>
      </w:r>
    </w:p>
    <w:p>
      <w:pPr>
        <w:pStyle w:val="ListParagraph"/>
        <w:numPr>
          <w:ilvl w:val="0"/>
          <w:numId w:val="2"/>
        </w:numPr>
        <w:spacing w:after="80"/>
      </w:pPr>
      <w:r>
        <w:rPr>
          <w:rFonts w:ascii="Arial" w:cs="Arial" w:eastAsia="Arial" w:hAnsi="Arial"/>
          <w:sz w:val="22"/>
          <w:szCs w:val="22"/>
        </w:rPr>
        <w:t xml:space="preserve">Never sound corporate or robotic</w:t>
      </w:r>
    </w:p>
    <w:p>
      <w:pPr>
        <w:pStyle w:val="ListParagraph"/>
        <w:numPr>
          <w:ilvl w:val="0"/>
          <w:numId w:val="2"/>
        </w:numPr>
        <w:spacing w:after="80"/>
      </w:pPr>
      <w:r>
        <w:rPr>
          <w:rFonts w:ascii="Arial" w:cs="Arial" w:eastAsia="Arial" w:hAnsi="Arial"/>
          <w:sz w:val="22"/>
          <w:szCs w:val="22"/>
        </w:rPr>
        <w:t xml:space="preserve">If a city is not on the schedule — be warm and redirect, never just say 'no'</w:t>
      </w:r>
    </w:p>
    <w:p>
      <w:pPr>
        <w:pStyle w:val="ListParagraph"/>
        <w:numPr>
          <w:ilvl w:val="0"/>
          <w:numId w:val="2"/>
        </w:numPr>
        <w:spacing w:after="80"/>
      </w:pPr>
      <w:r>
        <w:rPr>
          <w:rFonts w:ascii="Arial" w:cs="Arial" w:eastAsia="Arial" w:hAnsi="Arial"/>
          <w:sz w:val="22"/>
          <w:szCs w:val="22"/>
        </w:rPr>
        <w:t xml:space="preserve">Always include the FULL venue address (not just the city name) when answering location questions</w:t>
      </w:r>
    </w:p>
    <w:p>
      <w:pPr>
        <w:spacing w:after="300"/>
      </w:pPr>
    </w:p>
    <w:p>
      <w:pPr>
        <w:pStyle w:val="Heading1"/>
      </w:pPr>
      <w:r>
        <w:rPr>
          <w:rFonts w:ascii="Arial" w:cs="Arial" w:eastAsia="Arial" w:hAnsi="Arial"/>
          <w:b/>
          <w:bCs/>
          <w:color w:val="C0392B"/>
          <w:sz w:val="32"/>
          <w:szCs w:val="32"/>
        </w:rPr>
        <w:t xml:space="preserve">3. Frequently Asked Questions &amp; Standard Replies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QUESTION</w:t>
            </w:r>
          </w:p>
        </w:tc>
        <w:tc>
          <w:tcPr>
            <w:tcW w:type="dxa" w:w="556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STANDARD REPLY</w:t>
            </w:r>
          </w:p>
        </w:tc>
      </w:tr>
      <w:tr>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Is admission free?</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Yes! 🎉 Free admission — no ticket needed! Just show up and shop! 💄✨</w:t>
            </w:r>
          </w:p>
        </w:tc>
      </w:tr>
      <w:tr>
        <w:tc>
          <w:tcPr>
            <w:tcW w:type="dxa" w:w="38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b/>
                <w:bCs/>
                <w:sz w:val="22"/>
                <w:szCs w:val="22"/>
              </w:rPr>
              <w:t xml:space="preserve">What are the hours?</w:t>
            </w:r>
          </w:p>
        </w:tc>
        <w:tc>
          <w:tcPr>
            <w:tcW w:type="dxa" w:w="55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sz w:val="22"/>
                <w:szCs w:val="22"/>
              </w:rPr>
              <w:t xml:space="preserve">We're open Friday, Saturday &amp; Sunday from 10am to 5pm ⏰✨</w:t>
            </w:r>
          </w:p>
        </w:tc>
      </w:tr>
      <w:tr>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What brands do you have?</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We carry Beauty Creations, Kara Beauty, Lurella, Rude, Prolux, Amuse, Romantic Beauty, XimeBeauty, Jill Zarin skincare, Feral Edge hair products &amp; more! 💄💜 Up to 90% off retail!</w:t>
            </w:r>
          </w:p>
        </w:tc>
      </w:tr>
      <w:tr>
        <w:tc>
          <w:tcPr>
            <w:tcW w:type="dxa" w:w="38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b/>
                <w:bCs/>
                <w:sz w:val="22"/>
                <w:szCs w:val="22"/>
              </w:rPr>
              <w:t xml:space="preserve">What is the Mystery Box?</w:t>
            </w:r>
          </w:p>
        </w:tc>
        <w:tc>
          <w:tcPr>
            <w:tcW w:type="dxa" w:w="55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sz w:val="22"/>
                <w:szCs w:val="22"/>
              </w:rPr>
              <w:t xml:space="preserve">$45 for 13–15 FULL-SIZE products 📦💥 Available in-person at every event AND online at https://www.themakeupblowout.com ✨ Always sells out fast!</w:t>
            </w:r>
          </w:p>
        </w:tc>
      </w:tr>
      <w:tr>
        <w:tc>
          <w:tcPr>
            <w:tcW w:type="dxa" w:w="38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b/>
                <w:bCs/>
                <w:sz w:val="22"/>
                <w:szCs w:val="22"/>
              </w:rPr>
              <w:t xml:space="preserve">Can I shop online? / Do you sell online?</w:t>
            </w:r>
          </w:p>
        </w:tc>
        <w:tc>
          <w:tcPr>
            <w:tcW w:type="dxa" w:w="55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sz w:val="22"/>
                <w:szCs w:val="22"/>
              </w:rPr>
              <w:t xml:space="preserve">Our Mystery Box is the only thing available online — grab it at https://www.themakeupblowout.com 💄 Everything else is in-person only at our pop-up events! ✨</w:t>
            </w:r>
          </w:p>
        </w:tc>
      </w:tr>
      <w:tr>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Do you take card / Apple Pay?</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Yes! We accept ALL payment methods including tap-to-pay, Apple Pay, credit/debit cards, and cash 💳✅</w:t>
            </w:r>
          </w:p>
        </w:tc>
      </w:tr>
      <w:tr>
        <w:tc>
          <w:tcPr>
            <w:tcW w:type="dxa" w:w="38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b/>
                <w:bCs/>
                <w:sz w:val="22"/>
                <w:szCs w:val="22"/>
              </w:rPr>
              <w:t xml:space="preserve">Where exactly is the event?</w:t>
            </w:r>
          </w:p>
        </w:tc>
        <w:tc>
          <w:tcPr>
            <w:tcW w:type="dxa" w:w="55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sz w:val="22"/>
                <w:szCs w:val="22"/>
              </w:rPr>
              <w:t xml:space="preserve">[ALWAYS include the full venue name + street address + city + state. Never just the city name!]</w:t>
            </w:r>
          </w:p>
        </w:tc>
      </w:tr>
      <w:tr>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How much are the products?</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Prices vary by product, but everything is UP TO 90% OFF retail prices 😱 You'll find items from just a few dollars up to premium sets!</w:t>
            </w:r>
          </w:p>
        </w:tc>
      </w:tr>
      <w:tr>
        <w:tc>
          <w:tcPr>
            <w:tcW w:type="dxa" w:w="38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b/>
                <w:bCs/>
                <w:sz w:val="22"/>
                <w:szCs w:val="22"/>
              </w:rPr>
              <w:t xml:space="preserve">Do you do returns / exchanges?</w:t>
            </w:r>
          </w:p>
        </w:tc>
        <w:tc>
          <w:tcPr>
            <w:tcW w:type="dxa" w:w="55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sz w:val="22"/>
                <w:szCs w:val="22"/>
              </w:rPr>
              <w:t xml:space="preserve">All sales are final — we're a pop-up sale event, so we can't process returns. But our team at the event will always help you find the perfect product! 💕</w:t>
            </w:r>
          </w:p>
        </w:tc>
      </w:tr>
      <w:tr>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Will you be in [city not on schedule]?</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We visit each city once every 1–2 years to keep things exciting 🤩 Which city would YOU recommend we come to next? We'll do our best to make it happen! 💄✨</w:t>
            </w:r>
          </w:p>
        </w:tc>
      </w:tr>
      <w:tr>
        <w:tc>
          <w:tcPr>
            <w:tcW w:type="dxa" w:w="38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b/>
                <w:bCs/>
                <w:sz w:val="22"/>
                <w:szCs w:val="22"/>
              </w:rPr>
              <w:t xml:space="preserve">When are you coming back to [city]?</w:t>
            </w:r>
          </w:p>
        </w:tc>
        <w:tc>
          <w:tcPr>
            <w:tcW w:type="dxa" w:w="55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sz w:val="22"/>
                <w:szCs w:val="22"/>
              </w:rPr>
              <w:t xml:space="preserve">We try to visit each city once every 1–2 years! Keep an eye on our Facebook page for new dates 👀 Which city are you hoping for?</w:t>
            </w:r>
          </w:p>
        </w:tc>
      </w:tr>
      <w:tr>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How do I stay updated on new events?</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Follow us on Instagram &amp; Facebook @themakeupblowoutsale and sign up at our website to get notified first! 📲✨</w:t>
            </w:r>
          </w:p>
        </w:tc>
      </w:tr>
      <w:tr>
        <w:tc>
          <w:tcPr>
            <w:tcW w:type="dxa" w:w="38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b/>
                <w:bCs/>
                <w:sz w:val="22"/>
                <w:szCs w:val="22"/>
              </w:rPr>
              <w:t xml:space="preserve">Is parking available?</w:t>
            </w:r>
          </w:p>
        </w:tc>
        <w:tc>
          <w:tcPr>
            <w:tcW w:type="dxa" w:w="55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sz w:val="22"/>
                <w:szCs w:val="22"/>
              </w:rPr>
              <w:t xml:space="preserve">Yes! The event is held at a hotel, so parking is available on-site. Details at the specific venue address.</w:t>
            </w:r>
          </w:p>
        </w:tc>
      </w:tr>
      <w:tr>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Do you have skincare / hair products?</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Yes! We carry Jill Zarin skincare and Feral Edge hair products, plus lots of beauty goodies! 💆‍♀️✨</w:t>
            </w:r>
          </w:p>
        </w:tc>
      </w:tr>
      <w:tr>
        <w:tc>
          <w:tcPr>
            <w:tcW w:type="dxa" w:w="38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b/>
                <w:bCs/>
                <w:sz w:val="22"/>
                <w:szCs w:val="22"/>
              </w:rPr>
              <w:t xml:space="preserve">Are the products authentic / real brands?</w:t>
            </w:r>
          </w:p>
        </w:tc>
        <w:tc>
          <w:tcPr>
            <w:tcW w:type="dxa" w:w="55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sz w:val="22"/>
                <w:szCs w:val="22"/>
              </w:rPr>
              <w:t xml:space="preserve">100% yes! All our products are authentic, name-brand beauty items 💯 We source directly and pass the savings on to you!</w:t>
            </w:r>
          </w:p>
        </w:tc>
      </w:tr>
      <w:tr>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Negative comment / skeptical customer</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We totally understand the hesitation! We're a legitimate traveling beauty sale — come check us out in person and see for yourself. Thousands of happy customers can’t be wrong! 💄✨ We’d love to see you there!</w:t>
            </w:r>
          </w:p>
        </w:tc>
      </w:tr>
    </w:tbl>
    <w:p>
      <w:pPr>
        <w:spacing w:after="300"/>
      </w:pPr>
    </w:p>
    <w:p>
      <w:pPr>
        <w:pStyle w:val="Heading1"/>
      </w:pPr>
      <w:r>
        <w:rPr>
          <w:rFonts w:ascii="Arial" w:cs="Arial" w:eastAsia="Arial" w:hAnsi="Arial"/>
          <w:b/>
          <w:bCs/>
          <w:color w:val="C0392B"/>
          <w:sz w:val="32"/>
          <w:szCs w:val="32"/>
        </w:rPr>
        <w:t xml:space="preserve">4. 2026 Upcoming Event Schedule</w:t>
      </w:r>
    </w:p>
    <w:p>
      <w:pPr>
        <w:spacing w:after="120"/>
      </w:pPr>
      <w:r>
        <w:rPr>
          <w:rFonts w:ascii="Arial" w:cs="Arial" w:eastAsia="Arial" w:hAnsi="Arial"/>
          <w:sz w:val="22"/>
          <w:szCs w:val="22"/>
        </w:rPr>
        <w:t xml:space="preserve">Use this to answer questions about upcoming events. Always check the latest schedule before replying — dates or cities may be updated.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DATES</w:t>
            </w:r>
          </w:p>
        </w:tc>
        <w:tc>
          <w:tcPr>
            <w:tcW w:type="dxa" w:w="6560"/>
            <w:tcBorders>
              <w:top w:val="single" w:color="CCCCCC" w:sz="1"/>
              <w:left w:val="single" w:color="CCCCCC" w:sz="1"/>
              <w:bottom w:val="single" w:color="CCCCCC" w:sz="1"/>
              <w:right w:val="single" w:color="CCCCCC"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CITY</w:t>
            </w:r>
          </w:p>
        </w:tc>
      </w:tr>
      <w:tr>
        <w:tc>
          <w:tcPr>
            <w:tcW w:type="dxa" w:w="2800"/>
          </w:tcPr>
          <w:p>
            <w:r>
              <w:t>April 24–26</w:t>
            </w:r>
          </w:p>
        </w:tc>
        <w:tc>
          <w:tcPr>
            <w:tcW w:type="dxa" w:w="6560"/>
          </w:tcPr>
          <w:p>
            <w:r>
              <w:t>Louisville, KY</w:t>
            </w:r>
          </w:p>
        </w:tc>
      </w:tr>
      <w:tr>
        <w:tc>
          <w:tcPr>
            <w:tcW w:type="dxa" w:w="2800"/>
          </w:tcPr>
          <w:p>
            <w:r>
              <w:t>May 1–3</w:t>
            </w:r>
          </w:p>
        </w:tc>
        <w:tc>
          <w:tcPr>
            <w:tcW w:type="dxa" w:w="6560"/>
          </w:tcPr>
          <w:p>
            <w:r>
              <w:t>Nashville, TN</w:t>
            </w:r>
          </w:p>
        </w:tc>
      </w:tr>
      <w:tr>
        <w:tc>
          <w:tcPr>
            <w:tcW w:type="dxa" w:w="2800"/>
          </w:tcPr>
          <w:p>
            <w:r>
              <w:t>May 8–10</w:t>
            </w:r>
          </w:p>
        </w:tc>
        <w:tc>
          <w:tcPr>
            <w:tcW w:type="dxa" w:w="6560"/>
          </w:tcPr>
          <w:p>
            <w:r>
              <w:t>Columbia, MO</w:t>
            </w:r>
          </w:p>
        </w:tc>
      </w:tr>
      <w:tr>
        <w:tc>
          <w:tcPr>
            <w:tcW w:type="dxa" w:w="2800"/>
          </w:tcPr>
          <w:p>
            <w:r>
              <w:t>May 15–17</w:t>
            </w:r>
          </w:p>
        </w:tc>
        <w:tc>
          <w:tcPr>
            <w:tcW w:type="dxa" w:w="6560"/>
          </w:tcPr>
          <w:p>
            <w:r>
              <w:t>Milwaukee, WI</w:t>
            </w:r>
          </w:p>
        </w:tc>
      </w:tr>
      <w:tr>
        <w:tc>
          <w:tcPr>
            <w:tcW w:type="dxa" w:w="2800"/>
          </w:tcPr>
          <w:p>
            <w:r>
              <w:t>May 22–24</w:t>
            </w:r>
          </w:p>
        </w:tc>
        <w:tc>
          <w:tcPr>
            <w:tcW w:type="dxa" w:w="6560"/>
          </w:tcPr>
          <w:p>
            <w:r>
              <w:t>Roseville / Minneapolis, MN</w:t>
            </w:r>
          </w:p>
        </w:tc>
      </w:tr>
      <w:tr>
        <w:tc>
          <w:tcPr>
            <w:tcW w:type="dxa" w:w="2800"/>
          </w:tcPr>
          <w:p>
            <w:r>
              <w:t>May 29–31</w:t>
            </w:r>
          </w:p>
        </w:tc>
        <w:tc>
          <w:tcPr>
            <w:tcW w:type="dxa" w:w="6560"/>
          </w:tcPr>
          <w:p>
            <w:r>
              <w:t>Cleveland, OH</w:t>
            </w:r>
          </w:p>
        </w:tc>
      </w:tr>
      <w:tr>
        <w:tc>
          <w:tcPr>
            <w:tcW w:type="dxa" w:w="2800"/>
          </w:tcPr>
          <w:p>
            <w:r>
              <w:t>June 5–7</w:t>
            </w:r>
          </w:p>
        </w:tc>
        <w:tc>
          <w:tcPr>
            <w:tcW w:type="dxa" w:w="6560"/>
          </w:tcPr>
          <w:p>
            <w:r>
              <w:t>Omaha, NE</w:t>
            </w:r>
          </w:p>
        </w:tc>
      </w:tr>
      <w:tr>
        <w:tc>
          <w:tcPr>
            <w:tcW w:type="dxa" w:w="2800"/>
          </w:tcPr>
          <w:p>
            <w:r>
              <w:t>June 12–14</w:t>
            </w:r>
          </w:p>
        </w:tc>
        <w:tc>
          <w:tcPr>
            <w:tcW w:type="dxa" w:w="6560"/>
          </w:tcPr>
          <w:p>
            <w:r>
              <w:t>Overland Park, KS</w:t>
            </w:r>
          </w:p>
        </w:tc>
      </w:tr>
      <w:tr>
        <w:tc>
          <w:tcPr>
            <w:tcW w:type="dxa" w:w="2800"/>
          </w:tcPr>
          <w:p>
            <w:r>
              <w:t>June 19–21</w:t>
            </w:r>
          </w:p>
        </w:tc>
        <w:tc>
          <w:tcPr>
            <w:tcW w:type="dxa" w:w="6560"/>
          </w:tcPr>
          <w:p>
            <w:r>
              <w:t>Wichita, KS</w:t>
            </w:r>
          </w:p>
        </w:tc>
      </w:tr>
      <w:tr>
        <w:tc>
          <w:tcPr>
            <w:tcW w:type="dxa" w:w="2800"/>
          </w:tcPr>
          <w:p>
            <w:r>
              <w:t>June 26–28</w:t>
            </w:r>
          </w:p>
        </w:tc>
        <w:tc>
          <w:tcPr>
            <w:tcW w:type="dxa" w:w="6560"/>
          </w:tcPr>
          <w:p>
            <w:r>
              <w:t>Topeka, KS</w:t>
            </w:r>
          </w:p>
        </w:tc>
      </w:tr>
      <w:tr>
        <w:tc>
          <w:tcPr>
            <w:tcW w:type="dxa" w:w="2800"/>
          </w:tcPr>
          <w:p>
            <w:r>
              <w:t>July 3–5</w:t>
            </w:r>
          </w:p>
        </w:tc>
        <w:tc>
          <w:tcPr>
            <w:tcW w:type="dxa" w:w="6560"/>
          </w:tcPr>
          <w:p>
            <w:r>
              <w:t>Fort Collins, CO</w:t>
            </w:r>
          </w:p>
        </w:tc>
      </w:tr>
      <w:tr>
        <w:tc>
          <w:tcPr>
            <w:tcW w:type="dxa" w:w="2800"/>
          </w:tcPr>
          <w:p>
            <w:r>
              <w:t>July 10–12</w:t>
            </w:r>
          </w:p>
        </w:tc>
        <w:tc>
          <w:tcPr>
            <w:tcW w:type="dxa" w:w="6560"/>
          </w:tcPr>
          <w:p>
            <w:r>
              <w:t>Mesa, AZ</w:t>
            </w:r>
          </w:p>
        </w:tc>
      </w:tr>
      <w:tr>
        <w:tc>
          <w:tcPr>
            <w:tcW w:type="dxa" w:w="2800"/>
          </w:tcPr>
          <w:p>
            <w:r>
              <w:t>July 17–19</w:t>
            </w:r>
          </w:p>
        </w:tc>
        <w:tc>
          <w:tcPr>
            <w:tcW w:type="dxa" w:w="6560"/>
          </w:tcPr>
          <w:p>
            <w:r>
              <w:t>Santa Maria, CA</w:t>
            </w:r>
          </w:p>
        </w:tc>
      </w:tr>
      <w:tr>
        <w:tc>
          <w:tcPr>
            <w:tcW w:type="dxa" w:w="2800"/>
          </w:tcPr>
          <w:p>
            <w:r>
              <w:t>July 24–26</w:t>
            </w:r>
          </w:p>
        </w:tc>
        <w:tc>
          <w:tcPr>
            <w:tcW w:type="dxa" w:w="6560"/>
          </w:tcPr>
          <w:p>
            <w:r>
              <w:t>Modesto, CA</w:t>
            </w:r>
          </w:p>
        </w:tc>
      </w:tr>
      <w:tr>
        <w:tc>
          <w:tcPr>
            <w:tcW w:type="dxa" w:w="2800"/>
          </w:tcPr>
          <w:p>
            <w:r>
              <w:t>July 31–Aug 2</w:t>
            </w:r>
          </w:p>
        </w:tc>
        <w:tc>
          <w:tcPr>
            <w:tcW w:type="dxa" w:w="6560"/>
          </w:tcPr>
          <w:p>
            <w:r>
              <w:t>Victorville, CA</w:t>
            </w:r>
          </w:p>
        </w:tc>
      </w:tr>
      <w:tr>
        <w:tc>
          <w:tcPr>
            <w:tcW w:type="dxa" w:w="2800"/>
          </w:tcPr>
          <w:p>
            <w:r>
              <w:t>Aug 7–9</w:t>
            </w:r>
          </w:p>
        </w:tc>
        <w:tc>
          <w:tcPr>
            <w:tcW w:type="dxa" w:w="6560"/>
          </w:tcPr>
          <w:p>
            <w:r>
              <w:t>Richmond, CA</w:t>
            </w:r>
          </w:p>
        </w:tc>
      </w:tr>
      <w:tr>
        <w:tc>
          <w:tcPr>
            <w:tcW w:type="dxa" w:w="2800"/>
          </w:tcPr>
          <w:p>
            <w:r>
              <w:t>Aug 14–16</w:t>
            </w:r>
          </w:p>
        </w:tc>
        <w:tc>
          <w:tcPr>
            <w:tcW w:type="dxa" w:w="6560"/>
          </w:tcPr>
          <w:p>
            <w:r>
              <w:t>Visalia, CA</w:t>
            </w:r>
          </w:p>
        </w:tc>
      </w:tr>
      <w:tr>
        <w:tc>
          <w:tcPr>
            <w:tcW w:type="dxa" w:w="2800"/>
          </w:tcPr>
          <w:p>
            <w:r>
              <w:t>Aug 21–23</w:t>
            </w:r>
          </w:p>
        </w:tc>
        <w:tc>
          <w:tcPr>
            <w:tcW w:type="dxa" w:w="6560"/>
          </w:tcPr>
          <w:p>
            <w:r>
              <w:t>Riverside, CA</w:t>
            </w:r>
          </w:p>
        </w:tc>
      </w:tr>
      <w:tr>
        <w:tc>
          <w:tcPr>
            <w:tcW w:type="dxa" w:w="2800"/>
          </w:tcPr>
          <w:p>
            <w:r>
              <w:t>Aug 28–30</w:t>
            </w:r>
          </w:p>
        </w:tc>
        <w:tc>
          <w:tcPr>
            <w:tcW w:type="dxa" w:w="6560"/>
          </w:tcPr>
          <w:p>
            <w:r>
              <w:t>San Jose, CA</w:t>
            </w:r>
          </w:p>
        </w:tc>
      </w:tr>
      <w:tr>
        <w:tc>
          <w:tcPr>
            <w:tcW w:type="dxa" w:w="2800"/>
          </w:tcPr>
          <w:p>
            <w:r>
              <w:t>Sep 4–6</w:t>
            </w:r>
          </w:p>
        </w:tc>
        <w:tc>
          <w:tcPr>
            <w:tcW w:type="dxa" w:w="6560"/>
          </w:tcPr>
          <w:p>
            <w:r>
              <w:t>Portland, OR</w:t>
            </w:r>
          </w:p>
        </w:tc>
      </w:tr>
      <w:tr>
        <w:tc>
          <w:tcPr>
            <w:tcW w:type="dxa" w:w="2800"/>
          </w:tcPr>
          <w:p>
            <w:r>
              <w:t>Sep 11–13</w:t>
            </w:r>
          </w:p>
        </w:tc>
        <w:tc>
          <w:tcPr>
            <w:tcW w:type="dxa" w:w="6560"/>
          </w:tcPr>
          <w:p>
            <w:r>
              <w:t>Boise, ID</w:t>
            </w:r>
          </w:p>
        </w:tc>
      </w:tr>
      <w:tr>
        <w:tc>
          <w:tcPr>
            <w:tcW w:type="dxa" w:w="2800"/>
          </w:tcPr>
          <w:p>
            <w:r>
              <w:t>Sep 25–27</w:t>
            </w:r>
          </w:p>
        </w:tc>
        <w:tc>
          <w:tcPr>
            <w:tcW w:type="dxa" w:w="6560"/>
          </w:tcPr>
          <w:p>
            <w:r>
              <w:t>Salt Lake City, UT</w:t>
            </w:r>
          </w:p>
        </w:tc>
      </w:tr>
      <w:tr>
        <w:tc>
          <w:tcPr>
            <w:tcW w:type="dxa" w:w="2800"/>
          </w:tcPr>
          <w:p>
            <w:r>
              <w:t>Oct 2–4</w:t>
            </w:r>
          </w:p>
        </w:tc>
        <w:tc>
          <w:tcPr>
            <w:tcW w:type="dxa" w:w="6560"/>
          </w:tcPr>
          <w:p>
            <w:r>
              <w:t>Bakersfield, CA</w:t>
            </w:r>
          </w:p>
        </w:tc>
      </w:tr>
      <w:tr>
        <w:tc>
          <w:tcPr>
            <w:tcW w:type="dxa" w:w="2800"/>
          </w:tcPr>
          <w:p>
            <w:r>
              <w:t>Oct 9–11</w:t>
            </w:r>
          </w:p>
        </w:tc>
        <w:tc>
          <w:tcPr>
            <w:tcW w:type="dxa" w:w="6560"/>
          </w:tcPr>
          <w:p>
            <w:r>
              <w:t>Reno, NV</w:t>
            </w:r>
          </w:p>
        </w:tc>
      </w:tr>
      <w:tr>
        <w:tc>
          <w:tcPr>
            <w:tcW w:type="dxa" w:w="2800"/>
          </w:tcPr>
          <w:p>
            <w:r>
              <w:t>Oct 16–18</w:t>
            </w:r>
          </w:p>
        </w:tc>
        <w:tc>
          <w:tcPr>
            <w:tcW w:type="dxa" w:w="6560"/>
          </w:tcPr>
          <w:p>
            <w:r>
              <w:t>Santa Fe, NM</w:t>
            </w:r>
          </w:p>
        </w:tc>
      </w:tr>
      <w:tr>
        <w:tc>
          <w:tcPr>
            <w:tcW w:type="dxa" w:w="2800"/>
          </w:tcPr>
          <w:p>
            <w:r>
              <w:t>Oct 23–25</w:t>
            </w:r>
          </w:p>
        </w:tc>
        <w:tc>
          <w:tcPr>
            <w:tcW w:type="dxa" w:w="6560"/>
          </w:tcPr>
          <w:p>
            <w:r>
              <w:t>Albuquerque, NM</w:t>
            </w:r>
          </w:p>
        </w:tc>
      </w:tr>
      <w:tr>
        <w:tc>
          <w:tcPr>
            <w:tcW w:type="dxa" w:w="2800"/>
          </w:tcPr>
          <w:p>
            <w:r>
              <w:t>Nov 6–8</w:t>
            </w:r>
          </w:p>
        </w:tc>
        <w:tc>
          <w:tcPr>
            <w:tcW w:type="dxa" w:w="6560"/>
          </w:tcPr>
          <w:p>
            <w:r>
              <w:t>South Denver (Centennial), CO</w:t>
            </w:r>
          </w:p>
        </w:tc>
      </w:tr>
      <w:tr>
        <w:tc>
          <w:tcPr>
            <w:tcW w:type="dxa" w:w="2800"/>
          </w:tcPr>
          <w:p>
            <w:r>
              <w:t>Nov 13–15</w:t>
            </w:r>
          </w:p>
        </w:tc>
        <w:tc>
          <w:tcPr>
            <w:tcW w:type="dxa" w:w="6560"/>
          </w:tcPr>
          <w:p>
            <w:r>
              <w:t>Westminster, CO</w:t>
            </w:r>
          </w:p>
        </w:tc>
      </w:tr>
      <w:tr>
        <w:tc>
          <w:tcPr>
            <w:tcW w:type="dxa" w:w="2800"/>
          </w:tcPr>
          <w:p>
            <w:r>
              <w:t>Nov 20–22</w:t>
            </w:r>
          </w:p>
        </w:tc>
        <w:tc>
          <w:tcPr>
            <w:tcW w:type="dxa" w:w="6560"/>
          </w:tcPr>
          <w:p>
            <w:r>
              <w:t>Tucson, AZ</w:t>
            </w:r>
          </w:p>
        </w:tc>
      </w:tr>
      <w:tr>
        <w:tc>
          <w:tcPr>
            <w:tcW w:type="dxa" w:w="2800"/>
          </w:tcPr>
          <w:p>
            <w:r>
              <w:t>Dec 4–6</w:t>
            </w:r>
          </w:p>
        </w:tc>
        <w:tc>
          <w:tcPr>
            <w:tcW w:type="dxa" w:w="6560"/>
          </w:tcPr>
          <w:p>
            <w:r>
              <w:t>Santa Ana, CA</w:t>
            </w:r>
          </w:p>
        </w:tc>
      </w:tr>
      <w:tr>
        <w:tc>
          <w:tcPr>
            <w:tcW w:type="dxa" w:w="2800"/>
          </w:tcPr>
          <w:p>
            <w:r>
              <w:t>Dec 11–13</w:t>
            </w:r>
          </w:p>
        </w:tc>
        <w:tc>
          <w:tcPr>
            <w:tcW w:type="dxa" w:w="6560"/>
          </w:tcPr>
          <w:p>
            <w:r>
              <w:t>Palm Desert, CA</w:t>
            </w:r>
          </w:p>
        </w:tc>
      </w:tr>
      <w:tr>
        <w:tc>
          <w:tcPr>
            <w:tcW w:type="dxa" w:w="2800"/>
          </w:tcPr>
          <w:p>
            <w:r>
              <w:t>Dec 18–20</w:t>
            </w:r>
          </w:p>
        </w:tc>
        <w:tc>
          <w:tcPr>
            <w:tcW w:type="dxa" w:w="6560"/>
          </w:tcPr>
          <w:p>
            <w:r>
              <w:t>Anaheim, CA</w:t>
            </w:r>
          </w:p>
        </w:tc>
      </w:tr>
      <w:tr>
        <w:tc>
          <w:tcPr>
            <w:tcW w:type="dxa" w:w="2800"/>
          </w:tcPr>
          <w:p>
            <w:r>
              <w:t>Jan 9–11</w:t>
            </w:r>
          </w:p>
        </w:tc>
        <w:tc>
          <w:tcPr>
            <w:tcW w:type="dxa" w:w="6560"/>
          </w:tcPr>
          <w:p>
            <w:r>
              <w:t>Glendale, AZ</w:t>
            </w:r>
          </w:p>
        </w:tc>
      </w:tr>
      <w:tr>
        <w:tc>
          <w:tcPr>
            <w:tcW w:type="dxa" w:w="2800"/>
          </w:tcPr>
          <w:p>
            <w:r>
              <w:t>Jan 16–18</w:t>
            </w:r>
          </w:p>
        </w:tc>
        <w:tc>
          <w:tcPr>
            <w:tcW w:type="dxa" w:w="6560"/>
          </w:tcPr>
          <w:p>
            <w:r>
              <w:t>Fresno, CA</w:t>
            </w:r>
          </w:p>
        </w:tc>
      </w:tr>
      <w:tr>
        <w:tc>
          <w:tcPr>
            <w:tcW w:type="dxa" w:w="2800"/>
          </w:tcPr>
          <w:p>
            <w:r>
              <w:t>Jan 23–25</w:t>
            </w:r>
          </w:p>
        </w:tc>
        <w:tc>
          <w:tcPr>
            <w:tcW w:type="dxa" w:w="6560"/>
          </w:tcPr>
          <w:p>
            <w:r>
              <w:t>El Cajon, CA</w:t>
            </w:r>
          </w:p>
        </w:tc>
      </w:tr>
      <w:tr>
        <w:tc>
          <w:tcPr>
            <w:tcW w:type="dxa" w:w="2800"/>
          </w:tcPr>
          <w:p>
            <w:r>
              <w:t>Jan 30–Feb 1</w:t>
            </w:r>
          </w:p>
        </w:tc>
        <w:tc>
          <w:tcPr>
            <w:tcW w:type="dxa" w:w="6560"/>
          </w:tcPr>
          <w:p>
            <w:r>
              <w:t>Emeryville, CA</w:t>
            </w:r>
          </w:p>
        </w:tc>
      </w:tr>
      <w:tr>
        <w:tc>
          <w:tcPr>
            <w:tcW w:type="dxa" w:w="2800"/>
          </w:tcPr>
          <w:p>
            <w:r>
              <w:t>Feb 6–8</w:t>
            </w:r>
          </w:p>
        </w:tc>
        <w:tc>
          <w:tcPr>
            <w:tcW w:type="dxa" w:w="6560"/>
          </w:tcPr>
          <w:p>
            <w:r>
              <w:t>Concord, CA</w:t>
            </w:r>
          </w:p>
        </w:tc>
      </w:tr>
      <w:tr>
        <w:tc>
          <w:tcPr>
            <w:tcW w:type="dxa" w:w="2800"/>
          </w:tcPr>
          <w:p>
            <w:r>
              <w:t>Feb 13–15</w:t>
            </w:r>
          </w:p>
        </w:tc>
        <w:tc>
          <w:tcPr>
            <w:tcW w:type="dxa" w:w="6560"/>
          </w:tcPr>
          <w:p>
            <w:r>
              <w:t>Burbank, CA</w:t>
            </w:r>
          </w:p>
        </w:tc>
      </w:tr>
      <w:tr>
        <w:tc>
          <w:tcPr>
            <w:tcW w:type="dxa" w:w="2800"/>
          </w:tcPr>
          <w:p>
            <w:r>
              <w:t>Feb 20–22</w:t>
            </w:r>
          </w:p>
        </w:tc>
        <w:tc>
          <w:tcPr>
            <w:tcW w:type="dxa" w:w="6560"/>
          </w:tcPr>
          <w:p>
            <w:r>
              <w:t>North Las Vegas, NV</w:t>
            </w:r>
          </w:p>
        </w:tc>
      </w:tr>
      <w:tr>
        <w:tc>
          <w:tcPr>
            <w:tcW w:type="dxa" w:w="2800"/>
          </w:tcPr>
          <w:p>
            <w:r>
              <w:t>Feb 27–Mar 1</w:t>
            </w:r>
          </w:p>
        </w:tc>
        <w:tc>
          <w:tcPr>
            <w:tcW w:type="dxa" w:w="6560"/>
          </w:tcPr>
          <w:p>
            <w:r>
              <w:t>Amarillo, TX</w:t>
            </w:r>
          </w:p>
        </w:tc>
      </w:tr>
      <w:tr>
        <w:tc>
          <w:tcPr>
            <w:tcW w:type="dxa" w:w="2800"/>
          </w:tcPr>
          <w:p>
            <w:r>
              <w:t>Mar 6–8</w:t>
            </w:r>
          </w:p>
        </w:tc>
        <w:tc>
          <w:tcPr>
            <w:tcW w:type="dxa" w:w="6560"/>
          </w:tcPr>
          <w:p>
            <w:r>
              <w:t>Garland, TX</w:t>
            </w:r>
          </w:p>
        </w:tc>
      </w:tr>
      <w:tr>
        <w:tc>
          <w:tcPr>
            <w:tcW w:type="dxa" w:w="2800"/>
          </w:tcPr>
          <w:p>
            <w:r>
              <w:t>Mar 13–15</w:t>
            </w:r>
          </w:p>
        </w:tc>
        <w:tc>
          <w:tcPr>
            <w:tcW w:type="dxa" w:w="6560"/>
          </w:tcPr>
          <w:p>
            <w:r>
              <w:t>Fort Worth, TX</w:t>
            </w:r>
          </w:p>
        </w:tc>
      </w:tr>
      <w:tr>
        <w:tc>
          <w:tcPr>
            <w:tcW w:type="dxa" w:w="2800"/>
          </w:tcPr>
          <w:p>
            <w:r>
              <w:t>Mar 20–22</w:t>
            </w:r>
          </w:p>
        </w:tc>
        <w:tc>
          <w:tcPr>
            <w:tcW w:type="dxa" w:w="6560"/>
          </w:tcPr>
          <w:p>
            <w:r>
              <w:t>Tulsa, OK</w:t>
            </w:r>
          </w:p>
        </w:tc>
      </w:tr>
      <w:tr>
        <w:tc>
          <w:tcPr>
            <w:tcW w:type="dxa" w:w="2800"/>
          </w:tcPr>
          <w:p>
            <w:r>
              <w:t>Mar 27–29</w:t>
            </w:r>
          </w:p>
        </w:tc>
        <w:tc>
          <w:tcPr>
            <w:tcW w:type="dxa" w:w="6560"/>
          </w:tcPr>
          <w:p>
            <w:r>
              <w:t>Hampton, VA</w:t>
            </w:r>
          </w:p>
        </w:tc>
      </w:tr>
      <w:tr>
        <w:tc>
          <w:tcPr>
            <w:tcW w:type="dxa" w:w="2800"/>
          </w:tcPr>
          <w:p>
            <w:r>
              <w:t>Apr 3–5</w:t>
            </w:r>
          </w:p>
        </w:tc>
        <w:tc>
          <w:tcPr>
            <w:tcW w:type="dxa" w:w="6560"/>
          </w:tcPr>
          <w:p>
            <w:r>
              <w:t>Syracuse, NY</w:t>
            </w:r>
          </w:p>
        </w:tc>
      </w:tr>
      <w:tr>
        <w:tc>
          <w:tcPr>
            <w:tcW w:type="dxa" w:w="2800"/>
          </w:tcPr>
          <w:p>
            <w:r>
              <w:t>Apr 10–12</w:t>
            </w:r>
          </w:p>
        </w:tc>
        <w:tc>
          <w:tcPr>
            <w:tcW w:type="dxa" w:w="6560"/>
          </w:tcPr>
          <w:p>
            <w:r>
              <w:t>Reading, PA</w:t>
            </w:r>
          </w:p>
        </w:tc>
      </w:tr>
      <w:tr>
        <w:tc>
          <w:tcPr>
            <w:tcW w:type="dxa" w:w="2800"/>
          </w:tcPr>
          <w:p>
            <w:r>
              <w:t>Apr 17–19</w:t>
            </w:r>
          </w:p>
        </w:tc>
        <w:tc>
          <w:tcPr>
            <w:tcW w:type="dxa" w:w="6560"/>
          </w:tcPr>
          <w:p>
            <w:r>
              <w:t>Columbus, OH</w:t>
            </w:r>
          </w:p>
        </w:tc>
      </w:tr>
    </w:tbl>
    <w:p>
      <w:pPr>
        <w:spacing w:after="160"/>
      </w:pPr>
    </w:p>
    <w:p>
      <w:pPr>
        <w:spacing w:after="120"/>
      </w:pPr>
      <w:r>
        <w:rPr>
          <w:rFonts w:ascii="Arial" w:cs="Arial" w:eastAsia="Arial" w:hAnsi="Arial"/>
          <w:i/>
          <w:iCs/>
          <w:color w:val="888888"/>
          <w:sz w:val="22"/>
          <w:szCs w:val="22"/>
        </w:rPr>
        <w:t xml:space="preserve">Note: Events run Friday–Sunday, 10am–5pm. Venue addresses are confirmed closer to the event date.</w:t>
      </w:r>
    </w:p>
    <w:p>
      <w:pPr>
        <w:spacing w:after="300"/>
      </w:pPr>
    </w:p>
    <w:p>
      <w:pPr>
        <w:pStyle w:val="Heading1"/>
      </w:pPr>
      <w:r>
        <w:rPr>
          <w:rFonts w:ascii="Arial" w:cs="Arial" w:eastAsia="Arial" w:hAnsi="Arial"/>
          <w:b/>
          <w:bCs/>
          <w:color w:val="C0392B"/>
          <w:sz w:val="32"/>
          <w:szCs w:val="32"/>
        </w:rPr>
        <w:t xml:space="preserve">5. City Rotation Policy</w:t>
      </w:r>
    </w:p>
    <w:p>
      <w:pPr>
        <w:spacing w:after="120"/>
      </w:pPr>
      <w:r>
        <w:rPr>
          <w:rFonts w:ascii="Arial" w:cs="Arial" w:eastAsia="Arial" w:hAnsi="Arial"/>
          <w:sz w:val="22"/>
          <w:szCs w:val="22"/>
        </w:rPr>
        <w:t xml:space="preserve">We visit each city once every 1–2 years. This is by design — it creates excitement and maximizes sales when we return.</w:t>
      </w:r>
    </w:p>
    <w:p>
      <w:pPr>
        <w:spacing w:after="160"/>
      </w:pPr>
    </w:p>
    <w:p>
      <w:pPr>
        <w:pStyle w:val="Heading2"/>
      </w:pPr>
      <w:r>
        <w:rPr>
          <w:rFonts w:ascii="Arial" w:cs="Arial" w:eastAsia="Arial" w:hAnsi="Arial"/>
          <w:b/>
          <w:bCs/>
          <w:color w:val="2C3E50"/>
          <w:sz w:val="26"/>
          <w:szCs w:val="26"/>
        </w:rPr>
        <w:t xml:space="preserve">When someone asks about a city NOT on the schedule:</w:t>
      </w:r>
    </w:p>
    <w:p>
      <w:pPr>
        <w:pBdr>
          <w:left w:val="single" w:color="E67E22" w:sz="12" w:space="10"/>
        </w:pBdr>
        <w:shd w:fill="FDEBD0" w:val="clear"/>
        <w:spacing w:after="160"/>
        <w:ind w:left="400"/>
      </w:pPr>
      <w:r>
        <w:rPr>
          <w:rFonts w:ascii="Arial" w:cs="Arial" w:eastAsia="Arial" w:hAnsi="Arial"/>
          <w:i/>
          <w:iCs/>
          <w:sz w:val="22"/>
          <w:szCs w:val="22"/>
        </w:rPr>
        <w:t xml:space="preserve">“We visit each city once every 1–2 years to keep things exciting! 🤩 Which city would YOU recommend we come to next? We’ll do our best to make it happen! 💄✨”</w:t>
      </w:r>
    </w:p>
    <w:p>
      <w:pPr>
        <w:spacing w:after="200"/>
      </w:pPr>
    </w:p>
    <w:p>
      <w:pPr>
        <w:pStyle w:val="Heading2"/>
      </w:pPr>
      <w:r>
        <w:rPr>
          <w:rFonts w:ascii="Arial" w:cs="Arial" w:eastAsia="Arial" w:hAnsi="Arial"/>
          <w:b/>
          <w:bCs/>
          <w:color w:val="2C3E50"/>
          <w:sz w:val="26"/>
          <w:szCs w:val="26"/>
        </w:rPr>
        <w:t xml:space="preserve">When someone asks when you're coming BACK to a city:</w:t>
      </w:r>
    </w:p>
    <w:p>
      <w:pPr>
        <w:pBdr>
          <w:left w:val="single" w:color="E67E22" w:sz="12" w:space="10"/>
        </w:pBdr>
        <w:shd w:fill="FDEBD0" w:val="clear"/>
        <w:spacing w:after="300"/>
        <w:ind w:left="400"/>
      </w:pPr>
      <w:r>
        <w:rPr>
          <w:rFonts w:ascii="Arial" w:cs="Arial" w:eastAsia="Arial" w:hAnsi="Arial"/>
          <w:i/>
          <w:iCs/>
          <w:sz w:val="22"/>
          <w:szCs w:val="22"/>
        </w:rPr>
        <w:t xml:space="preserve">“We try to visit each city once every 1–2 years! Keep an eye on our Facebook page for new dates 👀 Which city are you hoping for?”</w:t>
      </w:r>
    </w:p>
    <w:p>
      <w:pPr>
        <w:pStyle w:val="Heading1"/>
      </w:pPr>
      <w:r>
        <w:rPr>
          <w:rFonts w:ascii="Arial" w:cs="Arial" w:eastAsia="Arial" w:hAnsi="Arial"/>
          <w:b/>
          <w:bCs/>
          <w:color w:val="C0392B"/>
          <w:sz w:val="32"/>
          <w:szCs w:val="32"/>
        </w:rPr>
        <w:t xml:space="preserve">6. Handling Negative or Skeptical Comments</w:t>
      </w:r>
    </w:p>
    <w:p>
      <w:pPr>
        <w:spacing w:after="120"/>
      </w:pPr>
      <w:r>
        <w:rPr>
          <w:rFonts w:ascii="Arial" w:cs="Arial" w:eastAsia="Arial" w:hAnsi="Arial"/>
          <w:sz w:val="22"/>
          <w:szCs w:val="22"/>
        </w:rPr>
        <w:t xml:space="preserve">Always respond thoughtfully and non-defensively. Acknowledge the concern and redirect positively. Never argue or get defensive.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SITUATION</w:t>
            </w:r>
          </w:p>
        </w:tc>
        <w:tc>
          <w:tcPr>
            <w:tcW w:type="dxa" w:w="556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HOW TO RESPOND</w:t>
            </w:r>
          </w:p>
        </w:tc>
      </w:tr>
      <w:tr>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Customer says it's a scam</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We totally get the skepticism — there’s so much out there online! We’re a legitimate traveling beauty sale and have thousands of happy customers 💄 Come see us in person — we think you’ll be pleasantly surprised! ✨</w:t>
            </w:r>
          </w:p>
        </w:tc>
      </w:tr>
      <w:tr>
        <w:tc>
          <w:tcPr>
            <w:tcW w:type="dxa" w:w="38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b/>
                <w:bCs/>
                <w:sz w:val="22"/>
                <w:szCs w:val="22"/>
              </w:rPr>
              <w:t xml:space="preserve">Unhappy with a past purchase</w:t>
            </w:r>
          </w:p>
        </w:tc>
        <w:tc>
          <w:tcPr>
            <w:tcW w:type="dxa" w:w="55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sz w:val="22"/>
                <w:szCs w:val="22"/>
              </w:rPr>
              <w:t xml:space="preserve">We’re so sorry to hear that! 💕 Please DM us so we can help look into this for you. We want every customer to leave happy!</w:t>
            </w:r>
          </w:p>
        </w:tc>
      </w:tr>
      <w:tr>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Says prices aren’t really 90% off</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We know it sounds too good to be true! But we source directly to pass real savings on to our customers. Come check it out in person 😊✨</w:t>
            </w:r>
          </w:p>
        </w:tc>
      </w:tr>
      <w:tr>
        <w:tc>
          <w:tcPr>
            <w:tcW w:type="dxa" w:w="38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b/>
                <w:bCs/>
                <w:sz w:val="22"/>
                <w:szCs w:val="22"/>
              </w:rPr>
              <w:t xml:space="preserve">Complaint about a specific event</w:t>
            </w:r>
          </w:p>
        </w:tc>
        <w:tc>
          <w:tcPr>
            <w:tcW w:type="dxa" w:w="55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sz w:val="22"/>
                <w:szCs w:val="22"/>
              </w:rPr>
              <w:t xml:space="preserve">Thank you for letting us know — we take feedback seriously! 📝 Please DM us with the details and we’ll look into it right away.</w:t>
            </w:r>
          </w:p>
        </w:tc>
      </w:tr>
    </w:tbl>
    <w:p>
      <w:pPr>
        <w:spacing w:after="300"/>
      </w:pPr>
    </w:p>
    <w:p>
      <w:pPr>
        <w:pStyle w:val="Heading1"/>
      </w:pPr>
      <w:r>
        <w:rPr>
          <w:rFonts w:ascii="Arial" w:cs="Arial" w:eastAsia="Arial" w:hAnsi="Arial"/>
          <w:b/>
          <w:bCs/>
          <w:color w:val="C0392B"/>
          <w:sz w:val="32"/>
          <w:szCs w:val="32"/>
        </w:rPr>
        <w:t xml:space="preserve">7. Key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PLATFORM</w:t>
            </w:r>
          </w:p>
        </w:tc>
        <w:tc>
          <w:tcPr>
            <w:tcW w:type="dxa" w:w="6360"/>
            <w:tcBorders>
              <w:top w:val="single" w:color="CCCCCC" w:sz="1"/>
              <w:left w:val="single" w:color="CCCCCC" w:sz="1"/>
              <w:bottom w:val="single" w:color="CCCCCC" w:sz="1"/>
              <w:right w:val="single" w:color="CCCCCC"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LINK</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Facebook Page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facebook.com/themakeupblowoutsale</w:t>
            </w:r>
          </w:p>
        </w:tc>
      </w:tr>
      <w:tr>
        <w:tc>
          <w:tcPr>
            <w:tcW w:type="dxa" w:w="3000"/>
            <w:tcBorders>
              <w:top w:val="single" w:color="CCCCCC" w:sz="1"/>
              <w:left w:val="single" w:color="CCCCCC" w:sz="1"/>
              <w:bottom w:val="single" w:color="CCCCCC" w:sz="1"/>
              <w:right w:val="single" w:color="CCCCCC" w:sz="1"/>
            </w:tcBorders>
            <w:shd w:fill="F9EBEA" w:val="clear"/>
            <w:tcMar>
              <w:top w:type="dxa" w:w="100"/>
              <w:left w:type="dxa" w:w="150"/>
              <w:bottom w:type="dxa" w:w="100"/>
              <w:right w:type="dxa" w:w="150"/>
            </w:tcMar>
          </w:tcPr>
          <w:p>
            <w:r>
              <w:rPr>
                <w:rFonts w:ascii="Arial" w:cs="Arial" w:eastAsia="Arial" w:hAnsi="Arial"/>
                <w:sz w:val="22"/>
                <w:szCs w:val="22"/>
              </w:rPr>
              <w:t xml:space="preserve">Instagram</w:t>
            </w:r>
          </w:p>
        </w:tc>
        <w:tc>
          <w:tcPr>
            <w:tcW w:type="dxa" w:w="6360"/>
            <w:tcBorders>
              <w:top w:val="single" w:color="CCCCCC" w:sz="1"/>
              <w:left w:val="single" w:color="CCCCCC" w:sz="1"/>
              <w:bottom w:val="single" w:color="CCCCCC" w:sz="1"/>
              <w:right w:val="single" w:color="CCCCCC" w:sz="1"/>
            </w:tcBorders>
            <w:shd w:fill="F9EBEA" w:val="clear"/>
            <w:tcMar>
              <w:top w:type="dxa" w:w="100"/>
              <w:left w:type="dxa" w:w="150"/>
              <w:bottom w:type="dxa" w:w="100"/>
              <w:right w:type="dxa" w:w="150"/>
            </w:tcMar>
          </w:tcPr>
          <w:p>
            <w:r>
              <w:rPr>
                <w:rFonts w:ascii="Arial" w:cs="Arial" w:eastAsia="Arial" w:hAnsi="Arial"/>
                <w:sz w:val="22"/>
                <w:szCs w:val="22"/>
              </w:rPr>
              <w:t xml:space="preserve">instagram.com/themakeupblowoutsale</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Event Website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https://www.themakeupblowout.com  (Mystery Box orders + event info)</w:t>
            </w:r>
          </w:p>
        </w:tc>
      </w:tr>
      <w:tr>
        <w:tc>
          <w:tcPr>
            <w:tcW w:type="dxa" w:w="3000"/>
            <w:tcBorders>
              <w:top w:val="single" w:color="CCCCCC" w:sz="1"/>
              <w:left w:val="single" w:color="CCCCCC" w:sz="1"/>
              <w:bottom w:val="single" w:color="CCCCCC" w:sz="1"/>
              <w:right w:val="single" w:color="CCCCCC" w:sz="1"/>
            </w:tcBorders>
            <w:shd w:fill="F9EBEA" w:val="clear"/>
            <w:tcMar>
              <w:top w:type="dxa" w:w="100"/>
              <w:left w:type="dxa" w:w="150"/>
              <w:bottom w:type="dxa" w:w="100"/>
              <w:right w:type="dxa" w:w="150"/>
            </w:tcMar>
          </w:tcPr>
          <w:p>
            <w:r>
              <w:rPr>
                <w:rFonts w:ascii="Arial" w:cs="Arial" w:eastAsia="Arial" w:hAnsi="Arial"/>
                <w:sz w:val="22"/>
                <w:szCs w:val="22"/>
              </w:rPr>
              <w:t xml:space="preserve">Eventbrite</w:t>
            </w:r>
          </w:p>
        </w:tc>
        <w:tc>
          <w:tcPr>
            <w:tcW w:type="dxa" w:w="6360"/>
            <w:tcBorders>
              <w:top w:val="single" w:color="CCCCCC" w:sz="1"/>
              <w:left w:val="single" w:color="CCCCCC" w:sz="1"/>
              <w:bottom w:val="single" w:color="CCCCCC" w:sz="1"/>
              <w:right w:val="single" w:color="CCCCCC" w:sz="1"/>
            </w:tcBorders>
            <w:shd w:fill="F9EBEA" w:val="clear"/>
            <w:tcMar>
              <w:top w:type="dxa" w:w="100"/>
              <w:left w:type="dxa" w:w="150"/>
              <w:bottom w:type="dxa" w:w="100"/>
              <w:right w:type="dxa" w:w="150"/>
            </w:tcMar>
          </w:tcPr>
          <w:p>
            <w:r>
              <w:rPr>
                <w:rFonts w:ascii="Arial" w:cs="Arial" w:eastAsia="Arial" w:hAnsi="Arial"/>
                <w:sz w:val="22"/>
                <w:szCs w:val="22"/>
              </w:rPr>
              <w:t xml:space="preserve">eventbrite.com/o/the-makeup-blowout-sale-group-inc-41593278043</w:t>
            </w:r>
          </w:p>
        </w:tc>
      </w:tr>
    </w:tbl>
    <w:p>
      <w:pPr>
        <w:spacing w:after="300"/>
      </w:pPr>
    </w:p>
    <w:p>
      <w:pPr>
        <w:pStyle w:val="Heading1"/>
      </w:pPr>
      <w:r>
        <w:rPr>
          <w:rFonts w:ascii="Arial" w:cs="Arial" w:eastAsia="Arial" w:hAnsi="Arial"/>
          <w:b/>
          <w:bCs/>
          <w:color w:val="C0392B"/>
          <w:sz w:val="32"/>
          <w:szCs w:val="32"/>
        </w:rPr>
        <w:t xml:space="preserve">8. Quick Reminders</w:t>
      </w:r>
    </w:p>
    <w:p>
      <w:pPr>
        <w:pStyle w:val="ListParagraph"/>
        <w:numPr>
          <w:ilvl w:val="0"/>
          <w:numId w:val="2"/>
        </w:numPr>
        <w:spacing w:after="80"/>
      </w:pPr>
      <w:r>
        <w:rPr>
          <w:rFonts w:ascii="Arial" w:cs="Arial" w:eastAsia="Arial" w:hAnsi="Arial"/>
          <w:sz w:val="22"/>
          <w:szCs w:val="22"/>
        </w:rPr>
        <w:t xml:space="preserve">NEVER share just a city name when asked for location — always provide the full venue address</w:t>
      </w:r>
    </w:p>
    <w:p>
      <w:pPr>
        <w:pStyle w:val="ListParagraph"/>
        <w:numPr>
          <w:ilvl w:val="0"/>
          <w:numId w:val="2"/>
        </w:numPr>
        <w:spacing w:after="80"/>
      </w:pPr>
      <w:r>
        <w:rPr>
          <w:rFonts w:ascii="Arial" w:cs="Arial" w:eastAsia="Arial" w:hAnsi="Arial"/>
          <w:sz w:val="22"/>
          <w:szCs w:val="22"/>
        </w:rPr>
        <w:t xml:space="preserve">NEVER confirm a city that isn't on the confirmed schedule</w:t>
      </w:r>
    </w:p>
    <w:p>
      <w:pPr>
        <w:pStyle w:val="ListParagraph"/>
        <w:numPr>
          <w:ilvl w:val="0"/>
          <w:numId w:val="2"/>
        </w:numPr>
        <w:spacing w:after="80"/>
      </w:pPr>
      <w:r>
        <w:rPr>
          <w:rFonts w:ascii="Arial" w:cs="Arial" w:eastAsia="Arial" w:hAnsi="Arial"/>
          <w:sz w:val="22"/>
          <w:szCs w:val="22"/>
        </w:rPr>
        <w:t xml:space="preserve">ALWAYS use emojis and a warm, casual tone</w:t>
      </w:r>
    </w:p>
    <w:p>
      <w:pPr>
        <w:pStyle w:val="ListParagraph"/>
        <w:numPr>
          <w:ilvl w:val="0"/>
          <w:numId w:val="2"/>
        </w:numPr>
        <w:spacing w:after="80"/>
      </w:pPr>
      <w:r>
        <w:rPr>
          <w:rFonts w:ascii="Arial" w:cs="Arial" w:eastAsia="Arial" w:hAnsi="Arial"/>
          <w:sz w:val="22"/>
          <w:szCs w:val="22"/>
        </w:rPr>
        <w:t xml:space="preserve">For cities not on the schedule — always use the rotation policy reply and ask for their city recommendation</w:t>
      </w:r>
    </w:p>
    <w:p>
      <w:pPr>
        <w:pStyle w:val="ListParagraph"/>
        <w:numPr>
          <w:ilvl w:val="0"/>
          <w:numId w:val="2"/>
        </w:numPr>
        <w:spacing w:after="80"/>
      </w:pPr>
      <w:r>
        <w:rPr>
          <w:rFonts w:ascii="Arial" w:cs="Arial" w:eastAsia="Arial" w:hAnsi="Arial"/>
          <w:sz w:val="22"/>
          <w:szCs w:val="22"/>
        </w:rPr>
        <w:t xml:space="preserve">All sales are final — do not promise returns or refunds</w:t>
      </w:r>
    </w:p>
    <w:p>
      <w:pPr>
        <w:pStyle w:val="ListParagraph"/>
        <w:numPr>
          <w:ilvl w:val="0"/>
          <w:numId w:val="2"/>
        </w:numPr>
        <w:spacing w:after="80"/>
      </w:pPr>
      <w:r>
        <w:rPr>
          <w:rFonts w:ascii="Arial" w:cs="Arial" w:eastAsia="Arial" w:hAnsi="Arial"/>
          <w:sz w:val="22"/>
          <w:szCs w:val="22"/>
        </w:rPr>
        <w:t xml:space="preserve">When in doubt, ask Lauren to review before sending</w:t>
      </w:r>
    </w:p>
    <w:p>
      <w:pPr>
        <w:spacing w:after="400"/>
      </w:pPr>
    </w:p>
    <w:p>
      <w:pPr>
        <w:pBdr>
          <w:top w:val="single" w:color="CCCCCC" w:sz="4" w:space="8"/>
        </w:pBdr>
        <w:spacing w:before="200"/>
        <w:jc w:val="center"/>
      </w:pPr>
      <w:r>
        <w:rPr>
          <w:rFonts w:ascii="Arial" w:cs="Arial" w:eastAsia="Arial" w:hAnsi="Arial"/>
          <w:color w:val="999999"/>
          <w:sz w:val="18"/>
          <w:szCs w:val="18"/>
        </w:rPr>
        <w:t xml:space="preserve">The Makeup Blowout Sale Group Inc. | 22811 Gershwin Dr, Woodland Hills, CA 91364 | (323) 384-2662</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2026-04-08T18:52:00.978Z</dcterms:created>
  <dcterms:modified xsi:type="dcterms:W3CDTF">2026-04-08T18:52:00.979Z</dcterms:modified>
</cp:coreProperties>
</file>

<file path=docProps/custom.xml><?xml version="1.0" encoding="utf-8"?>
<Properties xmlns="http://schemas.openxmlformats.org/officeDocument/2006/custom-properties" xmlns:vt="http://schemas.openxmlformats.org/officeDocument/2006/docPropsVTypes"/>
</file>