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v6o7gjlae5i" w:id="0"/>
      <w:bookmarkEnd w:id="0"/>
      <w:r w:rsidDel="00000000" w:rsidR="00000000" w:rsidRPr="00000000">
        <w:rPr>
          <w:rtl w:val="0"/>
        </w:rPr>
        <w:t xml:space="preserve">Arcade Content Character Limits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Quick reference for character limits across all Arcade components.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om1y4m9jpeiw" w:id="1"/>
      <w:bookmarkEnd w:id="1"/>
      <w:r w:rsidDel="00000000" w:rsidR="00000000" w:rsidRPr="00000000">
        <w:rPr>
          <w:rtl w:val="0"/>
        </w:rPr>
        <w:t xml:space="preserve">Strict Limits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 compact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Label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~15 characters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 default / CTA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Label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~20 characters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field / 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Label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~25 characters (1-3 words)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25-40 characters (5-7 words)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Tooltip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 characters max</w:t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r7hqk51l5ixr" w:id="2"/>
      <w:bookmarkEnd w:id="2"/>
      <w:r w:rsidDel="00000000" w:rsidR="00000000" w:rsidRPr="00000000">
        <w:rPr>
          <w:rtl w:val="0"/>
        </w:rPr>
        <w:t xml:space="preserve">Flexible Limits (Best Practices)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field / 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Placeholder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~25 characters (1-3 words)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field / 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Helper 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~100 characters (2 lines max)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card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~130 characters per card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card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Label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~25 characters (1-2 words)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card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~130 characters (~25 words)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~100 characters (2-3 lines)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~20 characters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Toast (header only)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 characters max (2 lines)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Toast (with body)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 characters max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Toast (with body)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 characters max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Upsell small w/ 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 characters max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Upsell small w/ 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 characters max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Upsell small no 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 characters max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Upsell small no 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 characters max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Upsell large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 characters max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Upsell large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 characters max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Popup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 characters (3-4 lines max)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Popup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~100 characters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Messaging cell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Heading (1-line)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~25 characters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Messaging cell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Body (3-line)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86 characters max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Messaging cell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Heading (2-line)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 characters max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Messaging cell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Body (2-line)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 characters max</w:t>
            </w:r>
          </w:p>
        </w:tc>
      </w:tr>
    </w:tbl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lbwsr4ryc3a0" w:id="3"/>
      <w:bookmarkEnd w:id="3"/>
      <w:r w:rsidDel="00000000" w:rsidR="00000000" w:rsidRPr="00000000">
        <w:rPr>
          <w:rtl w:val="0"/>
        </w:rPr>
        <w:t xml:space="preserve">No Fixed Limits (Keep Brief)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Cell labels, checkbox labels, toggle labels, list items, radio labels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Keep short enough to scan at a glance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