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h6p1h1jvfq" w:id="0"/>
      <w:bookmarkEnd w:id="0"/>
      <w:r w:rsidDel="00000000" w:rsidR="00000000" w:rsidRPr="00000000">
        <w:rPr>
          <w:rtl w:val="0"/>
        </w:rPr>
        <w:t xml:space="preserve">Arcade Component Specs: Card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https://www.figma.com/design/fu8vNWffYkGUMyznuQyzhc/02-Arcade---Mobile?node-id=96899-5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au3nyqmwdl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Content display in a surfaced card container. Not for selection — see input-card for that.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g2bxoy1r9ee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loa09wl1ycb" w:id="3"/>
      <w:bookmarkEnd w:id="3"/>
      <w:r w:rsidDel="00000000" w:rsidR="00000000" w:rsidRPr="00000000">
        <w:rPr>
          <w:rtl w:val="0"/>
        </w:rPr>
        <w:t xml:space="preserve">State (Interactive only)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Cards are either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(no state) or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(tappable). Interactive cards have two states: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— standard resting state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Pressed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component/button/subtle/background/pressed</w:t>
      </w:r>
      <w:r w:rsidDel="00000000" w:rsidR="00000000" w:rsidRPr="00000000">
        <w:rPr>
          <w:rtl w:val="0"/>
        </w:rPr>
        <w:t xml:space="preserve"> at 50% opacity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rgba(0,0,0,0.2)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hkq3s18ufdh" w:id="4"/>
      <w:bookmarkEnd w:id="4"/>
      <w:r w:rsidDel="00000000" w:rsidR="00000000" w:rsidRPr="00000000">
        <w:rPr>
          <w:rtl w:val="0"/>
        </w:rPr>
        <w:t xml:space="preserve">Main content slot (optional)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Show/hide toggle; shown by default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hyperlink w:anchor="slots-anatomy">
        <w:r w:rsidDel="00000000" w:rsidR="00000000" w:rsidRPr="00000000">
          <w:rPr>
            <w:color w:val="1155cc"/>
            <w:u w:val="single"/>
            <w:rtl w:val="0"/>
          </w:rPr>
          <w:t xml:space="preserve">Slots (Anatomy)</w:t>
        </w:r>
      </w:hyperlink>
      <w:r w:rsidDel="00000000" w:rsidR="00000000" w:rsidRPr="00000000">
        <w:rPr>
          <w:rtl w:val="0"/>
        </w:rPr>
        <w:t xml:space="preserve"> for usage rules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maqh4gzeym6" w:id="5"/>
      <w:bookmarkEnd w:id="5"/>
      <w:r w:rsidDel="00000000" w:rsidR="00000000" w:rsidRPr="00000000">
        <w:rPr>
          <w:rtl w:val="0"/>
        </w:rPr>
        <w:t xml:space="preserve">Slot background image (optional)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Show/hide toggle; </w:t>
      </w:r>
      <w:r w:rsidDel="00000000" w:rsidR="00000000" w:rsidRPr="00000000">
        <w:rPr>
          <w:b w:val="1"/>
          <w:bCs w:val="1"/>
          <w:rtl w:val="0"/>
        </w:rPr>
        <w:t xml:space="preserve">hidden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hyperlink w:anchor="slots-anatomy">
        <w:r w:rsidDel="00000000" w:rsidR="00000000" w:rsidRPr="00000000">
          <w:rPr>
            <w:color w:val="1155cc"/>
            <w:u w:val="single"/>
            <w:rtl w:val="0"/>
          </w:rPr>
          <w:t xml:space="preserve">Slots (Anatomy)</w:t>
        </w:r>
      </w:hyperlink>
      <w:r w:rsidDel="00000000" w:rsidR="00000000" w:rsidRPr="00000000">
        <w:rPr>
          <w:rtl w:val="0"/>
        </w:rPr>
        <w:t xml:space="preserve"> for usage rules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3vu0uzbc6h6" w:id="6"/>
      <w:bookmarkEnd w:id="6"/>
      <w:r w:rsidDel="00000000" w:rsidR="00000000" w:rsidRPr="00000000">
        <w:rPr>
          <w:rtl w:val="0"/>
        </w:rPr>
        <w:t xml:space="preserve">Appearance (light / dark)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Light: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semantic/background/app</w:t>
      </w:r>
      <w:r w:rsidDel="00000000" w:rsidR="00000000" w:rsidRPr="00000000">
        <w:rPr>
          <w:rtl w:val="0"/>
        </w:rPr>
        <w:t xml:space="preserve"> (white),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semantic/border/subtle</w:t>
      </w:r>
      <w:r w:rsidDel="00000000" w:rsidR="00000000" w:rsidRPr="00000000">
        <w:rPr>
          <w:rtl w:val="0"/>
        </w:rPr>
        <w:t xml:space="preserve"> (#e8e8e8)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Dark: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semantic/background/app</w:t>
      </w:r>
      <w:r w:rsidDel="00000000" w:rsidR="00000000" w:rsidRPr="00000000">
        <w:rPr>
          <w:rtl w:val="0"/>
        </w:rPr>
        <w:t xml:space="preserve"> (black),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semantic/border/subtle</w:t>
      </w:r>
      <w:r w:rsidDel="00000000" w:rsidR="00000000" w:rsidRPr="00000000">
        <w:rPr>
          <w:rtl w:val="0"/>
        </w:rPr>
        <w:t xml:space="preserve"> (#232323)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2ttrvo3v536q" w:id="7"/>
      <w:bookmarkEnd w:id="7"/>
      <w:r w:rsidDel="00000000" w:rsidR="00000000" w:rsidRPr="00000000">
        <w:rPr>
          <w:rtl w:val="0"/>
        </w:rPr>
        <w:t xml:space="preserve">Pattern (determines layout and slot arrangement)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Booklet</w:t>
      </w:r>
      <w:r w:rsidDel="00000000" w:rsidR="00000000" w:rsidRPr="00000000">
        <w:rPr>
          <w:rtl w:val="0"/>
        </w:rPr>
        <w:t xml:space="preserve"> — multi-item content listing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actions</w:t>
      </w:r>
      <w:r w:rsidDel="00000000" w:rsidR="00000000" w:rsidRPr="00000000">
        <w:rPr>
          <w:rtl w:val="0"/>
        </w:rPr>
        <w:t xml:space="preserve"> — content + compact action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moments</w:t>
      </w:r>
      <w:r w:rsidDel="00000000" w:rsidR="00000000" w:rsidRPr="00000000">
        <w:rPr>
          <w:rtl w:val="0"/>
        </w:rPr>
        <w:t xml:space="preserve"> — single featured visual moment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card</w:t>
      </w:r>
      <w:r w:rsidDel="00000000" w:rsidR="00000000" w:rsidRPr="00000000">
        <w:rPr>
          <w:rtl w:val="0"/>
        </w:rPr>
        <w:t xml:space="preserve"> — grouped content within a page section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etekb68xlo7" w:id="8"/>
      <w:bookmarkEnd w:id="8"/>
      <w:r w:rsidDel="00000000" w:rsidR="00000000" w:rsidRPr="00000000">
        <w:rPr>
          <w:rtl w:val="0"/>
        </w:rPr>
        <w:t xml:space="preserve">Slots (Anatomy)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Cards use a slot-based system with two slots: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8zgtosb00x6" w:id="9"/>
      <w:bookmarkEnd w:id="9"/>
      <w:r w:rsidDel="00000000" w:rsidR="00000000" w:rsidRPr="00000000">
        <w:rPr>
          <w:rtl w:val="0"/>
        </w:rPr>
        <w:t xml:space="preserve">Slot background image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off (hidden)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placing content flush against the card edge — typically full-bleed images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 to preserve the card's internal padding; enable only when setting an image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enabling, manually adjust the card height to fit the image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Tip: select the slot layer and use Cmd+Paste to insert the image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lcg6b8cbmguy" w:id="10"/>
      <w:bookmarkEnd w:id="10"/>
      <w:r w:rsidDel="00000000" w:rsidR="00000000" w:rsidRPr="00000000">
        <w:rPr>
          <w:rtl w:val="0"/>
        </w:rPr>
        <w:t xml:space="preserve">Main content slot (Slot 1)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slot frame hugs its content by default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content inside its own auto-layout frame; set padding, height, and width on that inner frame, not on the slot itself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Accepts any Arcade component (e.g., list-unordered, headline, body text)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cnexa5vugmj" w:id="11"/>
      <w:bookmarkEnd w:id="11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fills container (reference width 358px)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margin-default</w:t>
      </w:r>
      <w:r w:rsidDel="00000000" w:rsidR="00000000" w:rsidRPr="00000000">
        <w:rPr>
          <w:rtl w:val="0"/>
        </w:rPr>
        <w:t xml:space="preserve"> (16px) horizontal,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(16px) vertical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Gap between slots: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(16px)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radius: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border-radius-large</w:t>
      </w:r>
      <w:r w:rsidDel="00000000" w:rsidR="00000000" w:rsidRPr="00000000">
        <w:rPr>
          <w:rtl w:val="0"/>
        </w:rPr>
        <w:t xml:space="preserve"> (24px)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Border: 1px solid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semantic/border/subtle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semantic/background/app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Overflow: clip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reduce spacing between cards to fit more on screen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6145eqq93ry6" w:id="12"/>
      <w:bookmarkEnd w:id="12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container width; do not hard-code widths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a full-width standalone card, place it inside a container set to Arcade's device size variable, then set the card to fill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consistent slot usage across all cards in the same group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nest cards inside other cards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card groups use "slides over scroll" pattern — no mixing scroll directions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Full-bleed image cards are typically static; if tappability needs to be communicated, add a CTA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eazovllhwt2" w:id="13"/>
      <w:bookmarkEnd w:id="13"/>
      <w:r w:rsidDel="00000000" w:rsidR="00000000" w:rsidRPr="00000000">
        <w:rPr>
          <w:rtl w:val="0"/>
        </w:rPr>
        <w:t xml:space="preserve">Card Actions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cards can have a CTA button as a supporting or primary action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card tap and the CTA button can go to the same place, or to different destinations (e.g. card navigates to detail screen; button performs a secondary action like save or reorder)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CTAs enhance clarity — they make actions more obvious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text link CTAs, use the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 Unicode arrow (not icons or other UI elements)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links must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text/link</w:t>
      </w:r>
      <w:r w:rsidDel="00000000" w:rsidR="00000000" w:rsidRPr="00000000">
        <w:rPr>
          <w:rtl w:val="0"/>
        </w:rPr>
        <w:t xml:space="preserve"> color style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Disclaimer link</w:t>
      </w:r>
      <w:r w:rsidDel="00000000" w:rsidR="00000000" w:rsidRPr="00000000">
        <w:rPr>
          <w:rtl w:val="0"/>
        </w:rPr>
        <w:t xml:space="preserve"> text style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link style consistent; do not mix link styles within the same card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tbtwjx92z9sv" w:id="14"/>
      <w:bookmarkEnd w:id="14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content-guidelines.md</w:t>
        </w:r>
      </w:hyperlink>
      <w:r w:rsidDel="00000000" w:rsidR="00000000" w:rsidRPr="00000000">
        <w:rPr>
          <w:rtl w:val="0"/>
        </w:rPr>
        <w:t xml:space="preserve"> for universal writing standards.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Card-specific reminders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Sentence case for all card text (no title case)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one card in a group has a visual, all cards should have a visual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content concise — cards are scanned, not read in depth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96899-5" TargetMode="External"/><Relationship Id="rId7" Type="http://schemas.openxmlformats.org/officeDocument/2006/relationships/hyperlink" Target="http://content-guideline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